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PR-AYC-G and Topo-OSM</w:t>
      </w:r>
    </w:p>
    <w:p>
      <w:pPr>
        <w:jc w:val="center"/>
      </w:pPr>
      <w:r>
        <w:rPr>
          <w:i/>
          <w:sz w:val="24"/>
        </w:rPr>
        <w:t>Open protocol and analysis architecture for state-locked narrative meaning</w:t>
      </w:r>
    </w:p>
    <w:p>
      <w:pPr>
        <w:jc w:val="center"/>
      </w:pPr>
      <w:r>
        <w:rPr>
          <w:color w:val="646464"/>
          <w:sz w:val="18"/>
        </w:rPr>
        <w:t>Working Manuscript v0.4 - Public-launch methods update; exploratory, not confirmatory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top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Manuscript status and claim boundary</w:t>
            </w:r>
          </w:p>
        </w:tc>
      </w:tr>
      <w:tr>
        <w:tc>
          <w:tcPr>
            <w:tcW w:type="dxa" w:w="10224"/>
            <w:shd w:fill="EAF3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This draft is written in a peer-review style, but it remains a working methods manuscript. PR-AYC-G is presented as an exploratory naturalistic psychophysiology protocol and open-source software architecture. Topo-OSM is presented as a human-scale network-state interpretation layer. Current evidence does not prove consciousness, cellular OSM, microtubular memory, biophotonic memory, clinical efficacy, molecular hidden variables, or literal thermodynamic entropy reduction.</w:t>
            </w:r>
          </w:p>
        </w:tc>
      </w:tr>
    </w:tbl>
    <w:p/>
    <w:p>
      <w:pPr>
        <w:pStyle w:val="Heading1"/>
      </w:pPr>
      <w:r>
        <w:t>Abstract</w:t>
      </w:r>
    </w:p>
    <w:p>
      <w:r>
        <w:t>PR-AYC-G was developed to test whether accessible narrative meaning produces a measurable, state-locked body-brain trajectory that differs from matched audiovisual stimulation and from the same intact stimulus under analytic task stance. The current protocol compares a phase-scrambled Control, an intact Target narrative, and the same intact narrative under Contextual Override, typically an upper-right number-cue running-sum task. Since the previous working manuscript, the project has been compressed around a clearer primary endpoint: Anchor-Locked MRED (A-MRED), with MRED-Peak and MRED-Resolution as endpoint subtypes. A-MRED asks whether a predeclared scene anchor in the Target branch shows both meaning-recognition evidence and delayed integration/recovery evidence greater than Control and Override after QC, artifact, and stimulus-regressor checks. The software stack now includes MediaPrep/StimulusFingerprint v1.8, PRAYCG2.0 consolidated self-report, the Master Comprehensive Suite v1.5.5, a synchronized visualizer, and an offline interpretive report generator. Recent single-participant pilot analyses suggest three useful archetypes: Contact as the strongest current MRED-Peak case, Field of Dreams as the strongest MRED-Resolution candidate, and Arrival as a recognition-dominant but integration-uncertain run. These are hypothesis-generating self-runs, not confirmatory evidence. The principal contribution is the open, auditable measurement architecture and endpoint hierarchy for future preregistered replication.</w:t>
      </w:r>
    </w:p>
    <w:p>
      <w:pPr>
        <w:pStyle w:val="Heading1"/>
      </w:pPr>
      <w:r>
        <w:t>1. Current contribution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Current permitted claim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Not permitted from current evidence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PR-AYC-G protocol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exploratory three-arm design comparing scrambled sensory control, natural Target, and analytic Override.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prove consciousness, souls, love as force, or clinical effect.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A-MRED / MRED-Peak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Candidate primary endpoint for acute Target-specific recognition plus delayed integration at locked anchors.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prove memory formation or mechanism by itself.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MRED-Resolution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Candidate profile for delayed reflective/regulatory recovery and Baseline2 echo.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prove healing, therapy, or structural memory.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Topo-OSM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Human-scale network-state interpretation: meaning may alter measurable state topology.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infer microtubules, biophotons, or molecular hidden-Y from scalp EEG.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NIP/TTI/NUPI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summaries of immersion proxy, reception/extraction contrast, and narrative update polarity.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moral, clinical, neurochemical, or calorimetric scores.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CET-R / StimulusFingerprint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Guardrail for testing whether effects reduce to luminance, cuts, cue rhythm, audio envelope, or motion.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certify meaning or physiology by itself.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Opto-PING Rung 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Synthetic identifiability under known hidden-loop conditions.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establish human EEG mechanism or OSM biology.</w:t>
            </w:r>
          </w:p>
        </w:tc>
      </w:tr>
    </w:tbl>
    <w:p/>
    <w:p>
      <w:pPr>
        <w:pStyle w:val="Heading1"/>
      </w:pPr>
      <w:r>
        <w:t>2. Research question</w:t>
      </w:r>
    </w:p>
    <w:p>
      <w:r>
        <w:t>The central empirical question is deliberately narrow: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top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Core question</w:t>
            </w:r>
          </w:p>
        </w:tc>
      </w:tr>
      <w:tr>
        <w:tc>
          <w:tcPr>
            <w:tcW w:type="dxa" w:w="10224"/>
            <w:shd w:fill="EAF3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When a story is allowed to matter, does the body-brain system show a measurable state trajectory that differs from the same sensory material with meaning disrupted and from the same intact story under analytic extraction?</w:t>
            </w:r>
          </w:p>
        </w:tc>
      </w:tr>
    </w:tbl>
    <w:p/>
    <w:p>
      <w:r>
        <w:t>This question does not require that a single EEG frequency be declared a biomarker of meaning. It requires a multistage test: preserved stimulus identity, stimulus-side fingerprinting, timing validation, artifact control, branch contrasts, and endpoint compression.</w:t>
      </w:r>
    </w:p>
    <w:p>
      <w:pPr>
        <w:pStyle w:val="Heading1"/>
      </w:pPr>
      <w:r>
        <w:t>3. Experimental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Arm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Stimulus identity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Participant stance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role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Phase-scrambled version of cue-embedded Target, with low-level timing preserved and intelligible meaning disrupted.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Watch normally.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low-level audiovisual timing, luminance, cut rhythm, cue energy, and audio envelope.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Intact meaningful narrative with the same cue-embedded video as Override.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Watch naturally and allow the story to land.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accessible meaning.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Contextual Override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same intact cue-embedded narrative as Target.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Perform analytic running-sum task while watching.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extraction/task stance against reception.</w:t>
            </w:r>
          </w:p>
        </w:tc>
      </w:tr>
    </w:tbl>
    <w:p/>
    <w:p>
      <w:pPr>
        <w:pStyle w:val="Heading1"/>
      </w:pPr>
      <w:r>
        <w:t>4. Current software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Current role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Key output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MediaPrep + StimulusFingerprint v1.8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Generates Target/Override/Control videos, cue schedules, draft/locked anchors, ALS pulse, and stimulus regressors.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MP4s, cue JSON/CSV, anchor JSON/CSV, qc/stimulus_exogenous_regressor_frame_all_conditions.csv.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PRAYCG2.0 runner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Presents phases, emits StasisMarkers, records media selection hashes, collects consolidated self-report and confounds.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events.csv/json, run config, self-report JSON, confound JSON, override task report.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Master Comprehensive Suite v1.5.5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Computes feature frame, QC tables, A-MRED, MRED-Peak/Resolution, NIP/TTI/NUPI/CET/EET/ITP/OCM/RSM outputs.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tables/*.csv, reports/*.md/pdf/docx, offline interpretive report.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MasterSync Visualizer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Creates synchronized public/TSC or lab MP4 review videos with overlays.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MP4 plus features_used/events_used/render report sidecars.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 interpretive report generator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Rule-based local plain-English summary of module outputs.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offline_interpretive_report.md/txt/json.</w:t>
            </w:r>
          </w:p>
        </w:tc>
      </w:tr>
    </w:tbl>
    <w:p/>
    <w:p>
      <w:pPr>
        <w:pStyle w:val="Heading1"/>
      </w:pPr>
      <w:r>
        <w:t>5. Primary endpoint compression: A-MRED</w:t>
      </w:r>
    </w:p>
    <w:p>
      <w:r>
        <w:t>A-MRED is now the recommended primary endpoint for future runs. It converts the overcomplete research workbench into a smaller confirmatory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top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A-MRED rule</w:t>
            </w:r>
          </w:p>
        </w:tc>
      </w:tr>
      <w:tr>
        <w:tc>
          <w:tcPr>
            <w:tcW w:type="dxa" w:w="10224"/>
            <w:shd w:fill="EAF3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predeclared scene event passes only if Target shows both meaning recognition and delayed integration greater than Control and Override after timing, artifact, confound, and stimulus-rhythm controls. If the anchor is estimated or not frame-verified, the result can be a pilot-positive candidate but not strict confirmation.</w:t>
            </w:r>
          </w:p>
        </w:tc>
      </w:tr>
    </w:tbl>
    <w:p/>
    <w:p>
      <w:r>
        <w:t>The conceptual formula is:</w:t>
      </w:r>
    </w:p>
    <w:p>
      <w:r>
        <w:t>A-MRED_j = 1[MR_T,j &gt; threshold_MR] * 1[ENC_T,j &gt; threshold_ENC] * 1[MR_T,j &gt; MR_C,j + delta] * 1[MR_T,j &gt; MR_O,j + delta] * 1[ENC_T,j &gt; ENC_C,j + delta] * 1[ENC_T,j &gt; ENC_O,j + delta] * 1[QC_j = PASS]</w:t>
      </w:r>
    </w:p>
    <w:p>
      <w:pPr>
        <w:pStyle w:val="Heading1"/>
      </w:pPr>
      <w:r>
        <w:t>6. MRED-Peak and MRED-Resolution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Best current archetype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Caution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MRED-Peak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the anchor produce an acute meaning-recognition event with delayed/theta/topological integration?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Contact father/avatar region.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Contact anchors were conceptually predeclared but not runner-registered in the original run.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MRED-Resolution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the anchor produce delayed reflective/regulatory recovery rather than a sharp peak?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Field of Dreams closure/recovery profile.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Field anchors were runner-loaded but YouTube-estimated and not frame-verified.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Recognition-dominant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meaningful recognition appear without strict integration or resolution pass?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Arrival.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Older run lacks PRAYCG2.0 Baseline2 and is ROI-cautioned.</w:t>
            </w:r>
          </w:p>
        </w:tc>
      </w:tr>
    </w:tbl>
    <w:p/>
    <w:p>
      <w:pPr>
        <w:pStyle w:val="Heading1"/>
      </w:pPr>
      <w:r>
        <w:t>7. Narrative Update Polarity Index (NUPI)</w:t>
      </w:r>
    </w:p>
    <w:p>
      <w:r>
        <w:t>NUPI asks whether an event appears more like accommodative load or resolutive recovery. It is not literal thermodynamics, calorimetry, or a clinical healing score. It compares an update-load profile against a regulatory-dividend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Run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Current profile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Interpretive meaning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High-load-with-recovery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Strong acute semantic intensity with substantial after-state recovery.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Field of Dreams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Resolutive-recovery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Lower immediate amplitude but stronger reflective/parasympathetic after-state profile.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Arrival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Polarity unresolved / recognition-dominant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Meaning recognition appears plausible, but older data cannot grade resolution cleanly.</w:t>
            </w:r>
          </w:p>
        </w:tc>
      </w:tr>
    </w:tbl>
    <w:p/>
    <w:p>
      <w:pPr>
        <w:pStyle w:val="Heading1"/>
      </w:pPr>
      <w:r>
        <w:t>8. Current pilot evidence summary</w:t>
      </w:r>
    </w:p>
    <w:p>
      <w:r>
        <w:t>The current self-run evidence is useful for methods development and hypothesis generation. It is not a confirmatory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Run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Best use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Current grade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Gold-plated but not gold-record example; strongest MRED-Peak archetype; future-freeze candidate.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Conceptually predeclared / not runner-registered.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Field of Dreams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MRED-Resolution/NUPI recovery candidate; PRAYCG2.0 and blind anchor file loaded.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Runner-registered estimated-anchor pilot; not frame-verified confirmatory.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Arrival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recognition-vs-encoding lesson; meaningful/familiar scene reactivation without strict event lock.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Older run; not resolution-gradable.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Confound/legibility/audio caution case; useful for RSM/CVB/SquintProxy development.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Pilot/cautioned.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Snack Attack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Cue-visibility and running-sum burden stress test.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 microstate development case.</w:t>
            </w:r>
          </w:p>
        </w:tc>
      </w:tr>
    </w:tbl>
    <w:p/>
    <w:p>
      <w:pPr>
        <w:pStyle w:val="Heading1"/>
      </w:pPr>
      <w:r>
        <w:t>9. Public release posture</w:t>
      </w:r>
    </w:p>
    <w:p>
      <w:r>
        <w:t>The public GitHub/OSF release should be framed as an open-methods package, not as a final empirical proof package. Contact may serve as the demonstration folder labeled gold-plated but not gold-record. The package should include code, templates, documentation, safety/ethics/privacy boundaries, public-safe derived examples, and the no-copyright synthetic demo. It should not include copyrighted movie clips or private raw biosignals by default.</w:t>
      </w:r>
    </w:p>
    <w:p>
      <w:pPr>
        <w:pStyle w:val="Heading1"/>
      </w:pPr>
      <w:r>
        <w:t>10. Next confirmatory study design</w:t>
      </w:r>
    </w:p>
    <w:p>
      <w:pPr>
        <w:pStyle w:val="ListBullet"/>
      </w:pPr>
      <w:r>
        <w:t>Use PRAYCG2.0 or later with consolidated self-report and final reflection baseline.</w:t>
      </w:r>
    </w:p>
    <w:p>
      <w:pPr>
        <w:pStyle w:val="ListBullet"/>
      </w:pPr>
      <w:r>
        <w:t>Generate final videos with MediaPrep/StimulusFingerprint v1.8 or later.</w:t>
      </w:r>
    </w:p>
    <w:p>
      <w:pPr>
        <w:pStyle w:val="ListBullet"/>
      </w:pPr>
      <w:r>
        <w:t>Frame-verify anchor times on the final rendered Target MP4 before acquisition.</w:t>
      </w:r>
    </w:p>
    <w:p>
      <w:pPr>
        <w:pStyle w:val="ListBullet"/>
      </w:pPr>
      <w:r>
        <w:t>Load the locked anchor JSON into the runner so markers and hashes are recorded.</w:t>
      </w:r>
    </w:p>
    <w:p>
      <w:pPr>
        <w:pStyle w:val="ListBullet"/>
      </w:pPr>
      <w:r>
        <w:t>Validate ALS/PT19 full-screen pulse for Control, Target, and Override before running.</w:t>
      </w:r>
    </w:p>
    <w:p>
      <w:pPr>
        <w:pStyle w:val="ListBullet"/>
      </w:pPr>
      <w:r>
        <w:t>Add EOG/EMG if possible to harden gamma and blink/ocular interpretations.</w:t>
      </w:r>
    </w:p>
    <w:p>
      <w:pPr>
        <w:pStyle w:val="ListBullet"/>
      </w:pPr>
      <w:r>
        <w:t>Use A-MRED as the primary endpoint; keep NIP/TTI/NUPI secondary; keep KHT/EET/ITP/OCM/RSM exploratory.</w:t>
      </w:r>
    </w:p>
    <w:p>
      <w:pPr>
        <w:pStyle w:val="ListBullet"/>
      </w:pPr>
      <w:r>
        <w:t>Treat self-report as an independent covariate stream, not proof of internal state.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Single-participant self-runs cannot establish generalizability.</w:t>
      </w:r>
    </w:p>
    <w:p>
      <w:pPr>
        <w:pStyle w:val="ListBullet"/>
      </w:pPr>
      <w:r>
        <w:t>OpenBCI scalp EEG cannot directly measure microtubules, biophotons, dopamine, oxytocin, ATP use, or cellular memory traces.</w:t>
      </w:r>
    </w:p>
    <w:p>
      <w:pPr>
        <w:pStyle w:val="ListBullet"/>
      </w:pPr>
      <w:r>
        <w:t>Gamma-derived features are artifact-sensitive and must not be interpreted alone.</w:t>
      </w:r>
    </w:p>
    <w:p>
      <w:pPr>
        <w:pStyle w:val="ListBullet"/>
      </w:pPr>
      <w:r>
        <w:t>Estimated anchors and weak ALS timing downgrade endpoint claims.</w:t>
      </w:r>
    </w:p>
    <w:p>
      <w:pPr>
        <w:pStyle w:val="ListBullet"/>
      </w:pPr>
      <w:r>
        <w:t>Control audio unintelligibility and visual source-stamp cleanup require manual QC.</w:t>
      </w:r>
    </w:p>
    <w:p>
      <w:pPr>
        <w:pStyle w:val="ListBullet"/>
      </w:pPr>
      <w:r>
        <w:t>Complexity, blink, EET, and NUPI modules are convergence tools, not proof layers.</w:t>
      </w:r>
    </w:p>
    <w:p>
      <w:pPr>
        <w:pStyle w:val="Heading1"/>
      </w:pPr>
      <w:r>
        <w:t>12. Conclusion</w:t>
      </w:r>
    </w:p>
    <w:p>
      <w:r>
        <w:t>The mature form of the project is smaller and stronger than the original theoretical ambition. PR-AYC-G is now best described as an open, auditable protocol for testing whether narrative meaning has timing, shape, and physiological consequence. The recommended primary path is A-MRED, with MRED-Peak and MRED-Resolution separating acute meaning shock from delayed closure/recovery. Topo-OSM remains a human-scale interpretation layer; cellular OSM remains quarantined until directly measured.</w:t>
      </w:r>
    </w:p>
    <w:p>
      <w:pPr>
        <w:pStyle w:val="Heading1"/>
      </w:pPr>
      <w:r>
        <w:t>Appendix A. Source basis for this update</w:t>
      </w:r>
    </w:p>
    <w:p>
      <w:pPr>
        <w:pStyle w:val="ListBullet"/>
      </w:pPr>
      <w:r>
        <w:t>Working manuscript v0.2/v0.3, including the existing claim-boundary language and software-stack description.</w:t>
      </w:r>
    </w:p>
    <w:p>
      <w:pPr>
        <w:pStyle w:val="ListBullet"/>
      </w:pPr>
      <w:r>
        <w:t>PRAYCG2.0 runner files from Field of Dreams Run 1, including loaded media paths, anchor file, final reflection baseline, and consolidated reports.</w:t>
      </w:r>
    </w:p>
    <w:p>
      <w:pPr>
        <w:pStyle w:val="ListBullet"/>
      </w:pPr>
      <w:r>
        <w:t>Master Comprehensive Suite v1.5.5 design: A-MRED, MRED-Peak/Resolution, offline interpreter, and module-tier compression.</w:t>
      </w:r>
    </w:p>
    <w:p>
      <w:pPr>
        <w:pStyle w:val="ListBullet"/>
      </w:pPr>
      <w:r>
        <w:t>Contact, Field, Arrival, NUPI, and MRED-Peak/Resolution analysis reports generated in this workflow.</w:t>
      </w:r>
    </w:p>
    <w:p>
      <w:pPr>
        <w:pStyle w:val="ListBullet"/>
      </w:pPr>
      <w:r>
        <w:t>MediaPrep reports documenting Target/Override identity, phase-scrambled Control, ALS timing square, cue schedules, and QC boundaries.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PRAYCG / Topo-OSM working documents - exploratory methods architecture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66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rPr>
      <w:rFonts w:ascii="Aptos" w:hAnsi="Aptos"/>
      <w:sz w:val="18"/>
    </w:r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