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Calibri" w:cs="Calibri" w:eastAsia="Calibri" w:hAnsi="Calibri"/>
          <w:b/>
          <w:bCs/>
          <w:caps/>
          <w:color w:val="8A6D3B"/>
          <w:sz w:val="30"/>
          <w:szCs w:val="30"/>
        </w:rPr>
        <w:t xml:space="preserve">TwinX™ for Vanguard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b/>
          <w:bCs/>
          <w:color w:val="96151D"/>
          <w:sz w:val="64"/>
          <w:szCs w:val="64"/>
        </w:rPr>
        <w:t xml:space="preserve">Plan Sponsor OS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1A1A1A"/>
          <w:sz w:val="34"/>
          <w:szCs w:val="34"/>
        </w:rPr>
        <w:t xml:space="preserve">15-Minute Pitch Demo Script</w:t>
      </w:r>
    </w:p>
    <w:p>
      <w:pPr>
        <w:spacing w:after="400" w:before="60"/>
        <w:jc w:val="center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End-to-end walkthrough · one storyline · one plan sponsor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From static plan communications to adaptive plan-design intelligence.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Audience: Vanguard Retirement — growth, relationship &amp; fiduciary stakeholders</w:t>
      </w:r>
    </w:p>
    <w:p>
      <w:pPr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Mode: Guided (presenter-controlled) · Runtime: 15 minutes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96151D"/>
          <w:sz w:val="30"/>
          <w:szCs w:val="30"/>
        </w:rPr>
        <w:t xml:space="preserve">Executive Thesis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Vanguard leads the industry on participant outcomes. The constraint on the next leg of growth is not advice quality — it is the </w:t>
      </w:r>
      <w:r>
        <w:rPr>
          <w:rFonts w:ascii="Calibri" w:cs="Calibri" w:eastAsia="Calibri" w:hAnsi="Calibri"/>
          <w:b/>
          <w:bCs/>
        </w:rPr>
        <w:t xml:space="preserve">decision velocity and defensibility of plan design</w:t>
      </w:r>
      <w:r>
        <w:rPr>
          <w:rFonts w:ascii="Calibri" w:cs="Calibri" w:eastAsia="Calibri" w:hAnsi="Calibri"/>
        </w:rPr>
        <w:t xml:space="preserve">. Today those decisions move on quarterly cycles, in spreadsheets, with no way to test them before they reach participants and no causal proof of what they returned.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TwinX converts plan-design into a </w:t>
      </w:r>
      <w:r>
        <w:rPr>
          <w:rFonts w:ascii="Calibri" w:cs="Calibri" w:eastAsia="Calibri" w:hAnsi="Calibri"/>
          <w:b/>
          <w:bCs/>
        </w:rPr>
        <w:t xml:space="preserve">simulation-native, holdout-measured, compliance-gated operating system</w:t>
      </w:r>
      <w:r>
        <w:rPr>
          <w:rFonts w:ascii="Calibri" w:cs="Calibri" w:eastAsia="Calibri" w:hAnsi="Calibri"/>
        </w:rPr>
        <w:t xml:space="preserve">. The economic case is three-part: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8A6D3B"/>
        </w:rPr>
        <w:t xml:space="preserve">Growth: </w:t>
      </w:r>
      <w:r>
        <w:rPr>
          <w:rFonts w:ascii="Calibri" w:cs="Calibri" w:eastAsia="Calibri" w:hAnsi="Calibri"/>
        </w:rPr>
        <w:t xml:space="preserve">a $3.0B net-new AUM opportunity across the book, with $2.2B already realized — every dollar measured against a control group.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96151D"/>
        </w:rPr>
        <w:t xml:space="preserve">Retention &amp; risk: </w:t>
      </w:r>
      <w:r>
        <w:rPr>
          <w:rFonts w:ascii="Calibri" w:cs="Calibri" w:eastAsia="Calibri" w:hAnsi="Calibri"/>
        </w:rPr>
        <w:t xml:space="preserve">at-risk-sponsor AUM exposure is surfaced and worked before renewal, and fiduciary risk is modeled as a first-class output, not discovered in audit.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7D48"/>
        </w:rPr>
        <w:t xml:space="preserve">Operating leverage: </w:t>
      </w:r>
      <w:r>
        <w:rPr>
          <w:rFonts w:ascii="Calibri" w:cs="Calibri" w:eastAsia="Calibri" w:hAnsi="Calibri"/>
        </w:rPr>
        <w:t xml:space="preserve">every decision is captured as reusable institutional memory, so cost-to-decide falls and quality rises with each cycle.</w:t>
      </w:r>
    </w:p>
    <w:p>
      <w:pPr>
        <w:pBdr>
          <w:top w:val="single" w:color="D9D4CC" w:sz="4"/>
          <w:bottom w:val="single" w:color="D9D4CC" w:sz="4"/>
          <w:left w:val="single" w:color="96151D" w:sz="20"/>
          <w:right w:val="single" w:color="D9D4CC" w:sz="4"/>
        </w:pBdr>
        <w:shd w:fill="F4F1EA" w:color="auto" w:val="clear"/>
        <w:spacing w:after="160" w:before="60" w:line="276"/>
        <w:ind w:left="120" w:right="120"/>
      </w:pPr>
      <w:r>
        <w:rPr>
          <w:rFonts w:ascii="Calibri" w:cs="Calibri" w:eastAsia="Calibri" w:hAnsi="Calibri"/>
          <w:b/>
          <w:bCs/>
          <w:caps/>
          <w:color w:val="96151D"/>
          <w:sz w:val="16"/>
          <w:szCs w:val="16"/>
        </w:rPr>
        <w:t xml:space="preserve">BOTTOM LINE FOR THE C-SUITE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This is not a marketing tool. It is a growth-and-governance engine that makes Vanguard’s fiduciary advantage compound instead of decay.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96151D"/>
          <w:sz w:val="30"/>
          <w:szCs w:val="30"/>
        </w:rPr>
        <w:t xml:space="preserve">Before You Present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whole demo follows </w:t>
      </w:r>
      <w:r>
        <w:rPr>
          <w:rFonts w:ascii="Calibri" w:cs="Calibri" w:eastAsia="Calibri" w:hAnsi="Calibri"/>
          <w:b/>
          <w:bCs/>
        </w:rPr>
        <w:t xml:space="preserve">one person, one book, one sponsor</w:t>
      </w:r>
      <w:r>
        <w:rPr>
          <w:rFonts w:ascii="Calibri" w:cs="Calibri" w:eastAsia="Calibri" w:hAnsi="Calibri"/>
        </w:rPr>
        <w:t xml:space="preserve">. You are </w:t>
      </w:r>
      <w:r>
        <w:rPr>
          <w:rFonts w:ascii="Calibri" w:cs="Calibri" w:eastAsia="Calibri" w:hAnsi="Calibri"/>
          <w:b/>
          <w:bCs/>
        </w:rPr>
        <w:t xml:space="preserve">Alex</w:t>
      </w:r>
      <w:r>
        <w:rPr>
          <w:rFonts w:ascii="Calibri" w:cs="Calibri" w:eastAsia="Calibri" w:hAnsi="Calibri"/>
        </w:rPr>
        <w:t xml:space="preserve"> — a Vanguard Retirement lead who owns a book of plan sponsors. The story is a single arc: notice a problem across the book, drill into one sponsor, design a plan-design response, prove it out, ship it compliantly, and let the platform remember what worked.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The three numbers to land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8A6D3B"/>
        </w:rPr>
        <w:t xml:space="preserve">$3.0B net-new AUM opportunity</w:t>
      </w:r>
      <w:r>
        <w:rPr>
          <w:rFonts w:ascii="Calibri" w:cs="Calibri" w:eastAsia="Calibri" w:hAnsi="Calibri"/>
        </w:rPr>
        <w:t xml:space="preserve"> identified across the book — with $2.2B already realized from prior campaigns.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E7D48"/>
        </w:rPr>
        <w:t xml:space="preserve">Every launch carries a preserved holdout</w:t>
      </w:r>
      <w:r>
        <w:rPr>
          <w:rFonts w:ascii="Calibri" w:cs="Calibri" w:eastAsia="Calibri" w:hAnsi="Calibri"/>
        </w:rPr>
        <w:t xml:space="preserve"> — impact is measured causally, not claimed.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96151D"/>
        </w:rPr>
        <w:t xml:space="preserve">Five-Rail Compliance runs before anything ships</w:t>
      </w:r>
      <w:r>
        <w:rPr>
          <w:rFonts w:ascii="Calibri" w:cs="Calibri" w:eastAsia="Calibri" w:hAnsi="Calibri"/>
        </w:rPr>
        <w:t xml:space="preserve"> — advice-vs-education boundary, eligibility, disclosures, consent, and fiduciary tone.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Pre-demo checklist</w:t>
      </w:r>
    </w:p>
    <w:p>Open the deployed URL in Chrome/Edge, full-screen (F11). Confirm the Home screen loads with the “Good morning, Alex” brief.</w:p>
    <w:p>Confirm the four sidebar items are visible: Home · Signals · Decision Lab · Memory.</w:p>
    <w:p>Do a dry run of the Decision Lab: the 7 steps must advance Objective → Deployment without a dead end.</w:p>
    <w:p>Reset before presenting: refresh the browser so no campaign is pre-deployed in Memory.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Runtime map</w:t>
      </w:r>
    </w:p>
    <w:tbl>
      <w:tblPr>
        <w:tblW w:type="dxa" w:w="9100"/>
        <w:tblBorders>
          <w:top w:val="single" w:color="D9D4CC" w:sz="4"/>
          <w:left w:val="single" w:color="D9D4CC" w:sz="4"/>
          <w:bottom w:val="single" w:color="D9D4CC" w:sz="4"/>
          <w:right w:val="single" w:color="D9D4CC" w:sz="4"/>
          <w:insideH w:val="single" w:color="D9D4CC" w:sz="4"/>
          <w:insideV w:val="single" w:color="D9D4CC" w:sz="4"/>
        </w:tblBorders>
      </w:tblPr>
      <w:tblGrid>
        <w:gridCol w:w="1500"/>
        <w:gridCol w:w="2600"/>
        <w:gridCol w:w="1100"/>
        <w:gridCol w:w="3900"/>
      </w:tblGrid>
      <w:tr>
        <w:trPr>
          <w:tblHeader/>
        </w:trPr>
        <w:tc>
          <w:tcPr>
            <w:tcW w:type="dxa" w:w="1500"/>
            <w:shd w:fill="96151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</w:t>
            </w:r>
          </w:p>
        </w:tc>
        <w:tc>
          <w:tcPr>
            <w:tcW w:type="dxa" w:w="2600"/>
            <w:shd w:fill="96151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100"/>
            <w:shd w:fill="96151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900"/>
            <w:shd w:fill="96151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proves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0 · Framing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0:45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premise in two sentences</w:t>
            </w:r>
          </w:p>
        </w:tc>
      </w:tr>
      <w:tr>
        <w:tc>
          <w:tcPr>
            <w:tcW w:type="dxa" w:w="15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 · Book Overview</w:t>
            </w:r>
          </w:p>
        </w:tc>
        <w:tc>
          <w:tcPr>
            <w:tcW w:type="dxa" w:w="26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Home</w:t>
            </w:r>
          </w:p>
        </w:tc>
        <w:tc>
          <w:tcPr>
            <w:tcW w:type="dxa" w:w="11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2:00</w:t>
            </w:r>
          </w:p>
        </w:tc>
        <w:tc>
          <w:tcPr>
            <w:tcW w:type="dxa" w:w="39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Portfolio-level growth lens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 · Signals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Signals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2:30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Reaction-based detection + root cause</w:t>
            </w:r>
          </w:p>
        </w:tc>
      </w:tr>
      <w:tr>
        <w:tc>
          <w:tcPr>
            <w:tcW w:type="dxa" w:w="15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3 · Design</w:t>
            </w:r>
          </w:p>
        </w:tc>
        <w:tc>
          <w:tcPr>
            <w:tcW w:type="dxa" w:w="26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Decision Lab (1–2)</w:t>
            </w:r>
          </w:p>
        </w:tc>
        <w:tc>
          <w:tcPr>
            <w:tcW w:type="dxa" w:w="11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2:00</w:t>
            </w:r>
          </w:p>
        </w:tc>
        <w:tc>
          <w:tcPr>
            <w:tcW w:type="dxa" w:w="39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Objective + plan-design levers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4 · Simulate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Decision Lab (3)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2:15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Impact vs do-nothing, with holdout</w:t>
            </w:r>
          </w:p>
        </w:tc>
      </w:tr>
      <w:tr>
        <w:tc>
          <w:tcPr>
            <w:tcW w:type="dxa" w:w="15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5 · Content</w:t>
            </w:r>
          </w:p>
        </w:tc>
        <w:tc>
          <w:tcPr>
            <w:tcW w:type="dxa" w:w="26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Decision Lab (4)</w:t>
            </w:r>
          </w:p>
        </w:tc>
        <w:tc>
          <w:tcPr>
            <w:tcW w:type="dxa" w:w="11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1:30</w:t>
            </w:r>
          </w:p>
        </w:tc>
        <w:tc>
          <w:tcPr>
            <w:tcW w:type="dxa" w:w="39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Education-classified generation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6 · Compliance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Decision Lab (5)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2:00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Five-Rail guardrails catch violations</w:t>
            </w:r>
          </w:p>
        </w:tc>
      </w:tr>
      <w:tr>
        <w:tc>
          <w:tcPr>
            <w:tcW w:type="dxa" w:w="15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7 · Ship</w:t>
            </w:r>
          </w:p>
        </w:tc>
        <w:tc>
          <w:tcPr>
            <w:tcW w:type="dxa" w:w="26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Decision Lab (6–7)</w:t>
            </w:r>
          </w:p>
        </w:tc>
        <w:tc>
          <w:tcPr>
            <w:tcW w:type="dxa" w:w="11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1:30</w:t>
            </w:r>
          </w:p>
        </w:tc>
        <w:tc>
          <w:tcPr>
            <w:tcW w:type="dxa" w:w="39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Approvals + staged deploy w/ holdout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8 · Learn &amp; close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Memory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0:30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Institutional memory compounds</w:t>
            </w:r>
          </w:p>
        </w:tc>
      </w:tr>
    </w:tbl>
    <w:p>
      <w:r>
        <w:br w:type="page"/>
      </w:r>
    </w:p>
    <w:p>
      <w:pPr>
        <w:pStyle w:val="Heading1"/>
        <w:spacing w:after="60" w:before="340"/>
      </w:pPr>
      <w:r>
        <w:rPr>
          <w:rFonts w:ascii="Calibri" w:cs="Calibri" w:eastAsia="Calibri" w:hAnsi="Calibri"/>
          <w:b/>
          <w:bCs/>
          <w:color w:val="96151D"/>
          <w:sz w:val="28"/>
          <w:szCs w:val="28"/>
        </w:rPr>
        <w:t xml:space="preserve">Act 0 · Framing — the premise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8A6D3B"/>
          <w:sz w:val="20"/>
          <w:szCs w:val="20"/>
        </w:rPr>
        <w:t xml:space="preserve">0:00 – 0:45   </w:t>
      </w:r>
      <w:r>
        <w:rPr>
          <w:rFonts w:ascii="Calibri" w:cs="Calibri" w:eastAsia="Calibri" w:hAnsi="Calibri"/>
          <w:color w:val="6B6B6B"/>
          <w:sz w:val="19"/>
          <w:szCs w:val="19"/>
        </w:rPr>
        <w:t xml:space="preserve">Screen: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Home (do not click yet)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“Vanguard already drives the best participant behavior in the industry. The problem isn't the advice — it's that the plan-design decisions behind it are still made on quarterly cycles, in spreadsheets, without a way to test them before they hit real participants.”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“TwinX turns that into a simulation-native decision platform. Same Vanguard experience, same fiduciary discipline — but every plan-design move is sensed, simulated against a do-nothing baseline, compliance-checked, and measured against a holdout. Let me show you a single decision, end to end.”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Do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Stay on the Home screen. Don’t click yet — let the brief sit for a beat.</w:t>
      </w:r>
    </w:p>
    <w:p>
      <w:pPr>
        <w:pStyle w:val="Heading1"/>
        <w:spacing w:after="60" w:before="340"/>
      </w:pPr>
      <w:r>
        <w:rPr>
          <w:rFonts w:ascii="Calibri" w:cs="Calibri" w:eastAsia="Calibri" w:hAnsi="Calibri"/>
          <w:b/>
          <w:bCs/>
          <w:color w:val="96151D"/>
          <w:sz w:val="28"/>
          <w:szCs w:val="28"/>
        </w:rPr>
        <w:t xml:space="preserve">Act 1 · Book Overview — how is the book doing?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8A6D3B"/>
          <w:sz w:val="20"/>
          <w:szCs w:val="20"/>
        </w:rPr>
        <w:t xml:space="preserve">0:45 – 2:45   </w:t>
      </w:r>
      <w:r>
        <w:rPr>
          <w:rFonts w:ascii="Calibri" w:cs="Calibri" w:eastAsia="Calibri" w:hAnsi="Calibri"/>
          <w:color w:val="6B6B6B"/>
          <w:sz w:val="19"/>
          <w:szCs w:val="19"/>
        </w:rPr>
        <w:t xml:space="preserve">Screen: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Home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Home screen is a </w:t>
      </w:r>
      <w:r>
        <w:rPr>
          <w:rFonts w:ascii="Calibri" w:cs="Calibri" w:eastAsia="Calibri" w:hAnsi="Calibri"/>
          <w:b/>
          <w:bCs/>
        </w:rPr>
        <w:t xml:space="preserve">morning brief for a book of plan sponsors</w:t>
      </w:r>
      <w:r>
        <w:rPr>
          <w:rFonts w:ascii="Calibri" w:cs="Calibri" w:eastAsia="Calibri" w:hAnsi="Calibri"/>
        </w:rPr>
        <w:t xml:space="preserve"> — not a dashboard of vanity metrics, a prioritized worklist.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Point to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four book stats — 21,261 plan sponsors, ~1.02M participant accounts, 73% aggregate participation, and $412M of AUM exposure at at-risk sponsors.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“This is your whole book. Participation looks healthy at 73% plan-weighted — but underneath it there's $412 million of AUM exposure sitting in sponsors that are drifting below benchmark.”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Point to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Growth scorecard — $3.0B net-new AUM opportunity, $2.2B realized to date, average participation lift delivered vs holdout, and campaigns currently live.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“Here's the growth lens a CXO cares about: three billion in net-new AUM opportunity across the book, and we've already converted 2.2 billion of it. Every one of those numbers is measured against a holdout, so it's defensible.”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Point to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“Today’s Focus” strip and the “Priority items” table — sponsors ranked by risk × value.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“And the platform has already done the triage. Top of the list: Meridian Logistics — 42,000 employees, participation 14 points below benchmark, high renewal risk. That's the one costing us the most. Let's go look.”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Click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Meridian Logistics row in Priority items (or the Meridian item in Today’s Focus).</w:t>
      </w:r>
    </w:p>
    <w:p>
      <w:pPr>
        <w:pBdr>
          <w:top w:val="single" w:color="D9D4CC" w:sz="4"/>
          <w:bottom w:val="single" w:color="D9D4CC" w:sz="4"/>
          <w:left w:val="single" w:color="96151D" w:sz="20"/>
          <w:right w:val="single" w:color="D9D4CC" w:sz="4"/>
        </w:pBdr>
        <w:shd w:fill="F4F1EA" w:color="auto" w:val="clear"/>
        <w:spacing w:after="160" w:before="60" w:line="276"/>
        <w:ind w:left="120" w:right="120"/>
      </w:pPr>
      <w:r>
        <w:rPr>
          <w:rFonts w:ascii="Calibri" w:cs="Calibri" w:eastAsia="Calibri" w:hAnsi="Calibri"/>
          <w:b/>
          <w:bCs/>
          <w:caps/>
          <w:color w:val="96151D"/>
          <w:sz w:val="16"/>
          <w:szCs w:val="16"/>
        </w:rPr>
        <w:t xml:space="preserve">BOTTOM LINE FOR THE C-SUITE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book is already triaged by risk × value. Leadership sees where the next dollar of AUM is — and what it costs to leave it on the table — without commissioning an analysis.</w:t>
      </w:r>
    </w:p>
    <w:p>
      <w:pPr>
        <w:pStyle w:val="Heading1"/>
        <w:spacing w:after="60" w:before="340"/>
      </w:pPr>
      <w:r>
        <w:rPr>
          <w:rFonts w:ascii="Calibri" w:cs="Calibri" w:eastAsia="Calibri" w:hAnsi="Calibri"/>
          <w:b/>
          <w:bCs/>
          <w:color w:val="96151D"/>
          <w:sz w:val="28"/>
          <w:szCs w:val="28"/>
        </w:rPr>
        <w:t xml:space="preserve">Act 2 · Signals — what is TwinX seeing?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8A6D3B"/>
          <w:sz w:val="20"/>
          <w:szCs w:val="20"/>
        </w:rPr>
        <w:t xml:space="preserve">2:45 – 5:15   </w:t>
      </w:r>
      <w:r>
        <w:rPr>
          <w:rFonts w:ascii="Calibri" w:cs="Calibri" w:eastAsia="Calibri" w:hAnsi="Calibri"/>
          <w:color w:val="6B6B6B"/>
          <w:sz w:val="19"/>
          <w:szCs w:val="19"/>
        </w:rPr>
        <w:t xml:space="preserve">Screen: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Signals → Company Analysis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You land on the </w:t>
      </w:r>
      <w:r>
        <w:rPr>
          <w:rFonts w:ascii="Calibri" w:cs="Calibri" w:eastAsia="Calibri" w:hAnsi="Calibri"/>
          <w:b/>
          <w:bCs/>
        </w:rPr>
        <w:t xml:space="preserve">Signals</w:t>
      </w:r>
      <w:r>
        <w:rPr>
          <w:rFonts w:ascii="Calibri" w:cs="Calibri" w:eastAsia="Calibri" w:hAnsi="Calibri"/>
        </w:rPr>
        <w:t xml:space="preserve"> intelligence view first. Briefly show the two tabs, then go into the company deep-dive.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Point to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Market Intelligence cards — SECURE 2.0 mandatory auto-enrollment, volatility regime break, rate moves. Then the KPIs tab — book-level behavior radar.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“Every signal here is reaction-based — a regulation that actually changed, a rate move that actually happened, a plan event we actually observed. We don't profile individuals or predict who's about to quit. That distinction matters for fiduciary posture, and it's baked into the platform, not bolted on.”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Do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Open the Meridian company signal to enter its Company Analysis (or you’re already here from Act 1).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Point to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snapshot row — eligible, enrolled, non-participants — and the $88M net-new AUM opportunity headline.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“Now the analysis. 10,700 eligible employees at Meridian have never enrolled. Close that gap to benchmark and it's $88 million in net-new assets — for this one sponsor.”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Point to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Cohort composition (“where the gap lives”) and Root-cause insights (“why”).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“But TwinX doesn't just size the gap — it decomposes it. The non-participation isn't one problem, it's four: new-hire enrollment lag, people stuck below the match, people frozen at the 3% default, and legacy elections. Each of those wants a different plan-design lever.”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Click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“Send to Decision Lab” button (top-right).</w:t>
      </w:r>
    </w:p>
    <w:p>
      <w:pPr>
        <w:pBdr>
          <w:top w:val="single" w:color="D9D4CC" w:sz="4"/>
          <w:bottom w:val="single" w:color="D9D4CC" w:sz="4"/>
          <w:left w:val="single" w:color="96151D" w:sz="20"/>
          <w:right w:val="single" w:color="D9D4CC" w:sz="4"/>
        </w:pBdr>
        <w:shd w:fill="F4F1EA" w:color="auto" w:val="clear"/>
        <w:spacing w:after="160" w:before="60" w:line="276"/>
        <w:ind w:left="120" w:right="120"/>
      </w:pPr>
      <w:r>
        <w:rPr>
          <w:rFonts w:ascii="Calibri" w:cs="Calibri" w:eastAsia="Calibri" w:hAnsi="Calibri"/>
          <w:b/>
          <w:bCs/>
          <w:caps/>
          <w:color w:val="96151D"/>
          <w:sz w:val="16"/>
          <w:szCs w:val="16"/>
        </w:rPr>
        <w:t xml:space="preserve">BOTTOM LINE FOR THE C-SUITE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One under-performing sponsor is worth $88M in net-new AUM. The gap is decomposed into its causes automatically — the analyst-hours that used to precede a plan-design conversation are now instant.</w:t>
      </w:r>
    </w:p>
    <w:p>
      <w:pPr>
        <w:pStyle w:val="Heading1"/>
        <w:spacing w:after="60" w:before="340"/>
      </w:pPr>
      <w:r>
        <w:rPr>
          <w:rFonts w:ascii="Calibri" w:cs="Calibri" w:eastAsia="Calibri" w:hAnsi="Calibri"/>
          <w:b/>
          <w:bCs/>
          <w:color w:val="96151D"/>
          <w:sz w:val="28"/>
          <w:szCs w:val="28"/>
        </w:rPr>
        <w:t xml:space="preserve">Act 3 · Decision Lab — design the response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8A6D3B"/>
          <w:sz w:val="20"/>
          <w:szCs w:val="20"/>
        </w:rPr>
        <w:t xml:space="preserve">5:15 – 7:15   </w:t>
      </w:r>
      <w:r>
        <w:rPr>
          <w:rFonts w:ascii="Calibri" w:cs="Calibri" w:eastAsia="Calibri" w:hAnsi="Calibri"/>
          <w:color w:val="6B6B6B"/>
          <w:sz w:val="19"/>
          <w:szCs w:val="19"/>
        </w:rPr>
        <w:t xml:space="preserve">Screen: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Decision Lab · Steps 1–2 (Objective, Lever Selection)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Decision Lab is a </w:t>
      </w:r>
      <w:r>
        <w:rPr>
          <w:rFonts w:ascii="Calibri" w:cs="Calibri" w:eastAsia="Calibri" w:hAnsi="Calibri"/>
          <w:b/>
          <w:bCs/>
        </w:rPr>
        <w:t xml:space="preserve">portfolio workbench</w:t>
      </w:r>
      <w:r>
        <w:rPr>
          <w:rFonts w:ascii="Calibri" w:cs="Calibri" w:eastAsia="Calibri" w:hAnsi="Calibri"/>
        </w:rPr>
        <w:t xml:space="preserve">. Seven steps across the top: Objective → Lever Selection → Simulated Policy Impact → Content → Compliance → Approval → Deployment. Walk it like a workflow, not a settings page.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Step 1 · Objective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Point to the four objectives. “Increase participation” is recommended for Meridian. Note the channels and the industry-aware KPIs being tracked.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“First we set what we're optimizing. For Meridian it's participation — close the gap. Notice the KPIs it's tracking are industry-aware: this is Transportation &amp; Warehousing, so workforce-specific measures come along for free.”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Click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Next → advance to Step 2 · Lever Selection.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Step 2 · Lever Selection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Show the plan-design levers mapped to the cohorts: Auto Enrollment (initial default rate), Match Stretch, Auto Escalation (annual increase → cap), Re-enrollment. Each cohort gets its own lever, with a holdout preserved.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“Now the design. Each cohort from the analysis gets its own lever — auto-enrollment for the non-participants, a match stretch for the under-match group, auto-escalation for the stuck-at-default population. This is a portfolio of plan-design moves, not one blunt campaign — and a control group is carved out of every one.”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Click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Simulate strategies → advance to Step 3.</w:t>
      </w:r>
    </w:p>
    <w:p>
      <w:pPr>
        <w:pBdr>
          <w:top w:val="single" w:color="D9D4CC" w:sz="4"/>
          <w:bottom w:val="single" w:color="D9D4CC" w:sz="4"/>
          <w:left w:val="single" w:color="96151D" w:sz="20"/>
          <w:right w:val="single" w:color="D9D4CC" w:sz="4"/>
        </w:pBdr>
        <w:shd w:fill="F4F1EA" w:color="auto" w:val="clear"/>
        <w:spacing w:after="160" w:before="60" w:line="276"/>
        <w:ind w:left="120" w:right="120"/>
      </w:pPr>
      <w:r>
        <w:rPr>
          <w:rFonts w:ascii="Calibri" w:cs="Calibri" w:eastAsia="Calibri" w:hAnsi="Calibri"/>
          <w:b/>
          <w:bCs/>
          <w:caps/>
          <w:color w:val="96151D"/>
          <w:sz w:val="16"/>
          <w:szCs w:val="16"/>
        </w:rPr>
        <w:t xml:space="preserve">BOTTOM LINE FOR THE C-SUITE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Plan design becomes a portfolio decision, not a single bet — diversified across cohorts, each with a control group. That is how you scale interventions across 21,000 sponsors without scaling risk.</w:t>
      </w:r>
    </w:p>
    <w:p>
      <w:pPr>
        <w:pStyle w:val="Heading1"/>
        <w:spacing w:after="60" w:before="340"/>
      </w:pPr>
      <w:r>
        <w:rPr>
          <w:rFonts w:ascii="Calibri" w:cs="Calibri" w:eastAsia="Calibri" w:hAnsi="Calibri"/>
          <w:b/>
          <w:bCs/>
          <w:color w:val="96151D"/>
          <w:sz w:val="28"/>
          <w:szCs w:val="28"/>
        </w:rPr>
        <w:t xml:space="preserve">Act 4 · Simulate — prove it before it ships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8A6D3B"/>
          <w:sz w:val="20"/>
          <w:szCs w:val="20"/>
        </w:rPr>
        <w:t xml:space="preserve">7:15 – 9:30   </w:t>
      </w:r>
      <w:r>
        <w:rPr>
          <w:rFonts w:ascii="Calibri" w:cs="Calibri" w:eastAsia="Calibri" w:hAnsi="Calibri"/>
          <w:color w:val="6B6B6B"/>
          <w:sz w:val="19"/>
          <w:szCs w:val="19"/>
        </w:rPr>
        <w:t xml:space="preserve">Screen: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Decision Lab · Step 3 (Simulated Policy Impact)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Let the </w:t>
      </w:r>
      <w:r>
        <w:rPr>
          <w:rFonts w:ascii="Calibri" w:cs="Calibri" w:eastAsia="Calibri" w:hAnsi="Calibri"/>
          <w:b/>
          <w:bCs/>
        </w:rPr>
        <w:t xml:space="preserve">live simulation loader</w:t>
      </w:r>
      <w:r>
        <w:rPr>
          <w:rFonts w:ascii="Calibri" w:cs="Calibri" w:eastAsia="Calibri" w:hAnsi="Calibri"/>
        </w:rPr>
        <w:t xml:space="preserve"> run for its couple of seconds — it sells that this is computed, not canned. Then read the three cards.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Point to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Projected impact of the new policy — participation lift vs holdout, incremental enrollments, incremental AUM, AUM-to-cost ratio, plus fiduciary-risk and ADP-test movement.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“Here's the projected impact of the combined policy — participation lift measured against holdout, the net-new AUM, and the return on the employer's cost. And look: fiduciary risk score drops and the ADP nondiscrimination test moves to resolved. We're modeling the compliance consequences, not just the growth.”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Point to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“Impact contribution” bar — how the total splits across the levers (attribution).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“And we can attribute it — this much of the lift comes from auto-enrollment, this much from the match stretch. That's Shapley-style contribution, so when you report results you can defend where they came from.”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Point to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“Do nothing vs New Policy” table — current plan parameters beside the proposed ones.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“The most important column on this screen is ‘do nothing.’ Every option is measured against the cost of inaction — that's the discipline that keeps this honest.”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Click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Next → advance to Step 4.</w:t>
      </w:r>
    </w:p>
    <w:p>
      <w:pPr>
        <w:pBdr>
          <w:top w:val="single" w:color="D9D4CC" w:sz="4"/>
          <w:bottom w:val="single" w:color="D9D4CC" w:sz="4"/>
          <w:left w:val="single" w:color="96151D" w:sz="20"/>
          <w:right w:val="single" w:color="D9D4CC" w:sz="4"/>
        </w:pBdr>
        <w:shd w:fill="F4F1EA" w:color="auto" w:val="clear"/>
        <w:spacing w:after="160" w:before="60" w:line="276"/>
        <w:ind w:left="120" w:right="120"/>
      </w:pPr>
      <w:r>
        <w:rPr>
          <w:rFonts w:ascii="Calibri" w:cs="Calibri" w:eastAsia="Calibri" w:hAnsi="Calibri"/>
          <w:b/>
          <w:bCs/>
          <w:caps/>
          <w:color w:val="96151D"/>
          <w:sz w:val="16"/>
          <w:szCs w:val="16"/>
        </w:rPr>
        <w:t xml:space="preserve">BOTTOM LINE FOR THE C-SUITE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board sees return on the employer’s cost and the reduction in fiduciary and nondiscrimination-test risk — in the same view. Growth and governance are underwritten together, before a dollar is spent.</w:t>
      </w:r>
    </w:p>
    <w:p>
      <w:pPr>
        <w:pStyle w:val="Heading1"/>
        <w:spacing w:after="60" w:before="340"/>
      </w:pPr>
      <w:r>
        <w:rPr>
          <w:rFonts w:ascii="Calibri" w:cs="Calibri" w:eastAsia="Calibri" w:hAnsi="Calibri"/>
          <w:b/>
          <w:bCs/>
          <w:color w:val="96151D"/>
          <w:sz w:val="28"/>
          <w:szCs w:val="28"/>
        </w:rPr>
        <w:t xml:space="preserve">Act 5 · Content — generated, and classified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8A6D3B"/>
          <w:sz w:val="20"/>
          <w:szCs w:val="20"/>
        </w:rPr>
        <w:t xml:space="preserve">9:30 – 11:00   </w:t>
      </w:r>
      <w:r>
        <w:rPr>
          <w:rFonts w:ascii="Calibri" w:cs="Calibri" w:eastAsia="Calibri" w:hAnsi="Calibri"/>
          <w:color w:val="6B6B6B"/>
          <w:sz w:val="19"/>
          <w:szCs w:val="19"/>
        </w:rPr>
        <w:t xml:space="preserve">Screen: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Decision Lab · Step 4 (Content)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Let the content generation loader run. It drafts a </w:t>
      </w:r>
      <w:r>
        <w:rPr>
          <w:rFonts w:ascii="Calibri" w:cs="Calibri" w:eastAsia="Calibri" w:hAnsi="Calibri"/>
          <w:b/>
          <w:bCs/>
        </w:rPr>
        <w:t xml:space="preserve">board committee deck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participant communications</w:t>
      </w:r>
      <w:r>
        <w:rPr>
          <w:rFonts w:ascii="Calibri" w:cs="Calibri" w:eastAsia="Calibri" w:hAnsi="Calibri"/>
        </w:rPr>
        <w:t xml:space="preserve"> for the selected strategy, with disclosures attached.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Point to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two content groups: “For the board · committee deck” and participant-facing education content (emails, portal banners, required notices).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Do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Open one participant asset in the preview to show real, on-brand copy.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“The platform generates both audiences at once — the committee deck the sponsor's fiduciary committee needs to approve the change, and the participant-facing content. Every participant asset is classified as education, carries an opt-out path, and has its disclosures attached automatically. Nothing here is investment advice.”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Click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Run compliance check → advance to Step 5.</w:t>
      </w:r>
    </w:p>
    <w:p>
      <w:pPr>
        <w:pBdr>
          <w:top w:val="single" w:color="D9D4CC" w:sz="4"/>
          <w:bottom w:val="single" w:color="D9D4CC" w:sz="4"/>
          <w:left w:val="single" w:color="96151D" w:sz="20"/>
          <w:right w:val="single" w:color="D9D4CC" w:sz="4"/>
        </w:pBdr>
        <w:shd w:fill="F4F1EA" w:color="auto" w:val="clear"/>
        <w:spacing w:after="160" w:before="60" w:line="276"/>
        <w:ind w:left="120" w:right="120"/>
      </w:pPr>
      <w:r>
        <w:rPr>
          <w:rFonts w:ascii="Calibri" w:cs="Calibri" w:eastAsia="Calibri" w:hAnsi="Calibri"/>
          <w:b/>
          <w:bCs/>
          <w:caps/>
          <w:color w:val="96151D"/>
          <w:sz w:val="16"/>
          <w:szCs w:val="16"/>
        </w:rPr>
        <w:t xml:space="preserve">BOTTOM LINE FOR THE C-SUITE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Committee-ready and participant content are produced in one pass, pre-classified as education. The bottleneck between deciding and communicating — usually weeks of legal and creative review — collapses to minutes.</w:t>
      </w:r>
    </w:p>
    <w:p>
      <w:pPr>
        <w:pStyle w:val="Heading1"/>
        <w:spacing w:after="60" w:before="340"/>
      </w:pPr>
      <w:r>
        <w:rPr>
          <w:rFonts w:ascii="Calibri" w:cs="Calibri" w:eastAsia="Calibri" w:hAnsi="Calibri"/>
          <w:b/>
          <w:bCs/>
          <w:color w:val="96151D"/>
          <w:sz w:val="28"/>
          <w:szCs w:val="28"/>
        </w:rPr>
        <w:t xml:space="preserve">Act 6 · Compliance — the guardrails earn their keep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8A6D3B"/>
          <w:sz w:val="20"/>
          <w:szCs w:val="20"/>
        </w:rPr>
        <w:t xml:space="preserve">11:00 – 13:00   </w:t>
      </w:r>
      <w:r>
        <w:rPr>
          <w:rFonts w:ascii="Calibri" w:cs="Calibri" w:eastAsia="Calibri" w:hAnsi="Calibri"/>
          <w:color w:val="6B6B6B"/>
          <w:sz w:val="19"/>
          <w:szCs w:val="19"/>
        </w:rPr>
        <w:t xml:space="preserve">Screen: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Decision Lab · Step 5 (Five-Rail Compliance)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This is the </w:t>
      </w:r>
      <w:r>
        <w:rPr>
          <w:rFonts w:ascii="Calibri" w:cs="Calibri" w:eastAsia="Calibri" w:hAnsi="Calibri"/>
          <w:b/>
          <w:bCs/>
        </w:rPr>
        <w:t xml:space="preserve">trust moment</w:t>
      </w:r>
      <w:r>
        <w:rPr>
          <w:rFonts w:ascii="Calibri" w:cs="Calibri" w:eastAsia="Calibri" w:hAnsi="Calibri"/>
        </w:rPr>
        <w:t xml:space="preserve"> of the demo. Walk the five rails and dwell on the two that catch something.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Rail 1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Advice vs Education Boundary — all assets classified as education; no advice content in the payload.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Rail 2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Eligibility &amp; Suitability — actions checked against plan eligibility, QDIA, and default rules.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Rail 3 (flag)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Disclosure &amp; Risk Language — one participant email used implied performance-outcome language (“a bigger balance later”). Auto-corrected before output.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Rail 4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Contact Policy / Consent / Frequency — 1,240 participants suppressed for the frequency cap.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Rail 5 (removed)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Fiduciary &amp; Brand Tone — a portal line used solicitation phrasing (“sign up for advice… talk to an advisor now”) and was removed before output.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“Watch what the rails caught. Rail 3 flagged a participant email that implied a performance outcome and rewrote it into education language. Rail 5 stripped a line that crossed from education into solicitation. This is the failure mode every retirement provider fears — advice-adjacent language reaching a participant — and here it's caught by the platform before a human ever approves it.”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Say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Nothing advances to approval until every rail is green. This is the audit trail your compliance team has been asking for.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Click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Next → advance to Step 6.</w:t>
      </w:r>
    </w:p>
    <w:p>
      <w:pPr>
        <w:pBdr>
          <w:top w:val="single" w:color="D9D4CC" w:sz="4"/>
          <w:bottom w:val="single" w:color="D9D4CC" w:sz="4"/>
          <w:left w:val="single" w:color="96151D" w:sz="20"/>
          <w:right w:val="single" w:color="D9D4CC" w:sz="4"/>
        </w:pBdr>
        <w:shd w:fill="F4F1EA" w:color="auto" w:val="clear"/>
        <w:spacing w:after="160" w:before="60" w:line="276"/>
        <w:ind w:left="120" w:right="120"/>
      </w:pPr>
      <w:r>
        <w:rPr>
          <w:rFonts w:ascii="Calibri" w:cs="Calibri" w:eastAsia="Calibri" w:hAnsi="Calibri"/>
          <w:b/>
          <w:bCs/>
          <w:caps/>
          <w:color w:val="96151D"/>
          <w:sz w:val="16"/>
          <w:szCs w:val="16"/>
        </w:rPr>
        <w:t xml:space="preserve">BOTTOM LINE FOR THE C-SUITE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The single largest reputational and regulatory risk in this business — advice-adjacent language reaching a participant — is intercepted by the platform, with a logged audit trail, before any human signs off. That is insurance the board can see.</w:t>
      </w:r>
    </w:p>
    <w:p>
      <w:pPr>
        <w:pStyle w:val="Heading1"/>
        <w:spacing w:after="60" w:before="340"/>
      </w:pPr>
      <w:r>
        <w:rPr>
          <w:rFonts w:ascii="Calibri" w:cs="Calibri" w:eastAsia="Calibri" w:hAnsi="Calibri"/>
          <w:b/>
          <w:bCs/>
          <w:color w:val="96151D"/>
          <w:sz w:val="28"/>
          <w:szCs w:val="28"/>
        </w:rPr>
        <w:t xml:space="preserve">Act 7 · Ship — approvals and a measured rollout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8A6D3B"/>
          <w:sz w:val="20"/>
          <w:szCs w:val="20"/>
        </w:rPr>
        <w:t xml:space="preserve">13:00 – 14:30   </w:t>
      </w:r>
      <w:r>
        <w:rPr>
          <w:rFonts w:ascii="Calibri" w:cs="Calibri" w:eastAsia="Calibri" w:hAnsi="Calibri"/>
          <w:color w:val="6B6B6B"/>
          <w:sz w:val="19"/>
          <w:szCs w:val="19"/>
        </w:rPr>
        <w:t xml:space="preserve">Screen: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Decision Lab · Steps 6–7 (Approval, Deployment)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Step 6 · Approval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Show the approval gates — portfolio, strategy-cell, compliance, fiduciary review, and payroll/recordkeeping readiness. Click “Approve all”.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“Approvals mirror how a plan change actually clears — compliance, fiduciary review, and payroll readiness all sign off. The fiduciary gate is explicit; nothing auto-advances on a fiduciary-sensitive change.”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Step 7 · Deployment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Show the deployment lanes — one per strategy, each with its treated population and preserved holdout. Click “Run full strategy”.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“And we ship it as a staged rollout — one lane per strategy, each with suppression and rollback, each holding out a control group so we can prove causal impact. The projected lift and net-new AUM are right there on the lane.”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Point to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confirmation that the deployment is recorded to Memory for future reuse.</w:t>
      </w:r>
    </w:p>
    <w:p>
      <w:pPr>
        <w:pBdr>
          <w:top w:val="single" w:color="D9D4CC" w:sz="4"/>
          <w:bottom w:val="single" w:color="D9D4CC" w:sz="4"/>
          <w:left w:val="single" w:color="96151D" w:sz="20"/>
          <w:right w:val="single" w:color="D9D4CC" w:sz="4"/>
        </w:pBdr>
        <w:shd w:fill="F4F1EA" w:color="auto" w:val="clear"/>
        <w:spacing w:after="160" w:before="60" w:line="276"/>
        <w:ind w:left="120" w:right="120"/>
      </w:pPr>
      <w:r>
        <w:rPr>
          <w:rFonts w:ascii="Calibri" w:cs="Calibri" w:eastAsia="Calibri" w:hAnsi="Calibri"/>
          <w:b/>
          <w:bCs/>
          <w:caps/>
          <w:color w:val="96151D"/>
          <w:sz w:val="16"/>
          <w:szCs w:val="16"/>
        </w:rPr>
        <w:t xml:space="preserve">BOTTOM LINE FOR THE C-SUITE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Governance is enforced by the system, not by hope — fiduciary sign-off is a hard gate and every launch is causally measurable. You ship faster and de-risk at the same time.</w:t>
      </w:r>
    </w:p>
    <w:p>
      <w:pPr>
        <w:pStyle w:val="Heading1"/>
        <w:spacing w:after="60" w:before="340"/>
      </w:pPr>
      <w:r>
        <w:rPr>
          <w:rFonts w:ascii="Calibri" w:cs="Calibri" w:eastAsia="Calibri" w:hAnsi="Calibri"/>
          <w:b/>
          <w:bCs/>
          <w:color w:val="96151D"/>
          <w:sz w:val="28"/>
          <w:szCs w:val="28"/>
        </w:rPr>
        <w:t xml:space="preserve">Act 8 · Learn — memory that compounds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8A6D3B"/>
          <w:sz w:val="20"/>
          <w:szCs w:val="20"/>
        </w:rPr>
        <w:t xml:space="preserve">14:30 – 15:00   </w:t>
      </w:r>
      <w:r>
        <w:rPr>
          <w:rFonts w:ascii="Calibri" w:cs="Calibri" w:eastAsia="Calibri" w:hAnsi="Calibri"/>
          <w:color w:val="6B6B6B"/>
          <w:sz w:val="19"/>
          <w:szCs w:val="19"/>
        </w:rPr>
        <w:t xml:space="preserve">Screen: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Memory</w:t>
      </w:r>
    </w:p>
    <w:p>
      <w:pPr>
        <w:spacing w:after="70" w:line="264"/>
      </w:pPr>
      <w:r>
        <w:rPr>
          <w:rFonts w:ascii="Calibri" w:cs="Calibri" w:eastAsia="Calibri" w:hAnsi="Calibri"/>
          <w:b/>
          <w:bCs/>
          <w:color w:val="96151D"/>
          <w:sz w:val="20"/>
          <w:szCs w:val="20"/>
        </w:rPr>
        <w:t xml:space="preserve">Click 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Memory in the sidebar. The Meridian campaign you just deployed is now at the top, marked Live.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“The moment we deployed, it landed in Memory — live, updating against its holdout, and stored as a reusable decision policy. The next sponsor with this pattern doesn't start from a blank page; they start from what worked. That's the compounding advantage: every decision makes the next one faster and better.”</w:t>
      </w:r>
    </w:p>
    <w:p>
      <w:pPr>
        <w:pBdr>
          <w:left w:val="single" w:color="8A6D3B" w:sz="18" w:space="12"/>
        </w:pBdr>
        <w:spacing w:after="120" w:line="288"/>
        <w:ind w:lef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“Same Vanguard experience, same fiduciary discipline — now simulation-native, measured against a holdout, and getting smarter with every plan-design decision you make. That's TwinX.”</w:t>
      </w:r>
    </w:p>
    <w:p>
      <w:pPr>
        <w:pBdr>
          <w:top w:val="single" w:color="D9D4CC" w:sz="4"/>
          <w:bottom w:val="single" w:color="D9D4CC" w:sz="4"/>
          <w:left w:val="single" w:color="96151D" w:sz="20"/>
          <w:right w:val="single" w:color="D9D4CC" w:sz="4"/>
        </w:pBdr>
        <w:shd w:fill="F4F1EA" w:color="auto" w:val="clear"/>
        <w:spacing w:after="160" w:before="60" w:line="276"/>
        <w:ind w:left="120" w:right="120"/>
      </w:pPr>
      <w:r>
        <w:rPr>
          <w:rFonts w:ascii="Calibri" w:cs="Calibri" w:eastAsia="Calibri" w:hAnsi="Calibri"/>
          <w:b/>
          <w:bCs/>
          <w:caps/>
          <w:color w:val="96151D"/>
          <w:sz w:val="16"/>
          <w:szCs w:val="16"/>
        </w:rPr>
        <w:t xml:space="preserve">BOTTOM LINE FOR THE C-SUITE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Every decision compounds into an asset. Cost-to-decide falls, decision quality rises, and the moat widens with use — the defining economics of a durable platform, not a campaign tool.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96151D"/>
          <w:sz w:val="30"/>
          <w:szCs w:val="30"/>
        </w:rPr>
        <w:t xml:space="preserve">Appendix A · Likely Questions &amp; Answers</w:t>
      </w:r>
    </w:p>
    <w:tbl>
      <w:tblPr>
        <w:tblW w:type="dxa" w:w="9500"/>
        <w:tblBorders>
          <w:top w:val="single" w:color="D9D4CC" w:sz="4"/>
          <w:left w:val="single" w:color="D9D4CC" w:sz="4"/>
          <w:bottom w:val="single" w:color="D9D4CC" w:sz="4"/>
          <w:right w:val="single" w:color="D9D4CC" w:sz="4"/>
          <w:insideH w:val="single" w:color="D9D4CC" w:sz="4"/>
          <w:insideV w:val="single" w:color="D9D4CC" w:sz="4"/>
        </w:tblBorders>
      </w:tblPr>
      <w:tblGrid>
        <w:gridCol w:w="3400"/>
        <w:gridCol w:w="6100"/>
      </w:tblGrid>
      <w:tr>
        <w:trPr>
          <w:tblHeader/>
        </w:trPr>
        <w:tc>
          <w:tcPr>
            <w:tcW w:type="dxa" w:w="3400"/>
            <w:shd w:fill="96151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If they ask…</w:t>
            </w:r>
          </w:p>
        </w:tc>
        <w:tc>
          <w:tcPr>
            <w:tcW w:type="dxa" w:w="6100"/>
            <w:shd w:fill="96151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 with…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“Is this giving participants advice?”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No. Rail 1 classifies every participant asset as education, and Rail 5 strips solicitation language. Advice-classified content requires separate eligibility + a disclosure packet and never mixes into an education payload.</w:t>
            </w:r>
          </w:p>
        </w:tc>
      </w:tr>
      <w:tr>
        <w:tc>
          <w:tcPr>
            <w:tcW w:type="dxa" w:w="34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“Are you profiling individuals?”</w:t>
            </w:r>
          </w:p>
        </w:tc>
        <w:tc>
          <w:tcPr>
            <w:tcW w:type="dxa" w:w="61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No. Signals are reaction-based (regulation, rate move, plan event) and targeting is cohort-level in v1. No predictive “likely to quit” inferences; individual personalization is a later, tightly-gated phase.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“How do you know the lift is real?”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Every strategy carries a preserved holdout defined at creation — deploy is blocked without one. Impact in Memory is treatment vs holdout, not a modeled claim.</w:t>
            </w:r>
          </w:p>
        </w:tc>
      </w:tr>
      <w:tr>
        <w:tc>
          <w:tcPr>
            <w:tcW w:type="dxa" w:w="34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“What about the do-nothing case?”</w:t>
            </w:r>
          </w:p>
        </w:tc>
        <w:tc>
          <w:tcPr>
            <w:tcW w:type="dxa" w:w="61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simulator always includes do-nothing as a first-class baseline — it’s the column every option is measured against in Step 3.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“Where do the disclosures come from?”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They auto-attach based on content class; the Guardrail rail blocks any asset with an empty disclosure set from shipping.</w:t>
            </w:r>
          </w:p>
        </w:tc>
      </w:tr>
      <w:tr>
        <w:tc>
          <w:tcPr>
            <w:tcW w:type="dxa" w:w="34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“Does anything ship automatically?”</w:t>
            </w:r>
          </w:p>
        </w:tc>
        <w:tc>
          <w:tcPr>
            <w:tcW w:type="dxa" w:w="6100"/>
            <w:shd w:fill="F4F1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Not on fiduciary-sensitive changes. The fiduciary gate is explicit and Autopilot is disabled unless separately authorized.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“Is the data real?”</w:t>
            </w:r>
          </w:p>
        </w:tc>
        <w:tc>
          <w:tcPr>
            <w:tcW w:type="dxa" w:w="6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This is a POV environment with representative Vanguard-shaped data. The workflow, guardrails, and measurement are the product; the numbers are illustrative.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96151D"/>
          <w:sz w:val="30"/>
          <w:szCs w:val="30"/>
        </w:rPr>
        <w:t xml:space="preserve">Appendix B · Presenter Notes</w:t>
      </w:r>
    </w:p>
    <w:p>Pace: the two live loaders (Steps 3 and 4) are intentional — let them run; they signal real computation. Don’t talk over the whole thing.</w:p>
    <w:p>If you’re short on time, compress Act 1 and Act 7; never cut Act 6 (Compliance) — it’s the differentiator.</w:p>
    <w:p>If a stat is questioned, retreat to the method, not the number: “the number is illustrative; the holdout-measured method is the point.”</w:p>
    <w:p>Keep returning to the one arc: sense → simulate → comply → ship → learn. If you get pulled into a feature, tie it back to the arc.</w:p>
    <w:p>
      <w:pPr>
        <w:pBdr>
          <w:bottom w:val="single" w:color="D9D4CC" w:sz="6" w:space="6"/>
        </w:pBd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6B6B"/>
          <w:sz w:val="16"/>
          <w:szCs w:val="16"/>
        </w:rPr>
        <w:t xml:space="preserve">TwinX™ for Vanguard · Plan Sponsor OS · Education-classified · not investment advice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TwinX for Vanguard — 15-Minute Pitch Demo Script</dc:title>
  <dc:creator>TwinX for Vanguard</dc:creator>
  <dc:description>End-to-end 15-minute demo script for the Plan Sponsor OS.</dc:description>
  <cp:lastModifiedBy>Un-named</cp:lastModifiedBy>
  <cp:revision>1</cp:revision>
  <dcterms:created xsi:type="dcterms:W3CDTF">2026-08-11T16:32:48.737Z</dcterms:created>
  <dcterms:modified xsi:type="dcterms:W3CDTF">2026-08-11T16:32:48.737Z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