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26 September 2026</w:t>
      </w:r>
    </w:p>
    <w:p>
      <w:pPr>
        <w:spacing w:after="240"/>
      </w:pPr>
      <w:r>
        <w:rPr>
          <w:b w:val="0"/>
          <w:i w:val="0"/>
        </w:rPr>
        <w:t>Dr Kirill Martemyanov</w:t>
        <w:br/>
        <w:t>Senior Editor, British Journal of Pharmacology</w:t>
      </w:r>
    </w:p>
    <w:p>
      <w:pPr>
        <w:spacing w:after="120"/>
      </w:pPr>
      <w:r>
        <w:rPr>
          <w:b/>
          <w:i w:val="0"/>
        </w:rPr>
        <w:t>Re: 2026-BJP-1747-RPR, revised manuscript</w:t>
      </w:r>
    </w:p>
    <w:p>
      <w:pPr>
        <w:spacing w:after="240"/>
      </w:pPr>
      <w:r>
        <w:rPr>
          <w:b w:val="0"/>
          <w:i/>
        </w:rPr>
        <w:t>Revised title: Mature GPCR complexes carry distributed information about the captured G protein class</w:t>
      </w:r>
    </w:p>
    <w:p>
      <w:pPr>
        <w:spacing w:after="120"/>
      </w:pPr>
      <w:r>
        <w:rPr>
          <w:b w:val="0"/>
          <w:i w:val="0"/>
        </w:rPr>
        <w:t>Dear Dr Martemyanov,</w:t>
      </w:r>
    </w:p>
    <w:p>
      <w:pPr>
        <w:spacing w:after="120"/>
      </w:pPr>
      <w:r>
        <w:rPr>
          <w:b w:val="0"/>
          <w:i w:val="0"/>
        </w:rPr>
        <w:t>Please find enclosed the revised manuscript, with a tracked version against the submitted manuscript, the Supporting Information, separate figure files and a point-by-point response to the reviewers.</w:t>
      </w:r>
    </w:p>
    <w:p>
      <w:pPr>
        <w:spacing w:after="120"/>
      </w:pPr>
      <w:r>
        <w:t xml:space="preserve">I have revised the manuscript substantially in direct response to both reviewers, and the present version additionally addresses the points raised at the final editorial check.</w:t>
      </w:r>
    </w:p>
    <w:p>
      <w:pPr>
        <w:spacing w:after="120"/>
      </w:pPr>
      <w:r>
        <w:t xml:space="preserve">Reviewer 1 asked that the structural label be separated from the receptor’s functional coupling repertoire. The label is now defined throughout as the G protein class captured in the deposited complex. Using the common coupling map of Hauser et al. (2022), 190 of 207 structural units were annotated by exact human UniProt accession; 101 of those 190 come from receptors with supported coupling to at least two of Gs, Gi/o and Gq/11, and the 28 units whose captured family is unsupported in the frozen map are now listed individually rather than treated as biological contradictions. The requested matched-structure table, the G12/13 census and the nomenclature and reference corrections are also included.</w:t>
      </w:r>
    </w:p>
    <w:p>
      <w:pPr>
        <w:spacing w:after="120"/>
      </w:pPr>
      <w:r>
        <w:t xml:space="preserve">Reviewer 2’s concern that the original 15-unit matched analysis was too small to support generalisation is accepted in full. That analysis is no longer used as a main-text argument and is retained only in the Supporting Information, together with its provenance-stratified, archive-trained and homology-controlled sensitivity analyses. In its place, a within-receptor test holds receptor identity fixed: among 34 receptors represented by at least two captured classes (72 receptor-transducer units), the true-class-minus-best-alternative probability margin for endpoint geometry was +0.065 against -0.040 under within-receptor label permutation (one-sided P = 0.008). Receptor sequence cannot address this question at all, because its input is identical across a receptor’s captured-class units, and it reproduces the permutation value exactly. Generalisation therefore now rests on the archive-wide analysis of 207 receptor-transducer units from 169 receptors, on the evolutionary-transfer result, and on this within-receptor test.</w:t>
      </w:r>
    </w:p>
    <w:p>
      <w:pPr>
        <w:spacing w:after="120"/>
      </w:pPr>
      <w:r>
        <w:t xml:space="preserve">Two further changes respond to the concern that archive structure rather than receptor biology might drive the transfer result. Missingness-only and year-excluded metadata-only controls were added under 50% and 40% sequence-identity cluster validation, where they reached macro ROC AUC 0.515 and 0.546, and 0.493 and 0.562, respectively, against 0.731 and 0.683 for endpoint geometry. The activation benchmark was rerun under the same identity-cluster splits and was unchanged, and the manuscript now states that the GPCRdb active/inactive annotation and the geometric code draw on overlapping structural criteria, so that benchmark is presented as a consistency check rather than independent validation. A single primary model is designated for each question and Table S27 collects every designated value.</w:t>
      </w:r>
    </w:p>
    <w:p>
      <w:pPr>
        <w:spacing w:after="120"/>
      </w:pPr>
      <w:r>
        <w:t xml:space="preserve">The revision also reports the specimen-level provenance audit that the reviewers’ questions made necessary: receptor-only coordinate entries are frequently focused or local reconstructions from transducer-containing cryo-EM specimens, in several cases with particle counts identical to the corresponding full complex. Only three receptors in the entire archive retain an experimentally partner-free active reference. This distinction between coordinate composition and specimen history is, in my view, the most broadly useful result in the paper.</w:t>
      </w:r>
    </w:p>
    <w:p>
      <w:pPr>
        <w:spacing w:after="120"/>
      </w:pPr>
      <w:r>
        <w:t>The editorial requirements have also been addressed, including the Declaration of Transparency and Scientific Rigour, the Design and Analysis checklist, IUPHAR/BPS nomenclature and Guide to PHARMACOLOGY hyperlinks, full reference author lists, and separate high-resolution figure files. No antibodies or cell lines were used, so RRIDs are not applicable. The GPCR SelectivityMap v0.4.0 software and revision-analysis release is archived on Zenodo (DOI: 10.5281/zenodo.22959127), and Source Data S1-S15 are supplied with the revision; Source Data S14 contains the specimen-provenance and functional-repertoire package and Source Data S15 the final sensitivity analyses, including the within-receptor test, the identity-cluster confound controls and the deformation-cosine permutation null.</w:t>
      </w:r>
    </w:p>
    <w:p>
      <w:pPr>
        <w:spacing w:after="40"/>
      </w:pPr>
      <w:r>
        <w:rPr>
          <w:b w:val="0"/>
          <w:i w:val="0"/>
        </w:rPr>
        <w:t>Yours sincerely,</w:t>
      </w:r>
    </w:p>
    <w:p>
      <w:pPr>
        <w:spacing w:after="120"/>
      </w:pPr>
      <w:r>
        <w:rPr>
          <w:b w:val="0"/>
          <w:i w:val="0"/>
        </w:rPr>
        <w:t>Hossein Batebi</w:t>
        <w:br/>
        <w:t>Department of Physics, Freie Universität Berlin</w:t>
        <w:br/>
        <w:t>hossein.batebi@fu-berlin.de</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Mature GPCR complexes carry distributed information about the captured G protein class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