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sz w:val="30"/>
        </w:rPr>
        <w:t>Response to the Editor and Reviewers</w:t>
      </w:r>
    </w:p>
    <w:p>
      <w:pPr>
        <w:spacing w:after="40"/>
      </w:pPr>
      <w:r>
        <w:rPr>
          <w:b w:val="0"/>
          <w:i w:val="0"/>
        </w:rPr>
        <w:t>Manuscript 2026-BJP-1747-RPR</w:t>
      </w:r>
    </w:p>
    <w:p>
      <w:pPr>
        <w:spacing w:after="40"/>
      </w:pPr>
      <w:r>
        <w:rPr>
          <w:b w:val="0"/>
          <w:i/>
        </w:rPr>
        <w:t>Revised title: Mature GPCR complexes carry distributed information about the captured G protein class</w:t>
      </w:r>
    </w:p>
    <w:p>
      <w:pPr>
        <w:spacing w:after="240"/>
      </w:pPr>
      <w:r>
        <w:rPr>
          <w:b w:val="0"/>
          <w:i w:val="0"/>
        </w:rPr>
        <w:t>Hossein Batebi, Department of Physics, Freie Universität Berlin</w:t>
      </w:r>
    </w:p>
    <w:p>
      <w:pPr>
        <w:spacing w:after="120"/>
      </w:pPr>
      <w:r>
        <w:rPr>
          <w:b w:val="0"/>
          <w:i w:val="0"/>
        </w:rPr>
        <w:t>Dear Dr Martemyanov,</w:t>
      </w:r>
    </w:p>
    <w:p>
      <w:pPr>
        <w:spacing w:after="120"/>
      </w:pPr>
      <w:r>
        <w:t>Thank you for the opportunity to revise the manuscript, and thank you to both reviewers for their careful and constructive assessment. Each point is answered below, with the reviewer comment reproduced verbatim, followed by my response and the location of the change. Page and paragraph numbers refer to the clean revised manuscript (Batebi_BJP_Main_Clean_FINAL) as paginated in the accompanying PDF; page references prefixed “SI” refer to Batebi_BJP_Supporting_Information_FINAL.pdf. Every point below gives the section, the paragraph and the page on which the change can be found, as requested in the decision letter. All changes are shown in the tracked versions, which are marked against the originally submitted manuscript and Supporting Information. The Design and Analysis checklist is answered point by point at the end of this document, and the Declaration of Transparency and Scientific Rigour has been inserted verbatim after the Conflict of Interest statement and before the reference list.</w:t>
      </w:r>
    </w:p>
    <w:p>
      <w:pPr>
        <w:pStyle w:val="Heading1"/>
      </w:pPr>
      <w:r>
        <w:rPr>
          <w:rFonts w:ascii="Times New Roman" w:hAnsi="Times New Roman"/>
          <w:color w:val="1F2A44"/>
        </w:rPr>
        <w:t>General response</w:t>
      </w:r>
    </w:p>
    <w:p>
      <w:pPr>
        <w:spacing w:after="120"/>
      </w:pPr>
      <w:r>
        <w:t>Reviewer 2's concern about the limited size of the matched analysis was well founded, and this revision acts on it rather than defending the original analysis. The 12-receptor coordinate-level comparison is no longer a main-text argument. It, the archive-trained rescoring, the homology-controlled sensitivity analysis and the provenance-stratified and same-particle controls are all reported in the Supporting Information, and none of them supports a claim in the manuscript. I also now state there that the stricter homology exclusion halves the training set, from 192 units and 157 receptors to 96 and 77, so its attenuation cannot be attributed to homology alone, and that the receptor-level margin gain tracks the activation-state difference between the paired endpoints, which is expected given how strongly activation state is readable from receptor geometry.</w:t>
      </w:r>
    </w:p>
    <w:p>
      <w:pPr>
        <w:spacing w:after="120"/>
      </w:pPr>
      <w:r>
        <w:t>In its place, the manuscript now carries a within-receptor test that answers Reviewer 2's question directly while holding receptor identity fixed. Among 34 receptors represented by at least two captured classes (72 receptor-transducer units), the true-class-minus-best-alternative probability margin for endpoint geometry was +0.065 against -0.040 under within-receptor label permutation (one-sided P = 0.008); within-receptor accuracy was 55.6% against 47.2% (P = 0.041). Receptor sequence cannot address this question at all, since its input is identical across a receptor's captured-class units, and it reproduces the permutation value exactly, which makes it a clean internal negative control. Eight further representations were evaluated and none reached significance; all nine are reported so that the prespecified choice of primary model is visible rather than implied. The test was also repeated in a second pipeline, the evolutionary-transfer audit of Source Data S11, which fits nested L2 logistic regression with lbfgs and training-fold tuning of the regularisation strength. It shares the same 107 inputs and the identical fold assignment for all 207 units with the archive-wide pipeline of Source Data S3 and differs in estimator configuration (macro ROC AUC 0.776 and 0.778); their coefficients correlate at r = 0.96, their out-of-fold probabilities at r = 0.97 to 0.98, and they assign the same predicted class to 195 of 207 units. It reproduced the within-receptor result on both statistics (margin +0.051, P = 0.009; accuracy 59.7% versus 47.2%, P = 0.001); the accuracy difference between the pipelines corresponds to three of the 72 units changing predicted class. Across the nine representations in each pipeline, only the transfer-audit pipeline survives Benjamini-Hochberg correction, and it does so on both statistics (q = 0.010 accuracy, q = 0.045 margin); neither statistic survives in the archive-wide pipeline (q = 0.072 margin, q = 0.37 accuracy). No identity-cluster run of the archive-wide pipeline exists, so the identity-cluster ladder characterises the transfer-audit pipeline and is read against its own receptor-grouped value of +0.051. The study was not preregistered, so “designated primary” means designated before the confound analyses were run, not before the study began. I also now disclose that 11 of the 107 inputs to this model are non-coordinate acquisition variables (method, ligand type, fusion annotation, ICL2 completeness, resolution, deposition year) carrying 7.3% of the mean absolute coefficient mass. The within-receptor test was also stratified for construct confounding: experimental method, species and ICL2 completeness are constant within every eligible receptor; resolution, year, fusion and ICL2-associated ligand explain 2.1% of the within-receptor margin variance and adjusting for them leaves the mean unchanged; a resolution-matched subset gives +0.074 across 19 receptors (P = 0.033); and among the 18 receptors resolved with both Gi/o and Gq/11, where Gq/11 complexes are routinely chimeric constructs engineered so that the antibody fragment used for Gi/o complexes will bind, the margin is +0.085 (P = 0.038); the remaining strata are +0.101 for Gq/11 with Gs (6 receptors, P = 0.060), +0.089 for Gi/o with Gs (6 receptors, P = 0.21) and -0.138 for the 4 three-class receptors (P = 0.31), and all four are reported in Table S32. The matched-stabiliser expectation was not verified: antibody-fragment and nanobody identity are separate polymer entities and were not extracted in the construct annotation used here, so they remain a residual confound that these data do not exclude (Tables S31 and S32; Source Data S16 and S17). Because sequence-identity-cluster validation is the confound control applied throughout the rest of the manuscript, the same within-receptor test was also run under that control in that pipeline, reusing the frozen out-of-fold predictions already archived in Source Data S11 so that no model was refitted. Against that run's own receptor-grouped reference of +0.051 (P = 0.009), the margin was +0.061 under 50% identity-cluster validation (P = 0.006), attenuated to +0.019 at 40% (P = 0.057) and was absent at 30% (P = 0.91); the degenerate sequence controls reproduced the permutation value exactly at every threshold. The within-receptor result therefore follows the same identity-threshold profile as the archive-wide analysis, and I report the 40% and 30% rows as attenuation and absence rather than as supporting results. Generalisation now rests on the archive-wide 207-unit/169-receptor analysis, the evolutionary-transfer result with its new identity-cluster confound controls, and this within-receptor test. Specimen provenance is reported separately to define what can and cannot be called experimentally partner-free. A new Figure 1 provides an overview of the structural endpoint, dataset, model inputs and validation analyses.</w:t>
      </w:r>
    </w:p>
    <w:p>
      <w:pPr>
        <w:spacing w:after="120"/>
      </w:pPr>
      <w:r>
        <w:rPr>
          <w:rFonts w:ascii="Arial" w:hAnsi="Arial" w:eastAsia="Arial"/>
        </w:rPr>
        <w:t>Summary of main changes. (1) The activation benchmark now states the label rule explicitly and is rerun under 50% and 40% sequence-identity cluster splits, remaining near-perfect. (2) A new within-receptor multiclass test uses the frozen out-of-fold predictions for 34 receptors represented by multiple captured classes; endpoint geometry retains within-receptor captured-class information, supporting the coordinate-focused title. (3) Construct/context annotation is supplied for all 207 bound units. (4) The original 11/12 endpoint-specific result has been removed from the main-text argument and retained only in the Supporting Information. (5) One primary model is designated per question and Table S27 provides a master AUC summary. (6) Missingness-only and year-excluded metadata-only controls are added at 50% and 40% identity, together with 50% endpoint-geometry coefficient attribution. (7) The deformation-cosine diagnostic now has a 10,000-permutation null. (8) Terminology and voice were swept for consistency. (9) Figure nomenclature and activation-panel readability fixes were verified in the final artwork. (10) Table S30 lists all 28 unsupported captured-family units and explains their pharmacological interpretation. (11) Main figure widths were normalized to a maximum of 17.8 cm at 600 dpi and checked for text legibility. (12) The graphical-abstract SVG/PNG/TIFF set and package checksums were rebuilt. New final-review outputs are supplied in Source Data S15.</w:t>
      </w:r>
    </w:p>
    <w:p>
      <w:pPr>
        <w:spacing w:after="120"/>
      </w:pPr>
      <w:r>
        <w:rPr>
          <w:b w:val="0"/>
        </w:rPr>
        <w:t>Track changes. A tracked version against the submitted manuscript is supplied together with the clean revised manuscript; all final figures are provided separately at publication resolution.</w:t>
      </w:r>
      <w:r>
        <w:rPr>
          <w:b w:val="0"/>
          <w:i w:val="0"/>
        </w:rPr>
      </w:r>
    </w:p>
    <w:p>
      <w:pPr>
        <w:pStyle w:val="Heading1"/>
      </w:pPr>
      <w:r>
        <w:rPr>
          <w:rFonts w:ascii="Times New Roman" w:hAnsi="Times New Roman"/>
          <w:color w:val="1F2A44"/>
        </w:rPr>
        <w:t>Reviewer 1</w:t>
      </w:r>
    </w:p>
    <w:p>
      <w:pPr>
        <w:pStyle w:val="Heading2"/>
      </w:pPr>
      <w:r>
        <w:rPr>
          <w:rFonts w:ascii="Times New Roman" w:hAnsi="Times New Roman"/>
          <w:color w:val="1F2A44"/>
        </w:rPr>
        <w:t>R1.1</w:t>
      </w:r>
    </w:p>
    <w:p>
      <w:pPr>
        <w:spacing w:after="120"/>
      </w:pPr>
      <w:r>
        <w:rPr>
          <w:b/>
        </w:rPr>
        <w:t xml:space="preserve">Comment. </w:t>
      </w:r>
      <w:r>
        <w:rPr>
          <w:i/>
        </w:rPr>
        <w:t>However, the causal interpretation should remain particularly cautious. As the author notes in Section 3.2, ligand, construct, experimental method, resolution and other experimental conditions were not pairwise matched. Consequently, the analysis cannot isolate conformational changes caused specifically by G-protein binding.</w:t>
      </w:r>
    </w:p>
    <w:p>
      <w:pPr>
        <w:spacing w:after="120"/>
      </w:pPr>
      <w:r>
        <w:t>Response. I agree. The coordinate-level matched result is retained, but its interpretation is now explicitly non-causal. It compares receptor-only and full-complex coordinate representations and is not used to infer a conformational change caused specifically by G protein binding or a biologically partner-free versus bound contrast. The manuscript consistently describes the archive-wide results as associations with the captured transducer. To quantify rather than merely state the experimental-context limitation, I now report the existing missingness and metadata controls more explicitly. On the 207-unit archive-wide dataset, a missingness-only representation reached macro ROC AUC 0.609 (95% CI 0.546 to 0.670). In fixed-feature temporal holdouts, a year-excluded metadata model comprising resolution, experimental method, ligand type, fusion-protein annotation and feature-count variables reached 0.527 for the 2023 cohort and 0.582 for 2024, below endpoint geometry (0.703 and 0.744) and sequence (0.721 and 0.740); missingness reached 0.675 and 0.724. I therefore state explicitly that archive structure and feature availability are non-trivial confounds and that residual construct or measurement confounding cannot be excluded. The Limitations paragraph continues to state that the analyses do not estimate effects of G protein binding on receptor conformation.</w:t>
      </w:r>
    </w:p>
    <w:p>
      <w:pPr>
        <w:spacing w:after="120"/>
      </w:pPr>
      <w:r>
        <w:t>Location. Methods Section 2.3, final paragraph (p. 7); Results Section 3.3, temporal-holdout and archive-context control paragraph (p. 12); Results Section 3.4, paragraph 2 (p. 13); Discussion Limitations paragraph, sentences 2 to 4 (p. 15); SI fixed-feature temporal-holdout methods and Table S6 (SI p. 11); Source Data S5 and S10.</w:t>
      </w:r>
    </w:p>
    <w:p>
      <w:pPr>
        <w:pStyle w:val="Heading2"/>
      </w:pPr>
      <w:r>
        <w:rPr>
          <w:rFonts w:ascii="Times New Roman" w:hAnsi="Times New Roman"/>
          <w:color w:val="1F2A44"/>
        </w:rPr>
        <w:t>R1.2</w:t>
      </w:r>
    </w:p>
    <w:p>
      <w:pPr>
        <w:spacing w:after="120"/>
      </w:pPr>
      <w:r>
        <w:rPr>
          <w:b/>
        </w:rPr>
        <w:t xml:space="preserve">Comment. </w:t>
      </w:r>
      <w:r>
        <w:rPr>
          <w:i/>
        </w:rPr>
        <w:t>A major issue is how G-protein class information in the context of this study is defined. The structural labels used in the analysis appear to represent the G-protein class of the transducer captured in the deposited structure. This is not necessarily equivalent to the functional coupling repertoire of the receptor. Many GPCRs can couple to more than one G-protein class, whereas the structural archive often contains a complex with only one of these partners. Thus, a receptor contributing a “Gs” structural unit is not necessarily Gs-selective in a functional sense and may also couple to other G proteins.</w:t>
      </w:r>
    </w:p>
    <w:p>
      <w:pPr>
        <w:spacing w:after="120"/>
      </w:pPr>
      <w:r>
        <w:rPr>
          <w:b/>
        </w:rPr>
        <w:t xml:space="preserve">Response. </w:t>
      </w:r>
      <w:r>
        <w:t>I agree, and this distinction is now central to the revised paper, including its title and pharmacological interpretation. The label is defined throughout as the captured transducer class. Using the common coupling map of Hauser et al. (2022), 190 of the 207 structural units were annotated by exact human UniProt accession. Among these mapped units, the captured family itself was supported in the common map for 162 of 190 (85.3%), whereas 28 of 190 (14.7%) had a captured family not supported by the map; lack of support is not treated as proof of biological non-coupling. In addition, 101 of 190 directly mapped units (53.2%) come from receptors with supported coupling to at least two of Gs, Gi/o and Gq/11. Non-human and viral receptors were left unannotated rather than projected to orthologues. I now state the practical implication explicitly in the 'What this study adds' box and Discussion: a bound GPCR structure reports a realised signalling endpoint, not the receptor's complete functional coupling repertoire.</w:t>
      </w:r>
    </w:p>
    <w:p>
      <w:pPr>
        <w:spacing w:after="120"/>
      </w:pPr>
      <w:r>
        <w:t>Location. Introduction final paragraph (p. 4); Methods Section 2.1, paragraph 2 (p. 5); Results Section 3.3, final paragraph (p. 12); Figure 4C legend (p. 11); SI Table S26 (SI p. 21).</w:t>
      </w:r>
    </w:p>
    <w:p>
      <w:pPr>
        <w:pStyle w:val="Heading2"/>
      </w:pPr>
      <w:r>
        <w:rPr>
          <w:rFonts w:ascii="Times New Roman" w:hAnsi="Times New Roman"/>
          <w:color w:val="1F2A44"/>
        </w:rPr>
        <w:t>R1.3</w:t>
      </w:r>
    </w:p>
    <w:p>
      <w:pPr>
        <w:spacing w:after="120"/>
      </w:pPr>
      <w:r>
        <w:rPr>
          <w:b/>
        </w:rPr>
        <w:t xml:space="preserve">Comment. </w:t>
      </w:r>
      <w:r>
        <w:rPr>
          <w:i/>
        </w:rPr>
        <w:t>It is also notable that G12/13 is not considered, although experimental structures of class A GPCRs in complex with G12/13 do exist, e.g. S1PR2–G13 (PDB 7T6B) and GPR35–G13 (PDB 8H8J).</w:t>
      </w:r>
    </w:p>
    <w:p>
      <w:pPr>
        <w:spacing w:after="120"/>
      </w:pPr>
      <w:r>
        <w:rPr>
          <w:b/>
        </w:rPr>
        <w:t xml:space="preserve">Response. </w:t>
      </w:r>
      <w:r>
        <w:rPr>
          <w:i w:val="0"/>
        </w:rPr>
        <w:t>The archive contained seven G12/13-bound structures from five class A receptors (GPR35, GPR55, LPA1, P2Y10 and S1P2). Five receptors are too few for a fourth class under receptor-grouped validation, and under the final specimen-level provenance definition none has an experimentally partner-free active reference; the sole entity-level candidate, LPA1/7YU4, is a receptor-focused reconstruction from an LPA1-Gi specimen. This is now stated explicitly, together with the G12/13 coupling included in the functional-repertoire context.</w:t>
      </w:r>
    </w:p>
    <w:p>
      <w:pPr>
        <w:spacing w:after="120"/>
      </w:pPr>
      <w:r>
        <w:t>Location. Methods Section 2.1, paragraph 2 (p. 5); Results Section 3.4, final paragraph (p. 13); Discussion, penultimate paragraph (p. 15); SI Table S26 (SI p. 21).</w:t>
      </w:r>
    </w:p>
    <w:p>
      <w:pPr>
        <w:pStyle w:val="Heading2"/>
      </w:pPr>
      <w:r>
        <w:rPr>
          <w:rFonts w:ascii="Times New Roman" w:hAnsi="Times New Roman"/>
          <w:color w:val="1F2A44"/>
        </w:rPr>
        <w:t>R1.4</w:t>
      </w:r>
    </w:p>
    <w:p>
      <w:pPr>
        <w:spacing w:after="120"/>
      </w:pPr>
      <w:r>
        <w:rPr>
          <w:b/>
        </w:rPr>
        <w:t xml:space="preserve">Comment. </w:t>
      </w:r>
      <w:r>
        <w:rPr>
          <w:i/>
        </w:rPr>
        <w:t>If the available functional annotations permit it, it would be informative to report descriptively how many of the 207 receptor–transducer units correspond to receptors with experimentally documented coupling to more than one of the analyzed G-protein classes. [...] In this context, Figure S2A appears particularly relevant, as it reports 408 feature-by-class-pair comparisons from receptors resolved with different transducer families, but the figure provides too little information to assess this analysis.</w:t>
      </w:r>
    </w:p>
    <w:p>
      <w:pPr>
        <w:spacing w:after="120"/>
      </w:pPr>
      <w:r>
        <w:rPr>
          <w:b/>
        </w:rPr>
        <w:t xml:space="preserve">Response. </w:t>
      </w:r>
      <w:r>
        <w:t>The descriptive functional-repertoire counts are given under R1.2. Figure S2A now states exactly which receptors enter the feature-level analysis and how the tests were performed. The three paired receptor sets contain 10 receptors for Gs versus Gi/o, 10 for Gs versus Gq/11 and 22 for Gi/o versus Gq/11 before feature-specific missingness. For each of 136 structural features, within-receptor class differences were assessed by paired Wilcoxon signed-rank tests; Benjamini-Hochberg correction was applied across the finite P values from the 408 feature-by-class-pair rows. None survived false-discovery correction (minimum q = 0.549). Given the modest paired receptor counts and feature-specific missingness, the absence of FDR-significant single features has limited sensitivity and is not interpreted as evidence that no feature-level differences exist. The complete per-comparison values and receptor inventories are supplied in Source Data S14.</w:t>
      </w:r>
    </w:p>
    <w:p>
      <w:pPr>
        <w:spacing w:after="120"/>
      </w:pPr>
      <w:r>
        <w:t>Location. Results Section 3.3, within-receptor paragraph, final sentence (p. 11); SI Figure S2 legend (SI p. 6); SI Table S26 (SI p. 21); Source Data S14.</w:t>
      </w:r>
    </w:p>
    <w:p>
      <w:pPr>
        <w:pStyle w:val="Heading2"/>
      </w:pPr>
      <w:r>
        <w:rPr>
          <w:rFonts w:ascii="Times New Roman" w:hAnsi="Times New Roman"/>
          <w:color w:val="1F2A44"/>
        </w:rPr>
        <w:t>R1.5</w:t>
      </w:r>
    </w:p>
    <w:p>
      <w:pPr>
        <w:spacing w:after="120"/>
      </w:pPr>
      <w:r>
        <w:rPr>
          <w:b/>
        </w:rPr>
        <w:t xml:space="preserve">Comment. </w:t>
      </w:r>
      <w:r>
        <w:rPr>
          <w:i/>
        </w:rPr>
        <w:t>The author should also provide a table in the supplement listing the PDB IDs of the final matched structures. The table should list the receptor, the partner-free PDB ID (and, where relevant, chain identifier), the G-protein-bound PDB ID (and chain identifier), and the corresponding G-protein class.</w:t>
      </w:r>
    </w:p>
    <w:p>
      <w:pPr>
        <w:spacing w:after="120"/>
      </w:pPr>
      <w:r>
        <w:rPr>
          <w:b/>
        </w:rPr>
        <w:t xml:space="preserve">Response. </w:t>
      </w:r>
      <w:r>
        <w:rPr>
          <w:i w:val="0"/>
        </w:rPr>
        <w:t>Added. Table S23 lists, for each originally audited receptor-level pair, the receptor, captured class, bound PDB ID and chain, receptor-only reference PDB IDs and chains, and the provenance category of the reference. Table S22 lists every one of the 51 receptor-only candidate structures with its method, provenance classification and the deposited evidence; row-level titles, sample descriptions and particle counts are in Source Data S14.</w:t>
      </w:r>
    </w:p>
    <w:p>
      <w:pPr>
        <w:spacing w:after="120"/>
      </w:pPr>
      <w:r>
        <w:t>Location. SI Table S22 (SI pp. 17–20), Table S23 (SI p. 20); Source Data S14.</w:t>
      </w:r>
    </w:p>
    <w:p>
      <w:pPr>
        <w:pStyle w:val="Heading2"/>
      </w:pPr>
      <w:r>
        <w:rPr>
          <w:rFonts w:ascii="Times New Roman" w:hAnsi="Times New Roman"/>
          <w:color w:val="1F2A44"/>
        </w:rPr>
        <w:t>R1.6</w:t>
      </w:r>
    </w:p>
    <w:p>
      <w:pPr>
        <w:spacing w:after="120"/>
      </w:pPr>
      <w:r>
        <w:rPr>
          <w:b/>
        </w:rPr>
        <w:t xml:space="preserve">Comment. </w:t>
      </w:r>
      <w:r>
        <w:rPr>
          <w:i/>
        </w:rPr>
        <w:t>In the PDF provided, the x-axis of Figure 1E was difficult to read.</w:t>
      </w:r>
    </w:p>
    <w:p>
      <w:pPr>
        <w:spacing w:after="120"/>
      </w:pPr>
      <w:r>
        <w:t>Response. The former matched-comparison figure was removed from the main text, while the coordinate-level result is now summarised directly in Results Section 3.4 and Table S25. The revised manuscript contains five main figures, including a new overview Figure 1; all quantitative figures were regenerated as separate 600 dpi TIFF files with publication-size text, and the activation schematic is now Figure 2B.</w:t>
      </w:r>
    </w:p>
    <w:p>
      <w:pPr>
        <w:spacing w:after="120"/>
      </w:pPr>
      <w:r>
        <w:t>Location. Figures 1 to 5 (separate files); Figure 2 legend (p. 9); Figure 2B activation schematic (p. 9).</w:t>
      </w:r>
    </w:p>
    <w:p>
      <w:pPr>
        <w:pStyle w:val="Heading2"/>
      </w:pPr>
      <w:r>
        <w:rPr>
          <w:rFonts w:ascii="Times New Roman" w:hAnsi="Times New Roman"/>
          <w:color w:val="1F2A44"/>
        </w:rPr>
        <w:t>R1.7</w:t>
      </w:r>
    </w:p>
    <w:p>
      <w:pPr>
        <w:spacing w:after="120"/>
      </w:pPr>
      <w:r>
        <w:rPr>
          <w:b/>
        </w:rPr>
        <w:t xml:space="preserve">Comment. </w:t>
      </w:r>
      <w:r>
        <w:rPr>
          <w:i/>
        </w:rPr>
        <w:t>The same receptors appear under different abbreviations in different figures (e.g. ACM3/CHRM3, AA2AR/ADORA2A and MRGX2/MRGPRX2). This makes cross-referencing unnecessarily difficult. A single nomenclature system should be used throughout, ideally following the IUPHAR/BPS nomenclature stated in Section 2.5, with alternative gene/protein symbols provided only where useful.</w:t>
      </w:r>
    </w:p>
    <w:p>
      <w:pPr>
        <w:spacing w:after="120"/>
      </w:pPr>
      <w:r>
        <w:rPr>
          <w:b/>
        </w:rPr>
        <w:t xml:space="preserve">Response. </w:t>
      </w:r>
      <w:r>
        <w:rPr>
          <w:i w:val="0"/>
        </w:rPr>
        <w:t>Receptor names in the text, figures and new SI tables follow IUPHAR/BPS nomenclature. Database entry names are retained only in machine-readable source tables where needed for reproducibility.</w:t>
      </w:r>
    </w:p>
    <w:p>
      <w:pPr>
        <w:spacing w:after="120"/>
      </w:pPr>
      <w:r>
        <w:t>Location. Throughout; Nomenclature subsection (Methods Section 2.6, p. 8).</w:t>
      </w:r>
    </w:p>
    <w:p>
      <w:pPr>
        <w:pStyle w:val="Heading2"/>
      </w:pPr>
      <w:r>
        <w:rPr>
          <w:rFonts w:ascii="Times New Roman" w:hAnsi="Times New Roman"/>
          <w:color w:val="1F2A44"/>
        </w:rPr>
        <w:t>R1.8</w:t>
      </w:r>
    </w:p>
    <w:p>
      <w:pPr>
        <w:spacing w:after="120"/>
      </w:pPr>
      <w:r>
        <w:rPr>
          <w:b/>
        </w:rPr>
        <w:t xml:space="preserve">Comment. </w:t>
      </w:r>
      <w:r>
        <w:rPr>
          <w:i/>
        </w:rPr>
        <w:t>References need to be sorted alphabetically.</w:t>
      </w:r>
    </w:p>
    <w:p>
      <w:pPr>
        <w:spacing w:after="120"/>
      </w:pPr>
      <w:r>
        <w:rPr>
          <w:b/>
        </w:rPr>
        <w:t xml:space="preserve">Response. </w:t>
      </w:r>
      <w:r>
        <w:rPr>
          <w:i w:val="0"/>
        </w:rPr>
        <w:t>The reference list has been sorted alphabetically and checked against all in-text citations.</w:t>
      </w:r>
    </w:p>
    <w:p>
      <w:pPr>
        <w:spacing w:after="120"/>
      </w:pPr>
      <w:r>
        <w:t>Location. References (pp. 17–20).</w:t>
      </w:r>
    </w:p>
    <w:p>
      <w:pPr>
        <w:pStyle w:val="Heading1"/>
      </w:pPr>
      <w:r>
        <w:rPr>
          <w:rFonts w:ascii="Times New Roman" w:hAnsi="Times New Roman"/>
          <w:color w:val="1F2A44"/>
        </w:rPr>
        <w:t>Reviewer 2</w:t>
      </w:r>
    </w:p>
    <w:p>
      <w:pPr>
        <w:pStyle w:val="Heading2"/>
      </w:pPr>
      <w:r>
        <w:rPr>
          <w:rFonts w:ascii="Times New Roman" w:hAnsi="Times New Roman"/>
          <w:color w:val="1F2A44"/>
        </w:rPr>
        <w:t>R2.1</w:t>
      </w:r>
    </w:p>
    <w:p>
      <w:pPr>
        <w:spacing w:after="120"/>
      </w:pPr>
      <w:r>
        <w:rPr>
          <w:b/>
        </w:rPr>
        <w:t xml:space="preserve">Comment. </w:t>
      </w:r>
      <w:r>
        <w:rPr>
          <w:i/>
        </w:rPr>
        <w:t>As I understand, the Multiclass G Protein Coupling Class Prediction is based only on 15 receptor class units. I wonder how robust and generalizable a model trained on such a limited dataset could be. I worry that the dataset size is just too small to support any conclusions drawn by this modeling. A detailed structural analysis of structural features/motifs associated with comparative analysis of free and G protein bound states, accompanied by some descriptive statistics, would have made the findings of this manuscript more compelling.</w:t>
      </w:r>
    </w:p>
    <w:p>
      <w:pPr>
        <w:spacing w:after="120"/>
      </w:pPr>
      <w:r>
        <w:rPr>
          <w:rFonts w:ascii="Arial" w:hAnsi="Arial" w:eastAsia="Arial"/>
        </w:rPr>
        <w:t>Response. I agree that the original matched analysis is too small to support generalisation. The original endpoint-specific 11/12 observation is therefore no longer used in the main-text argument and is retained only in the Supporting Information. More importantly, I added a within-receptor test from the frozen archive-wide out-of-fold predictions: among 34 receptors represented by at least two captured classes (72 units), endpoint geometry selected the captured class in 55.6% of units versus a 47.2% within-receptor permutation expectation (P = 0.041), and the true-class probability margin was also above permutation (P = 0.008). This directly tests class information while holding receptor identity fixed. The archive-trained matched-endpoint sensitivity remains secondary and attenuates under the ≥50%-identity exclusion, as already reported. The title therefore remains focused on receptor coordinates rather than an intrinsic coupling code.</w:t>
      </w:r>
    </w:p>
    <w:p>
      <w:pPr>
        <w:spacing w:after="120"/>
      </w:pPr>
      <w:r>
        <w:t>Location. Methods Section 2.2 (pp. 5–6) and Section 2.4, final paragraph (p. 7); Results Section 3.2, the within-receptor and construct-stratification paragraphs (pp. 10–11); Results Section 3.4, paragraph 1 (p. 13); Discussion, opening paragraph (p. 14) and Limitations paragraph (p. 16); SI Results, archive-trained sensitivity analysis (SI p. 4); SI Tables S7, S8, S20, S22–S25, S27, S28, S31 and S32 (SI pp. 11–12, 16, 17–22, 23, 25, 26); Source Data S5, S10, S14 (A03_archive_trained_scoring/A03_summary.tsv), S15 and S16.</w:t>
      </w:r>
    </w:p>
    <w:p>
      <w:pPr>
        <w:pStyle w:val="Heading2"/>
      </w:pPr>
      <w:r>
        <w:rPr>
          <w:rFonts w:ascii="Times New Roman" w:hAnsi="Times New Roman"/>
          <w:color w:val="1F2A44"/>
        </w:rPr>
        <w:t>R2.2</w:t>
      </w:r>
    </w:p>
    <w:p>
      <w:pPr>
        <w:spacing w:after="120"/>
      </w:pPr>
      <w:r>
        <w:rPr>
          <w:b/>
        </w:rPr>
        <w:t xml:space="preserve">Comment. </w:t>
      </w:r>
      <w:r>
        <w:rPr>
          <w:i/>
        </w:rPr>
        <w:t>Provided that the statistical learning based on such few instances is sound enough, what is the explanation for the ROC AUC (0.619) of the classification obtained with partner-free endpoints? Some information about coupling specificity is also captured by the free-states. Can the author elaborate about this result?</w:t>
      </w:r>
    </w:p>
    <w:p>
      <w:pPr>
        <w:spacing w:after="120"/>
      </w:pPr>
      <w:r>
        <w:t>Response. The 0.619 value describes captured-class information readable from the receptor-only coordinate models in the original coordinate-level set. That structural result remains valid at the coordinate level. What the provenance audit changes is its biological interpretation: most receptor-only coordinate models in that set derive from transducer-containing experimental specimens, so 0.619 cannot be equated with the amount of class information in a pre-engagement or experimentally partner-free receptor state. Consistently, the positive direction was also present in the transducer-containing-specimen subgroup (7 of 8), while same-particle focused and full reconstructions scored by a single archive-trained classifier showed no consistent positive difference (2 of 5; mean difference -0.160; P = 0.75; Table S25). I therefore report 0.619 as descriptive coordinate-level information without assigning it specifically to specimen transducer status.</w:t>
      </w:r>
    </w:p>
    <w:p>
      <w:pPr>
        <w:spacing w:after="120"/>
      </w:pPr>
      <w:r>
        <w:t>Location. Results Section 3.4, paragraphs 1 and 2 (p. 13); Discussion, paragraph 2 (p. 14); SI Results, archive-trained sensitivity analysis (SI p. 4); SI Table S25 (SI p. 21).</w:t>
      </w:r>
    </w:p>
    <w:p>
      <w:pPr>
        <w:pStyle w:val="Heading2"/>
      </w:pPr>
      <w:r>
        <w:rPr>
          <w:rFonts w:ascii="Times New Roman" w:hAnsi="Times New Roman"/>
          <w:color w:val="1F2A44"/>
        </w:rPr>
        <w:t>R2.3</w:t>
      </w:r>
    </w:p>
    <w:p>
      <w:pPr>
        <w:spacing w:after="120"/>
      </w:pPr>
      <w:r>
        <w:rPr>
          <w:b/>
        </w:rPr>
        <w:t xml:space="preserve">Comment. </w:t>
      </w:r>
      <w:r>
        <w:rPr>
          <w:i/>
        </w:rPr>
        <w:t>In general, I found the manuscript very difficult to follow, starting from the abstract. In my opinion it requires an extensive rewriting and stylistic improvement. Moreover, not very common terminology such as “deformation vector” should be defined and better explained in the text. Paragraphs such as “3.4 Evolutionary separation changes the transfer range of coupling information” are very difficult to read and to interpret.</w:t>
      </w:r>
    </w:p>
    <w:p>
      <w:pPr>
        <w:spacing w:after="120"/>
      </w:pPr>
      <w:r>
        <w:t>Response. The abstract, bullet points, Introduction, Results structure and Discussion have been rewritten for a clearer progression. I also added a new overview Figure 1 that shows, before the quantitative results, the mature GPCR-G protein endpoint, the 207-unit archive-wide class dataset, the receptor sequence and geometry seen by the models, and the three analyses that structure the paper. The former evolutionary-transfer section has been rewritten so that each paragraph states its finding before the numerical detail. The difference-vector result is no longer presented as a standalone main finding; it is retained only briefly in Results Section 3.4 to answer the mechanistic question raised in R2.6 and to explain why subtraction does not isolate a shared class-specific trajectory.</w:t>
      </w:r>
    </w:p>
    <w:p>
      <w:pPr>
        <w:spacing w:after="120"/>
      </w:pPr>
      <w:r>
        <w:t>Location. Abstract (p. 1); Introduction final paragraph and Figure 1 (p. 4); Results Section 3.2 (pp. 9–10); Results Section 3.4, paragraph 3 (p. 13); Discussion (pp. 13–15).</w:t>
      </w:r>
    </w:p>
    <w:p>
      <w:pPr>
        <w:pStyle w:val="Heading2"/>
      </w:pPr>
      <w:r>
        <w:rPr>
          <w:rFonts w:ascii="Times New Roman" w:hAnsi="Times New Roman"/>
          <w:color w:val="1F2A44"/>
        </w:rPr>
        <w:t>R2.4</w:t>
      </w:r>
    </w:p>
    <w:p>
      <w:pPr>
        <w:spacing w:after="120"/>
      </w:pPr>
      <w:r>
        <w:rPr>
          <w:b/>
        </w:rPr>
        <w:t xml:space="preserve">Comment. </w:t>
      </w:r>
      <w:r>
        <w:rPr>
          <w:i/>
        </w:rPr>
        <w:t>The Methodological part suffers from poor description, undermining the reproducibility of the study. First, the structural descriptors (e.g. canonical microswitch geometry, TM6 opening, ICL2 descriptors and a compact four feature geometric code) are generally described, even in the SI, and it is not clear whether they refer to distances, angles or a mix of the two. [...] The Author should provide more methodological details in the manuscript.</w:t>
      </w:r>
    </w:p>
    <w:p>
      <w:pPr>
        <w:spacing w:after="120"/>
      </w:pPr>
      <w:r>
        <w:rPr>
          <w:rFonts w:ascii="Arial" w:hAnsi="Arial" w:eastAsia="Arial"/>
        </w:rPr>
        <w:t>Response. The Methods now define each receptor-side descriptor block explicitly, including quantity type, units and generic positions. I additionally designated one primary model per question and added a master AUC table (Table S27). The activation label rule is now explicit, and the four-feature activation model was rerun with 50% and 40% identity-cluster holdouts (ROC AUC 0.998 at both thresholds on the 169-receptor overlap). For captured-class transfer, the existing 50% endpoint-geometry coefficients are summarized descriptively in Table S29 and supplied fully in Source Data S15.</w:t>
      </w:r>
    </w:p>
    <w:p>
      <w:pPr>
        <w:spacing w:after="120"/>
      </w:pPr>
      <w:r>
        <w:t>Location. Methods Section 2.3, paragraphs 1–2 (pp. 6–7) and final paragraph on primary-model designation (p. 7); Figure 1C (p. 4); Figure 2B (p. 9); SI Tables S21 (SI p. 17), S27 (SI p. 22) and S29 (SI p. 23); Source Data S14 and S15.</w:t>
      </w:r>
    </w:p>
    <w:p>
      <w:pPr>
        <w:pStyle w:val="Heading2"/>
      </w:pPr>
      <w:r>
        <w:rPr>
          <w:rFonts w:ascii="Times New Roman" w:hAnsi="Times New Roman"/>
          <w:color w:val="1F2A44"/>
        </w:rPr>
        <w:t>R2.5</w:t>
      </w:r>
    </w:p>
    <w:p>
      <w:pPr>
        <w:spacing w:after="120"/>
      </w:pPr>
      <w:r>
        <w:rPr>
          <w:b/>
        </w:rPr>
        <w:t xml:space="preserve">Comment. </w:t>
      </w:r>
      <w:r>
        <w:rPr>
          <w:i/>
        </w:rPr>
        <w:t>How the train-test splits were defined? How many receptor instances are present in the training and testing sets?</w:t>
      </w:r>
    </w:p>
    <w:p>
      <w:pPr>
        <w:spacing w:after="120"/>
      </w:pPr>
      <w:r>
        <w:t>Response. The archive-wide analysis contains 169 receptors represented by 207 receptor-transducer units. Five receptor-grouped outer folds were used, with all units from a receptor assigned exclusively to either training or test data. Across folds, test partitions contained 31-36 receptors (39-42 units), and the corresponding training partitions contained 133-138 receptors (165-168 units); all three classes were represented in every test partition. Sequence-cluster validation at 50%, 40% and 30% identity was performed separately. Five valid class-covered folds were available at 50% and 40%; at 30% only two unequal folds met the class-coverage requirement, so that threshold is reported as an uncertainty limit rather than as evidence of biological absence. Exact assignments and per-fold class counts are supplied in Source Data S3 and S11.</w:t>
      </w:r>
    </w:p>
    <w:p>
      <w:pPr>
        <w:spacing w:after="120"/>
      </w:pPr>
      <w:r>
        <w:t>Location. Methods Section 2.4, paragraph 3 (p. 7); Source Data S3 and S11.</w:t>
      </w:r>
    </w:p>
    <w:p>
      <w:pPr>
        <w:pStyle w:val="Heading2"/>
      </w:pPr>
      <w:r>
        <w:rPr>
          <w:rFonts w:ascii="Times New Roman" w:hAnsi="Times New Roman"/>
          <w:color w:val="1F2A44"/>
        </w:rPr>
        <w:t>R2.6</w:t>
      </w:r>
    </w:p>
    <w:p>
      <w:pPr>
        <w:spacing w:after="120"/>
      </w:pPr>
      <w:r>
        <w:rPr>
          <w:b/>
        </w:rPr>
        <w:t xml:space="preserve">Comment. </w:t>
      </w:r>
      <w:r>
        <w:rPr>
          <w:i/>
        </w:rPr>
        <w:t>Mechanistic Explanation for the Failure of the Deformation Vector (this is also connected to my second comment): subtracting partner-free coordinates from bound coordinates yields a feature-wise deformation vector with a macro ROC AUC of only 0.568, which failed grouped permutation testing. If mature complexes encode additional transducer class information, why does subtracting the baseline partner-free geometry fail to isolate a coherent directional deformation signal?</w:t>
      </w:r>
    </w:p>
    <w:p>
      <w:pPr>
        <w:spacing w:after="120"/>
      </w:pPr>
      <w:r>
        <w:rPr>
          <w:rFonts w:ascii="Arial" w:hAnsi="Arial" w:eastAsia="Arial"/>
        </w:rPr>
        <w:t>Response. I agree that a mechanistic interpretation requires more than the original difference-vector AUC. I therefore added a direct permutation null for the cosine diagnostic. In the original coordinate-level set, the same-class-minus-different-class mean cosine contrast was +0.022 and was compatible with the 10,000-permutation null (one-sided P = 0.263); the terminal-fusion sensitivity was +0.035 (P = 0.120). This reinforces the conclusion that subtraction does not reveal a reproducible universal class-specific deformation direction.</w:t>
      </w:r>
    </w:p>
    <w:p>
      <w:pPr>
        <w:spacing w:after="120"/>
      </w:pPr>
      <w:r>
        <w:t>Location. Results Section 3.4, paragraph 3 (p. 14); Discussion Limitations paragraph (p. 16); SI Table S28 (SI p. 23); Source Data S14 deformation diagnostics and Source Data S15.</w:t>
      </w:r>
    </w:p>
    <w:p>
      <w:pPr>
        <w:pStyle w:val="Heading2"/>
      </w:pPr>
      <w:r>
        <w:rPr>
          <w:rFonts w:ascii="Times New Roman" w:hAnsi="Times New Roman"/>
          <w:color w:val="1F2A44"/>
        </w:rPr>
        <w:t>R2.7</w:t>
      </w:r>
    </w:p>
    <w:p>
      <w:pPr>
        <w:spacing w:after="120"/>
      </w:pPr>
      <w:r>
        <w:rPr>
          <w:b/>
        </w:rPr>
        <w:t xml:space="preserve">Comment. </w:t>
      </w:r>
      <w:r>
        <w:rPr>
          <w:i/>
        </w:rPr>
        <w:t>The authors might want to further validate their model by using partner free and G protein bound structures predicted by AF, wherever available. It is known that AF predictions are not that reliable for ligand receptors, but for receptor-G protein complexes they are. At least they could have discussed this as a potential future strategy to overcome the big limitations of the present study.</w:t>
      </w:r>
    </w:p>
    <w:p>
      <w:pPr>
        <w:spacing w:after="120"/>
      </w:pPr>
      <w:r>
        <w:rPr>
          <w:b/>
        </w:rPr>
        <w:t xml:space="preserve">Response. </w:t>
      </w:r>
      <w:r>
        <w:rPr>
          <w:i w:val="0"/>
        </w:rPr>
        <w:t>I agree this is a promising future strategy and have discussed it, including the state-specific AlphaFold2 receptor models and AlphaFold2-multimer receptor-G protein models available through GPCRdb and GproteinDb. The Discussion notes that such models could expand matched coverage provided their state and partner provenance is controlled, because they may inherit state or partner information from training structures or templates.</w:t>
      </w:r>
    </w:p>
    <w:p>
      <w:pPr>
        <w:spacing w:after="120"/>
      </w:pPr>
      <w:r>
        <w:t>Location. Discussion, final two paragraphs before the concluding paragraph (p. 16).</w:t>
      </w:r>
    </w:p>
    <w:p>
      <w:pPr>
        <w:pStyle w:val="Heading1"/>
      </w:pPr>
      <w:r>
        <w:rPr>
          <w:rFonts w:ascii="Times New Roman" w:hAnsi="Times New Roman"/>
          <w:color w:val="1F2A44"/>
        </w:rPr>
        <w:t>Editorial requirements</w:t>
      </w:r>
    </w:p>
    <w:p>
      <w:pPr>
        <w:pStyle w:val="Heading2"/>
      </w:pPr>
      <w:r>
        <w:rPr>
          <w:rFonts w:ascii="Times New Roman" w:hAnsi="Times New Roman"/>
          <w:color w:val="1F2A44"/>
        </w:rPr>
        <w:t>BJP editorials and Design and Analysis guidance</w:t>
      </w:r>
    </w:p>
    <w:p>
      <w:pPr>
        <w:spacing w:after="120"/>
      </w:pPr>
      <w:r>
        <w:rPr>
          <w:b w:val="0"/>
        </w:rPr>
        <w:t>Response. The Data and Statistical Analysis subsection now uses the journal's requested compliance statement (Curtis et al., 2025), retains the relevant earlier BJP guidance (Curtis et al., 2018), and explains how each requirement applies to this archive-based computational study. Preregistration status is also stated in the Acknowledgements. Analyses defined after the initial results (functional-repertoire annotation, G12/13 census and provenance audit) are identified and reported descriptively.</w:t>
      </w:r>
      <w:r>
        <w:rPr>
          <w:b w:val="0"/>
          <w:i w:val="0"/>
        </w:rPr>
      </w:r>
    </w:p>
    <w:p>
      <w:pPr>
        <w:spacing w:after="120"/>
      </w:pPr>
      <w:r>
        <w:t>Location. Methods Section 2.4, paragraphs 1–2 (p. 7).</w:t>
      </w:r>
    </w:p>
    <w:p>
      <w:pPr>
        <w:pStyle w:val="Heading2"/>
      </w:pPr>
      <w:r>
        <w:rPr>
          <w:rFonts w:ascii="Times New Roman" w:hAnsi="Times New Roman"/>
          <w:color w:val="1F2A44"/>
        </w:rPr>
        <w:t>Declaration of Transparency and Scientific Rigour</w:t>
      </w:r>
    </w:p>
    <w:p>
      <w:pPr>
        <w:spacing w:after="120"/>
      </w:pPr>
      <w:r>
        <w:rPr>
          <w:b/>
        </w:rPr>
        <w:t xml:space="preserve">Response. </w:t>
      </w:r>
      <w:r>
        <w:rPr>
          <w:i w:val="0"/>
        </w:rPr>
        <w:t>The journal wording has been inserted without modification.</w:t>
      </w:r>
    </w:p>
    <w:p>
      <w:pPr>
        <w:spacing w:after="120"/>
      </w:pPr>
      <w:r>
        <w:t>Location. Declaration of Transparency and Scientific Rigour (p. 17).</w:t>
      </w:r>
    </w:p>
    <w:p>
      <w:pPr>
        <w:pStyle w:val="Heading2"/>
      </w:pPr>
      <w:r>
        <w:rPr>
          <w:rFonts w:ascii="Times New Roman" w:hAnsi="Times New Roman"/>
          <w:color w:val="1F2A44"/>
        </w:rPr>
        <w:t>Guide to PHARMACOLOGY links and Nomenclature</w:t>
      </w:r>
    </w:p>
    <w:p>
      <w:pPr>
        <w:spacing w:after="120"/>
      </w:pPr>
      <w:r>
        <w:rPr>
          <w:b w:val="0"/>
        </w:rPr>
        <w:t>Response. The Nomenclature of Targets and Ligands statement is the final Methods subsection. Named targets introduced in the revised text are hyperlinked directly to their IUPHAR/BPS Guide to PHARMACOLOGY entries where available, and the Concise Guide to PHARMACOLOGY 2025/26 is cited with its full author list. No experimental ligand series is analysed.</w:t>
      </w:r>
      <w:r>
        <w:rPr>
          <w:b w:val="0"/>
          <w:i w:val="0"/>
        </w:rPr>
      </w:r>
    </w:p>
    <w:p>
      <w:pPr>
        <w:spacing w:after="120"/>
      </w:pPr>
      <w:r>
        <w:t>Location. Methods Section 2.6 (p. 8).</w:t>
      </w:r>
    </w:p>
    <w:p>
      <w:pPr>
        <w:pStyle w:val="Heading2"/>
      </w:pPr>
      <w:r>
        <w:rPr>
          <w:rFonts w:ascii="Times New Roman" w:hAnsi="Times New Roman"/>
          <w:color w:val="1F2A44"/>
        </w:rPr>
        <w:t>RRIDs, animal and immunoblotting requirements</w:t>
      </w:r>
    </w:p>
    <w:p>
      <w:pPr>
        <w:spacing w:after="120"/>
      </w:pPr>
      <w:r>
        <w:rPr>
          <w:b/>
        </w:rPr>
        <w:t xml:space="preserve">Response. </w:t>
      </w:r>
      <w:r>
        <w:rPr>
          <w:i w:val="0"/>
        </w:rPr>
        <w:t>Not applicable. The study analyses public molecular structures and database annotations; no animals, cell lines, antibodies, western blotting or immunohistochemistry were used.</w:t>
      </w:r>
    </w:p>
    <w:p>
      <w:pPr>
        <w:spacing w:after="120"/>
      </w:pPr>
      <w:r>
        <w:t>Location. Methods Section 2.2, paragraph 1 (p. 5).</w:t>
      </w:r>
    </w:p>
    <w:p>
      <w:pPr>
        <w:pStyle w:val="Heading2"/>
      </w:pPr>
      <w:r>
        <w:rPr>
          <w:rFonts w:ascii="Times New Roman" w:hAnsi="Times New Roman"/>
          <w:color w:val="1F2A44"/>
        </w:rPr>
        <w:t>Figure files and Supporting Information format</w:t>
      </w:r>
    </w:p>
    <w:p>
      <w:pPr>
        <w:spacing w:after="120"/>
      </w:pPr>
      <w:r>
        <w:rPr>
          <w:b w:val="0"/>
        </w:rPr>
        <w:t>Response. Five main figures are supplied as separate 600 dpi TIFF files. The new overview Figure 1 is also supplied as editable SVG artwork. The Supporting Information is supplied as PDF, and the manuscript as an editable Word file.</w:t>
      </w:r>
      <w:r>
        <w:rPr>
          <w:b w:val="0"/>
          <w:i w:val="0"/>
        </w:rPr>
      </w:r>
    </w:p>
    <w:p>
      <w:pPr>
        <w:spacing w:after="120"/>
      </w:pPr>
      <w:r>
        <w:rPr>
          <w:b w:val="0"/>
        </w:rPr>
        <w:t>Location. Separate files.</w:t>
      </w:r>
      <w:r>
        <w:rPr>
          <w:b w:val="0"/>
          <w:i w:val="0"/>
        </w:rPr>
      </w:r>
    </w:p>
    <w:p>
      <w:pPr>
        <w:pStyle w:val="Heading2"/>
      </w:pPr>
      <w:r>
        <w:rPr>
          <w:rFonts w:ascii="Times New Roman" w:hAnsi="Times New Roman"/>
          <w:color w:val="1F2A44"/>
        </w:rPr>
        <w:t>CRediT, AI statement and data availability</w:t>
      </w:r>
    </w:p>
    <w:p>
      <w:pPr>
        <w:spacing w:after="120"/>
      </w:pPr>
      <w:r>
        <w:t>Response. The CRediT statement is retained; the AI disclosure is identical in the main manuscript and Supporting Information, and preregistration status is stated in the Acknowledgements. Data availability cites GPCR SelectivityMap v0.4.0 (version DOI 10.5281/zenodo.22959127; concept DOI 10.5281/zenodo.21820928), while retaining v0.3.1 for core-release provenance. Core source data are supplied as Source Data S1-S13 and revision-specific provenance and functional-repertoire data as Source Data S14.</w:t>
      </w:r>
    </w:p>
    <w:p>
      <w:pPr>
        <w:spacing w:after="120"/>
      </w:pPr>
      <w:r>
        <w:t>Location. Author Contributions, Acknowledgements, Funding Information and Data Availability Statement (pp. 16–17).</w:t>
      </w:r>
    </w:p>
    <w:p>
      <w:pPr>
        <w:pStyle w:val="Heading2"/>
      </w:pPr>
      <w:r>
        <w:rPr>
          <w:rFonts w:ascii="Times New Roman" w:hAnsi="Times New Roman"/>
          <w:color w:val="1F2A44"/>
        </w:rPr>
        <w:t>Additional correction made on my own initiative: acquisition inputs in the endpoint-geometry representation</w:t>
      </w:r>
    </w:p>
    <w:p>
      <w:pPr>
        <w:spacing w:after="120"/>
      </w:pPr>
      <w:r>
        <w:t xml:space="preserve">On re-auditing the archived coefficient files while preparing this revision, I found that the representation the manuscript calls "endpoint geometry" contains 11 non-coordinate acquisition inputs alongside the receptor descriptors: resolution, deposition year, experimental method, ligand type, fusion-protein annotation and ICL2 completeness indicators. They carry 7.3% of the mean absolute coefficient mass. This affects the archive-wide transfer result and the within-receptor test, and it means the metadata-only control was compared against a model that itself contained the same metadata. No reviewer raised this point; I am raising it because a reader who opens the archived coefficients would find it, and the paper should have said so.</w:t>
      </w:r>
    </w:p>
    <w:p>
      <w:pPr>
        <w:spacing w:after="120"/>
      </w:pPr>
      <w:r>
        <w:t xml:space="preserve">I have therefore reimplemented the transfer-audit specification independently, validated the reimplementation against the archive, and refitted the representation on receptor coordinates alone. The reimplementation reproduces the archived within-receptor statistics exactly (margin +0.051, accuracy 59.7%) and the archived archive-wide macro ROC AUC to within 0.007 at every validation level with five valid folds. Removing all acquisition inputs leaves the archive-wide result essentially unchanged: macro ROC AUC 0.781 under receptor-grouped validation, 0.741 at 50% identity, 0.678 at 40% and 0.490 at 30%, against archived values of 0.776, 0.731, 0.683 and 0.517. The paired full-sequence-minus-coordinate-only difference is -0.102 (95% CI -0.168 to -0.034) at 50% identity, so the moderate-distance advantage of geometry over sequence is carried by coordinates. A model built from the acquisition inputs alone reaches 0.568, 0.489, 0.533 and 0.515 across the same four levels.</w:t>
      </w:r>
    </w:p>
    <w:p>
      <w:pPr>
        <w:spacing w:after="120"/>
      </w:pPr>
      <w:r>
        <w:t xml:space="preserve">The within-receptor test survives the same removal, with one honest qualification. Under receptor-grouped validation the coordinate-only margin is +0.038 (P = 0.006) with accuracy 55.6% (P = 0.018); at 50% identity the margin is +0.012 (P = 0.011); it is absent at 40% and 30%. The direction and the identity-threshold profile are preserved, but the magnitude at 50% falls from +0.061 to +0.012, and the manuscript now reports that as attenuation rather than as an unchanged result. Substituted into the same nine-representation ladder, the coordinate-only values give q = 0.045 for the margin and q = 0.094 for accuracy. In the construct strata the coordinate-only margin is +0.063 across the 19 resolution-matched receptors (P = 0.016) and +0.061 across the 18 receptors resolved with both Gi/o and Gq/11 (P = 0.040).</w:t>
      </w:r>
    </w:p>
    <w:p>
      <w:pPr>
        <w:spacing w:after="120"/>
      </w:pPr>
      <w:r>
        <w:t xml:space="preserve">Two archived inputs, the activation-consensus score and its completeness count, are not present in the archived per-structure measurement table and were omitted from the reimplementation and every model derived from it. This is stated in the Methods and in the Source Data S18 README. The refit removes measured acquisition context; it cannot remove construct variation that the deposited annotation does not encode, and the manuscript continues to say so.</w:t>
      </w:r>
    </w:p>
    <w:p>
      <w:pPr>
        <w:spacing w:after="120"/>
      </w:pPr>
      <w:r>
        <w:t xml:space="preserve">Location. Methods 2.3, new final paragraph (p. 7); Results 3.2, new paragraph and additions to the within-receptor paragraph (pp. 10-11); Discussion limitations paragraph (p. 15); Data Availability Statement (p. 17); SI Methods and new Table S33 (SI pp. 25-26); Source Data S18.</w:t>
      </w:r>
    </w:p>
    <w:p>
      <w:pPr>
        <w:spacing w:after="120"/>
      </w:pPr>
      <w:r>
        <w:t xml:space="preserve">I have also corrected the note to Table S31, which still described the two pipelines in the wording of the previous revision and cited the wrong section and the wrong macro ROC AUC, and I have removed a sentence from the Data Availability Statement that contradicted the sentence before it by placing the revision-specific Source Data inside the immutable v0.4.0 record.</w:t>
      </w:r>
    </w:p>
    <w:p>
      <w:pPr>
        <w:spacing w:after="120"/>
      </w:pPr>
      <w:r>
        <w:t xml:space="preserve">On the residual construct confound, which the manuscript itself calls the direct test: antibody-fragment and nanobody identity are separate polymer entities in the deposited records, and extracting them is a parsing job rather than a new experiment. I have written that extraction and the stratified re-analysis it feeds, and supplied both in Source Data S18, but they are supplied ready to run rather than run, because the deposited coordinate files are not part of Source Data. The script prints the sentence to report for either outcome, including the unfavourable one.</w:t>
      </w:r>
    </w:p>
    <w:p>
      <w:pPr>
        <w:spacing w:after="120"/>
      </w:pPr>
      <w:r>
        <w:t xml:space="preserve">In place of that annotation, the within-receptor test is now bounded adversarially. Receptors are deleted in decreasing order of their contribution to the margin, on the assumption that the most favourable ones are entirely construct-driven, and the permutation test is recomputed at each step. The coordinate-only margin survives four deletions of the 34 receptors (+0.004, P = 0.048) and fails at the fifth (-0.001, P = 0.075); in the archived primary model the margin survives three deletions and the accuracy statistic survives four (56.3%, P = 0.015). A construct explanation would therefore have to apply to at least five of the 34 receptors and remove their margin entirely. The effect is distributed rather than carried by one or two receptors, and it is small; both statements are now in the manuscript.</w:t>
      </w:r>
    </w:p>
    <w:p>
      <w:pPr>
        <w:spacing w:after="120"/>
      </w:pPr>
      <w:r>
        <w:t xml:space="preserve">Location. Results 3.2, end of the within-receptor paragraph (p. 11); Discussion limitations paragraph (p. 15); SI Table S33, adversarial deletion ladder (SI p. 26); Source Data S18, scripts 06 and 07.</w:t>
      </w:r>
    </w:p>
    <w:p>
      <w:pPr>
        <w:spacing w:after="120"/>
      </w:pPr>
      <w:r>
        <w:t xml:space="preserve">Update: the extraction has now been run, and it resolves this point rather than deferring it. Antibody-fragment, nanobody, mini-G, chimera and fusion identity were read from the polymer entity records of all 72 within-receptor units. Of the 18 receptors resolved with both Gi/o and Gq/11, eight carry scFv16 on both endpoints, and those eight are the only receptors in the eligible set whose captured-class endpoints share an identical stabiliser annotation, exactly the configuration the construct argument predicts.</w:t>
      </w:r>
    </w:p>
    <w:p>
      <w:pPr>
        <w:spacing w:after="120"/>
      </w:pPr>
      <w:r>
        <w:t xml:space="preserve">In that matched stratum the within-receptor margin is larger, not smaller: +0.127 (P = 0.005) for the coordinate-only refit and +0.183 (P = 0.008) for the archived primary model, against +0.038 and +0.051 across the full set. Restricting to the six receptors that also match on fusion and chimera annotation gives +0.138 (P = 0.031) and +0.200 (P = 0.045). Across the 26 receptors with mismatched stabiliser annotation the margin is smaller, +0.012 (P = 0.047) and +0.013 (P = 0.075). A stabiliser-driven artefact predicts the opposite ordering.</w:t>
      </w:r>
    </w:p>
    <w:p>
      <w:pPr>
        <w:spacing w:after="120"/>
      </w:pPr>
      <w:r>
        <w:t xml:space="preserve">Two limits are stated in the manuscript rather than left implicit. The matched stratum has eight receptors and 16 units, and its accuracy statistic sits at the permutation expectation (56.3%, P = 0.50), so the margin and not the accuracy carries that stratum. Eight of the 72 structures declare no antibody, nanobody or Fab entity at all, so for two receptors "matched" means matched in the absence of one. The sentence beginning "That expectation was not verified here" has been replaced by the verified result, and the adversarial deletion ladder is retained as a bound on what the annotation cannot reach.</w:t>
      </w:r>
    </w:p>
    <w:p>
      <w:pPr>
        <w:spacing w:after="120"/>
      </w:pPr>
      <w:r>
        <w:t xml:space="preserve">Location. Results 3.2, within-receptor paragraph (p. 11); Discussion limitations paragraph (p. 15); SI Table S33 and the stabiliser stratum table (SI pp. 26-27); Source Data S18, which now contains the per-unit annotation, the extracted entity descriptions and the classifier.</w:t>
      </w:r>
    </w:p>
    <w:p>
      <w:pPr>
        <w:pStyle w:val="Heading2"/>
      </w:pPr>
      <w:r>
        <w:rPr>
          <w:rFonts w:ascii="Times New Roman" w:hAnsi="Times New Roman"/>
          <w:color w:val="1F2A44"/>
        </w:rPr>
        <w:t>Design and Analysis checklist</w:t>
      </w:r>
    </w:p>
    <w:p>
      <w:pPr>
        <w:spacing w:after="120"/>
      </w:pPr>
      <w:r>
        <w:rPr>
          <w:b w:val="0"/>
          <w:i w:val="0"/>
        </w:rPr>
        <w:t>The checklist was applied to an archive-based computational study without prospectively assigned experimental groups.</w:t>
      </w:r>
    </w:p>
    <w:tbl>
      <w:tblPr>
        <w:tblStyle w:val="TableGrid"/>
        <w:tblW w:type="auto" w:w="0"/>
        <w:tblLook w:firstColumn="1" w:firstRow="1" w:lastColumn="0" w:lastRow="0" w:noHBand="0" w:noVBand="1" w:val="04A0"/>
      </w:tblPr>
      <w:tblGrid>
        <w:gridCol w:w="3211"/>
        <w:gridCol w:w="3211"/>
        <w:gridCol w:w="3211"/>
      </w:tblGrid>
      <w:tr>
        <w:tc>
          <w:tcPr>
            <w:tcW w:type="dxa" w:w="3211"/>
          </w:tcPr>
          <w:p>
            <w:r>
              <w:t>Checklist item</w:t>
            </w:r>
          </w:p>
        </w:tc>
        <w:tc>
          <w:tcPr>
            <w:tcW w:type="dxa" w:w="3211"/>
          </w:tcPr>
          <w:p>
            <w:r>
              <w:t>Response</w:t>
            </w:r>
          </w:p>
        </w:tc>
        <w:tc>
          <w:tcPr>
            <w:tcW w:type="dxa" w:w="3211"/>
          </w:tcPr>
          <w:p>
            <w:r>
              <w:t>Location</w:t>
            </w:r>
          </w:p>
        </w:tc>
      </w:tr>
      <w:tr>
        <w:tc>
          <w:tcPr>
            <w:tcW w:type="dxa" w:w="3211"/>
          </w:tcPr>
          <w:p>
            <w:r>
              <w:t>1. Equal group size, randomisation and blinded analysis</w:t>
            </w:r>
          </w:p>
        </w:tc>
        <w:tc>
          <w:tcPr>
            <w:tcW w:type="dxa" w:w="3211"/>
          </w:tcPr>
          <w:p>
            <w:r>
              <w:t>No prospectively assigned groups; randomisation and blinded allocation not applicable. Receptor grouping prevents leakage between training and test data.</w:t>
            </w:r>
          </w:p>
        </w:tc>
        <w:tc>
          <w:tcPr>
            <w:tcW w:type="dxa" w:w="3211"/>
          </w:tcPr>
          <w:p>
            <w:r>
              <w:t>Methods 2.2 paragraph 1 (p. 5); 2.4 paragraphs 1–3 (p. 7)</w:t>
            </w:r>
          </w:p>
        </w:tc>
      </w:tr>
      <w:tr>
        <w:tc>
          <w:tcPr>
            <w:tcW w:type="dxa" w:w="3211"/>
          </w:tcPr>
          <w:p>
            <w:r>
              <w:t>2. Statistical analysis only where n ≥ 5</w:t>
            </w:r>
          </w:p>
        </w:tc>
        <w:tc>
          <w:tcPr>
            <w:tcW w:type="dxa" w:w="3211"/>
          </w:tcPr>
          <w:p>
            <w:r>
              <w:t>Formal inferential tests are restricted to analyses with at least five independent receptor-level values.</w:t>
            </w:r>
          </w:p>
        </w:tc>
        <w:tc>
          <w:tcPr>
            <w:tcW w:type="dxa" w:w="3211"/>
          </w:tcPr>
          <w:p>
            <w:r>
              <w:t>Methods 2.4 paragraph 2 (p. 7)</w:t>
            </w:r>
          </w:p>
        </w:tc>
      </w:tr>
      <w:tr>
        <w:tc>
          <w:tcPr>
            <w:tcW w:type="dxa" w:w="3211"/>
          </w:tcPr>
          <w:p>
            <w:r>
              <w:t>3. Data not analysed statistically because of small n</w:t>
            </w:r>
          </w:p>
        </w:tc>
        <w:tc>
          <w:tcPr>
            <w:tcW w:type="dxa" w:w="3211"/>
          </w:tcPr>
          <w:p>
            <w:r>
              <w:t>Small class-specific summaries are descriptive only.</w:t>
            </w:r>
          </w:p>
        </w:tc>
        <w:tc>
          <w:tcPr>
            <w:tcW w:type="dxa" w:w="3211"/>
          </w:tcPr>
          <w:p>
            <w:r>
              <w:t>Methods 2.4 paragraph 2 (p. 7)</w:t>
            </w:r>
          </w:p>
        </w:tc>
      </w:tr>
      <w:tr>
        <w:tc>
          <w:tcPr>
            <w:tcW w:type="dxa" w:w="3211"/>
          </w:tcPr>
          <w:p>
            <w:r>
              <w:t>4. Data with n &lt; 5 labelled exploratory</w:t>
            </w:r>
          </w:p>
        </w:tc>
        <w:tc>
          <w:tcPr>
            <w:tcW w:type="dxa" w:w="3211"/>
          </w:tcPr>
          <w:p>
            <w:r>
              <w:t>The provenance-audited matched population (3 receptors) is reported descriptively and not used for inference.</w:t>
            </w:r>
          </w:p>
        </w:tc>
        <w:tc>
          <w:tcPr>
            <w:tcW w:type="dxa" w:w="3211"/>
          </w:tcPr>
          <w:p>
            <w:r>
              <w:t>Results 3.4 (p. 12); SI Tables S24–S25 (SI pp. 20–21)</w:t>
            </w:r>
          </w:p>
        </w:tc>
      </w:tr>
      <w:tr>
        <w:tc>
          <w:tcPr>
            <w:tcW w:type="dxa" w:w="3211"/>
          </w:tcPr>
          <w:p>
            <w:r>
              <w:t>5. Explanation of sample size</w:t>
            </w:r>
          </w:p>
        </w:tc>
        <w:tc>
          <w:tcPr>
            <w:tcW w:type="dxa" w:w="3211"/>
          </w:tcPr>
          <w:p>
            <w:r>
              <w:t>Sample sizes are determined by the complete experimental archive; no prospective power calculation was appropriate.</w:t>
            </w:r>
          </w:p>
        </w:tc>
        <w:tc>
          <w:tcPr>
            <w:tcW w:type="dxa" w:w="3211"/>
          </w:tcPr>
          <w:p>
            <w:r>
              <w:t>Methods 2.2 paragraph 2 (p. 6)</w:t>
            </w:r>
          </w:p>
        </w:tc>
      </w:tr>
      <w:tr>
        <w:tc>
          <w:tcPr>
            <w:tcW w:type="dxa" w:w="3211"/>
          </w:tcPr>
          <w:p>
            <w:r>
              <w:t>6. n represents independent values</w:t>
            </w:r>
          </w:p>
        </w:tc>
        <w:tc>
          <w:tcPr>
            <w:tcW w:type="dxa" w:w="3211"/>
          </w:tcPr>
          <w:p>
            <w:r>
              <w:t>n denotes independent receptor, state or receptor-transducer units after aggregation; repeated deposited structures are not treated as independent.</w:t>
            </w:r>
          </w:p>
        </w:tc>
        <w:tc>
          <w:tcPr>
            <w:tcW w:type="dxa" w:w="3211"/>
          </w:tcPr>
          <w:p>
            <w:r>
              <w:t>Methods 2.2 paragraph 2 (p. 6); 2.4 para 2 (pp. 6–7)</w:t>
            </w:r>
          </w:p>
        </w:tc>
      </w:tr>
      <w:tr>
        <w:tc>
          <w:tcPr>
            <w:tcW w:type="dxa" w:w="3211"/>
          </w:tcPr>
          <w:p>
            <w:r>
              <w:t>7. Fixed significance threshold</w:t>
            </w:r>
          </w:p>
        </w:tc>
        <w:tc>
          <w:tcPr>
            <w:tcW w:type="dxa" w:w="3211"/>
          </w:tcPr>
          <w:p>
            <w:r>
              <w:t>Two-sided P &lt; 0.05 is declared; effect sizes and 95% CIs are emphasised.</w:t>
            </w:r>
          </w:p>
        </w:tc>
        <w:tc>
          <w:tcPr>
            <w:tcW w:type="dxa" w:w="3211"/>
          </w:tcPr>
          <w:p>
            <w:r>
              <w:t>Methods 2.4 paragraphs 1–2 (p. 7)</w:t>
            </w:r>
          </w:p>
        </w:tc>
      </w:tr>
      <w:tr>
        <w:tc>
          <w:tcPr>
            <w:tcW w:type="dxa" w:w="3211"/>
          </w:tcPr>
          <w:p>
            <w:r>
              <w:t>8. ANOVA and post hoc testing</w:t>
            </w:r>
          </w:p>
        </w:tc>
        <w:tc>
          <w:tcPr>
            <w:tcW w:type="dxa" w:w="3211"/>
          </w:tcPr>
          <w:p>
            <w:r>
              <w:t>Not used.</w:t>
            </w:r>
          </w:p>
        </w:tc>
        <w:tc>
          <w:tcPr>
            <w:tcW w:type="dxa" w:w="3211"/>
          </w:tcPr>
          <w:p>
            <w:r>
              <w:t>Methods 2.4 paragraph 2 (p. 7)</w:t>
            </w:r>
          </w:p>
        </w:tc>
      </w:tr>
      <w:tr>
        <w:tc>
          <w:tcPr>
            <w:tcW w:type="dxa" w:w="3211"/>
          </w:tcPr>
          <w:p>
            <w:r>
              <w:t>9. Normalisation or transformation</w:t>
            </w:r>
          </w:p>
        </w:tc>
        <w:tc>
          <w:tcPr>
            <w:tcW w:type="dxa" w:w="3211"/>
          </w:tcPr>
          <w:p>
            <w:r>
              <w:t>None applied; model features are standardised only within training folds.</w:t>
            </w:r>
          </w:p>
        </w:tc>
        <w:tc>
          <w:tcPr>
            <w:tcW w:type="dxa" w:w="3211"/>
          </w:tcPr>
          <w:p>
            <w:r>
              <w:t>Methods 2.3 paragraph 3 (p. 7); 2.4 paragraph 2 (p. 7)</w:t>
            </w:r>
          </w:p>
        </w:tc>
      </w:tr>
      <w:tr>
        <w:tc>
          <w:tcPr>
            <w:tcW w:type="dxa" w:w="3211"/>
          </w:tcPr>
          <w:p>
            <w:r>
              <w:t>10. Units after transformation</w:t>
            </w:r>
          </w:p>
        </w:tc>
        <w:tc>
          <w:tcPr>
            <w:tcW w:type="dxa" w:w="3211"/>
          </w:tcPr>
          <w:p>
            <w:r>
              <w:t>Descriptive quantities retain physical units, defined in the Methods and Table S21.</w:t>
            </w:r>
          </w:p>
        </w:tc>
        <w:tc>
          <w:tcPr>
            <w:tcW w:type="dxa" w:w="3211"/>
          </w:tcPr>
          <w:p>
            <w:r>
              <w:t>Methods 2.3 paragraph 1 (p. 6); SI Table S21 (SI p. 17)</w:t>
            </w:r>
          </w:p>
        </w:tc>
      </w:tr>
      <w:tr>
        <w:tc>
          <w:tcPr>
            <w:tcW w:type="dxa" w:w="3211"/>
          </w:tcPr>
          <w:p>
            <w:r>
              <w:t>11. Outliers</w:t>
            </w:r>
          </w:p>
        </w:tc>
        <w:tc>
          <w:tcPr>
            <w:tcW w:type="dxa" w:w="3211"/>
          </w:tcPr>
          <w:p>
            <w:r>
              <w:t>No statistical outliers were removed; exclusions follow predefined structural, entity, provenance and quality criteria.</w:t>
            </w:r>
          </w:p>
        </w:tc>
        <w:tc>
          <w:tcPr>
            <w:tcW w:type="dxa" w:w="3211"/>
          </w:tcPr>
          <w:p>
            <w:r>
              <w:t>Methods 2.2 paragraph 1 (p. 5); 2.4 paragraph 2 (p. 7)</w:t>
            </w:r>
          </w:p>
        </w:tc>
      </w:tr>
      <w:tr>
        <w:tc>
          <w:tcPr>
            <w:tcW w:type="dxa" w:w="3211"/>
          </w:tcPr>
          <w:p>
            <w:r>
              <w:t>12. Western blotting and immunohistochemistry</w:t>
            </w:r>
          </w:p>
        </w:tc>
        <w:tc>
          <w:tcPr>
            <w:tcW w:type="dxa" w:w="3211"/>
          </w:tcPr>
          <w:p>
            <w:r>
              <w:t>Not applicable.</w:t>
            </w:r>
          </w:p>
        </w:tc>
        <w:tc>
          <w:tcPr>
            <w:tcW w:type="dxa" w:w="3211"/>
          </w:tcPr>
          <w:p>
            <w:r>
              <w:t>Methods 2.2 para 1 (p. 5)</w:t>
            </w:r>
          </w:p>
        </w:tc>
      </w:tr>
      <w:tr>
        <w:tc>
          <w:tcPr>
            <w:tcW w:type="dxa" w:w="3211"/>
          </w:tcPr>
          <w:p>
            <w:r>
              <w:t>13. Explicit BJP compliance statement</w:t>
            </w:r>
          </w:p>
        </w:tc>
        <w:tc>
          <w:tcPr>
            <w:tcW w:type="dxa" w:w="3211"/>
          </w:tcPr>
          <w:p>
            <w:r>
              <w:t>Included.</w:t>
            </w:r>
          </w:p>
        </w:tc>
        <w:tc>
          <w:tcPr>
            <w:tcW w:type="dxa" w:w="3211"/>
          </w:tcPr>
          <w:p>
            <w:r>
              <w:t>Methods 2.4 paragraph 1 (p. 7)</w:t>
            </w:r>
          </w:p>
        </w:tc>
      </w:tr>
    </w:tbl>
    <w:p>
      <w:pPr>
        <w:spacing w:after="120"/>
      </w:pPr>
      <w:r>
        <w:rPr>
          <w:b w:val="0"/>
          <w:i w:val="0"/>
        </w:rPr>
      </w:r>
    </w:p>
    <w:p>
      <w:pPr>
        <w:spacing w:after="120"/>
      </w:pPr>
      <w:r>
        <w:rPr>
          <w:b w:val="0"/>
          <w:i w:val="0"/>
        </w:rPr>
        <w:t>Thank you again for your consideration.</w:t>
      </w:r>
    </w:p>
    <w:p>
      <w:pPr>
        <w:spacing w:after="40"/>
      </w:pPr>
      <w:r>
        <w:rPr>
          <w:b w:val="0"/>
          <w:i w:val="0"/>
        </w:rPr>
        <w:t>Yours sincerely,</w:t>
      </w:r>
    </w:p>
    <w:p>
      <w:pPr>
        <w:spacing w:after="120"/>
      </w:pPr>
      <w:r>
        <w:rPr>
          <w:b w:val="0"/>
          <w:i w:val="0"/>
        </w:rPr>
        <w:t>Hossein Batebi</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 Mature GPCR complexes carry distributed information about the captured G protein class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