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PSET-1</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Pulsar Candidate Light Curve Analysis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by Haley Bates-Tarasewicz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Pulsars are rapidly rotating neutron stars that emit focussed beams of radiation. When these beams align with the Earth, a periodic signal is observed, some with periods as short as one milli-second. Determination of the period and light curve shape helps to determine the interior structure of the pulsar.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In class on September, 11th 2015 EDT we obtained observations of a pulsar candidate. We used a Pico System I camera with a Fuji 50mm lens. The exposure time used was .5 seconds and the read time between exposures was .75 seconds. The exposure sequence was comprised of 100 individual frames, lasting approximately 125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05263" cy="3798094"/>
            <wp:effectExtent b="0" l="0" r="0" t="0"/>
            <wp:docPr descr="pulsar-105.png" id="1" name="image03.png"/>
            <a:graphic>
              <a:graphicData uri="http://schemas.openxmlformats.org/drawingml/2006/picture">
                <pic:pic>
                  <pic:nvPicPr>
                    <pic:cNvPr descr="pulsar-105.png" id="0" name="image03.png"/>
                    <pic:cNvPicPr preferRelativeResize="0"/>
                  </pic:nvPicPr>
                  <pic:blipFill>
                    <a:blip r:embed="rId5"/>
                    <a:srcRect b="0" l="0" r="0" t="0"/>
                    <a:stretch>
                      <a:fillRect/>
                    </a:stretch>
                  </pic:blipFill>
                  <pic:spPr>
                    <a:xfrm>
                      <a:off x="0" y="0"/>
                      <a:ext cx="4005263" cy="37980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Fig. 1:  Example image pulsar-105.fit from the collected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I performed aperture photometry on this data set using AstroImageJ. AstroImageJ is an astronomy software that makes use of circular apertures and the annulus method.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average background signal was determined to be 2006.98 from the analysis of Fig. 1. A similar analysis determined the total count of the signal from the background and the star to be 3884866.58. From this, it can be understood that the signal from the star itself is 3882859.6.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aperture that was used to determine this was circular and made use of the annulus method. It was placed at x=98 and y=318 for all measurements.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521450" cy="4891088"/>
            <wp:effectExtent b="0" l="0" r="0" t="0"/>
            <wp:docPr descr="pulsar.jpg" id="2" name="image04.jpg"/>
            <a:graphic>
              <a:graphicData uri="http://schemas.openxmlformats.org/drawingml/2006/picture">
                <pic:pic>
                  <pic:nvPicPr>
                    <pic:cNvPr descr="pulsar.jpg" id="0" name="image04.jpg"/>
                    <pic:cNvPicPr preferRelativeResize="0"/>
                  </pic:nvPicPr>
                  <pic:blipFill>
                    <a:blip r:embed="rId6"/>
                    <a:srcRect b="0" l="0" r="0" t="0"/>
                    <a:stretch>
                      <a:fillRect/>
                    </a:stretch>
                  </pic:blipFill>
                  <pic:spPr>
                    <a:xfrm>
                      <a:off x="0" y="0"/>
                      <a:ext cx="6521450" cy="4891088"/>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Open Sans" w:cs="Open Sans" w:eastAsia="Open Sans" w:hAnsi="Open Sans"/>
          <w:sz w:val="18"/>
          <w:szCs w:val="18"/>
          <w:rtl w:val="0"/>
        </w:rPr>
        <w:t xml:space="preserve">Fig. 2: A plot of the photon signal to the sequence number. </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Open Sans" w:cs="Open Sans" w:eastAsia="Open Sans" w:hAnsi="Open Sans"/>
          <w:sz w:val="18"/>
          <w:szCs w:val="18"/>
          <w:rtl w:val="0"/>
        </w:rPr>
        <w:t xml:space="preserve">Fig 3. The table of Fig. 2</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File #</w:t>
            </w:r>
          </w:p>
        </w:tc>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Signal</w:t>
            </w:r>
          </w:p>
        </w:tc>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File # cont.</w:t>
            </w:r>
          </w:p>
        </w:tc>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Signal cont.</w:t>
            </w:r>
          </w:p>
        </w:tc>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File # cont.</w:t>
            </w:r>
          </w:p>
        </w:tc>
        <w:tc>
          <w:tcPr>
            <w:shd w:fill="666666"/>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ffffff"/>
                <w:sz w:val="20"/>
                <w:szCs w:val="20"/>
                <w:rtl w:val="0"/>
              </w:rPr>
              <w:t xml:space="preserve">Signal cont.</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1367.639329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1665.882704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1143.811497</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967.216625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685.512177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2237.145472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1522.771394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1934.445995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1641.609326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1123.575091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1654.474073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4477349.164</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3883135.78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1413.305388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2382.249479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1751.420641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1467.069486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1539.96242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1738.285902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4604581.539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888.685051</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1289.811569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2025.410714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4435234.392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693.287631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1335.548061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2147.903482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1457.235817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2075.646237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3792760.965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1502.142545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2047.83528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1653.776847</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4256869.231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1486.889239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2053.962285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2211.365277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1594.233043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1789.71709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1952.802073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4129913.985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1760.240863</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1770.077083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2105.612993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4310792.652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1291.339527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1593.656419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2277.221952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4503289.272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2365.792505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1810.892862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1182.015948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2608.238806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879.08727</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2001.56232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4229933.351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1454.675282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1481.125417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1764.611762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1399.04699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1209.547397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3858676.897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1805.518446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2400.480043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1106.231118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4766310.258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1799.099165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2476.949181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1751.764303</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5019376.23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2145.084333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1548.36075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2383.419781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1886.980795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1032.180924</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1694.007378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3674273.747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1181.346492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1487.867696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2202.762179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1661.906398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2389.602996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1905.595632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1661.906398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2290.831318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1588.28815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2173.471482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1294.008237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4750203.544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1141.720642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2683.285714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1957.53307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1880.229911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169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4644913.861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2278.361012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1497.897682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2060.715702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1548.366071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136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4748273.304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172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Open Sans" w:cs="Open Sans" w:eastAsia="Open Sans" w:hAnsi="Open Sans"/>
                <w:sz w:val="20"/>
                <w:szCs w:val="20"/>
                <w:rtl w:val="0"/>
              </w:rPr>
              <w:t xml:space="preserve">1009.346667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light curve in magnitudes is shown in Fig.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78550" cy="4633913"/>
            <wp:effectExtent b="0" l="0" r="0" t="0"/>
            <wp:docPr descr="pulsar magnitude.jpg" id="3" name="image05.jpg"/>
            <a:graphic>
              <a:graphicData uri="http://schemas.openxmlformats.org/drawingml/2006/picture">
                <pic:pic>
                  <pic:nvPicPr>
                    <pic:cNvPr descr="pulsar magnitude.jpg" id="0" name="image05.jpg"/>
                    <pic:cNvPicPr preferRelativeResize="0"/>
                  </pic:nvPicPr>
                  <pic:blipFill>
                    <a:blip r:embed="rId7"/>
                    <a:srcRect b="0" l="0" r="0" t="0"/>
                    <a:stretch>
                      <a:fillRect/>
                    </a:stretch>
                  </pic:blipFill>
                  <pic:spPr>
                    <a:xfrm>
                      <a:off x="0" y="0"/>
                      <a:ext cx="6178550" cy="463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ab/>
        <w:tab/>
        <w:t xml:space="preserve">Fig. 4: A plot of magnitude to the image sequence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pen Sans" w:cs="Open Sans" w:eastAsia="Open Sans" w:hAnsi="Open Sans"/>
          <w:sz w:val="20"/>
          <w:szCs w:val="20"/>
          <w:rtl w:val="0"/>
        </w:rPr>
        <w:t xml:space="preserve">Fig. 4: A table of Fig. 3.</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File #</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Magnitude</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File # cont.</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Magnitude cont.</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File # cont. </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color w:val="ffffff"/>
                <w:sz w:val="20"/>
                <w:szCs w:val="20"/>
                <w:rtl w:val="0"/>
              </w:rPr>
              <w:t xml:space="preserve">Magnitude cont.</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14.16007105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5.308660729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14.02531588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14.53619062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13.94588895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14.48989912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14.04341323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14.90996207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14.35411386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14.37349474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13.78360848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13.62576444</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5.527043558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13.95335009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13.96182547</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13.89152384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14.12440996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5.37244759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13.89969698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14.08387329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13.5575319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14.22368433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5.34202458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14.03122469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109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14.89771637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13.73371724</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14.62813031</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14.09117541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14.1858512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5.382708559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14.05822213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13.70711666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13.66996309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5.427274227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13.72176245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5.552611319</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13.63834879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14.06930345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13.95380773</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13.77335443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13.99362048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13.71851884</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13.88001955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5.460147483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13.86803904</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14.22239889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13.69155362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13.88606975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5.366175387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13.99401326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5.413607165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14.31844166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13.56505837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13.6064866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119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13.74657721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13.45913162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189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13.85526811</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14.07352041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5.434166189</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14.63992002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14.29344277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13.88337708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14.09308485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13.54925475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5.533903963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14.13541925</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13.86236225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14.39038532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13.85849518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5.248375626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13.51520726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5.304544228</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13.55699865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13.67138907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13.89131082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13.92771176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13.8105813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14.02531962</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14.06858921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5.587071226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14.46561043</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13.55418561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13.64258097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14.31905676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13.60001722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13.79992313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199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13.9484836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13.65711513</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13.99767676</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200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13.9484836</w:t>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131</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5.308219452</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166</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14.2201574</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132</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13.4283327</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167</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14.35610037</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133</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13.81447261</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168</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13.77072723</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134</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13.60594365</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169</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5.332555839</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135</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13.7149548</w:t>
            </w:r>
          </w:p>
        </w:tc>
        <w:tc>
          <w:tcPr>
            <w:shd w:fill="c9daf8"/>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170</w:t>
            </w:r>
          </w:p>
        </w:tc>
        <w:tc>
          <w:tcPr>
            <w:shd w:fill="d9ead3"/>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14.06129463</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maximum observed change in brightness is 9.6616 mag, although the brightness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change varies between 7.8412 and 9.6616 mag. If this variation is due to photon noise within the data, the signal-to-noise ratio of these data is 32.8429.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jpg"/><Relationship Id="rId7" Type="http://schemas.openxmlformats.org/officeDocument/2006/relationships/image" Target="media/image05.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