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/>
        <w:t xml:space="preserve">Cahier des charges</w:t>
      </w:r>
    </w:p>
    <w:p>
      <w:pPr>
        <w:pStyle w:val="Subtitle"/>
      </w:pPr>
      <w:r>
        <w:rPr/>
        <w:t xml:space="preserve">Plateforme HB Commerce - FIAFI</w:t>
      </w:r>
    </w:p>
    <w:p>
      <w:pPr/>
      <w:r>
        <w:rPr>
          <w:b/>
        </w:rPr>
        <w:t xml:space="preserve">Document fonctionnel et technique</w:t>
      </w:r>
    </w:p>
    <w:p>
      <w:pPr/>
      <w:r>
        <w:rPr/>
        <w:t xml:space="preserve">Date : 18/06/2026</w:t>
      </w:r>
    </w:p>
    <w:p>
      <w:pPr/>
      <w:r>
        <w:rPr/>
        <w:t xml:space="preserve">Créateur : Cursor Cloud Agent pour HB Commerce</w:t>
      </w:r>
    </w:p>
    <w:p>
      <w:pPr/>
      <w:r>
        <w:rPr/>
        <w:t xml:space="preserve">Statut : Version initiale documentée</w:t>
      </w:r>
    </w:p>
    <w:p>
      <w:r>
        <w:br w:type="page"/>
      </w:r>
    </w:p>
    <w:p>
      <w:pPr>
        <w:pStyle w:val="Heading1"/>
      </w:pPr>
      <w:r>
        <w:rPr/>
        <w:t xml:space="preserve">Tableau d’évolution du document</w:t>
      </w:r>
    </w:p>
    <w:tbl>
      <w:tblPr>
        <w:tblStyle w:val="TableGrid"/>
        <w:tblW w:w="0" w:type="auto"/>
      </w:tblPr>
      <w:tblGrid>
        <w:gridCol w:w="1200"/>
        <w:gridCol w:w="1600"/>
        <w:gridCol w:w="2200"/>
        <w:gridCol w:w="4200"/>
        <w:gridCol w:w="1600"/>
      </w:tblGrid>
      <w:tr>
        <w:tc>
          <w:tcPr>
            <w:tcW w:w="1200" w:type="dxa"/>
            <w:shd w:fill="EDE7D7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600" w:type="dxa"/>
            <w:shd w:fill="EDE7D7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2200" w:type="dxa"/>
            <w:shd w:fill="EDE7D7"/>
          </w:tcPr>
          <w:p>
            <w:pPr/>
            <w:r>
              <w:rPr>
                <w:b/>
              </w:rPr>
              <w:t xml:space="preserve">Auteur</w:t>
            </w:r>
          </w:p>
        </w:tc>
        <w:tc>
          <w:tcPr>
            <w:tcW w:w="4200" w:type="dxa"/>
            <w:shd w:fill="EDE7D7"/>
          </w:tcPr>
          <w:p>
            <w:pPr/>
            <w:r>
              <w:rPr>
                <w:b/>
              </w:rPr>
              <w:t xml:space="preserve">Modification</w:t>
            </w:r>
          </w:p>
        </w:tc>
        <w:tc>
          <w:tcPr>
            <w:tcW w:w="1600" w:type="dxa"/>
            <w:shd w:fill="EDE7D7"/>
          </w:tcPr>
          <w:p>
            <w:pPr/>
            <w:r>
              <w:rPr>
                <w:b/>
              </w:rPr>
              <w:t xml:space="preserve">Statut</w:t>
            </w:r>
          </w:p>
        </w:tc>
      </w:tr>
      <w:tr>
        <w:tc>
          <w:tcPr>
            <w:tcW w:w="1200" w:type="dxa"/>
          </w:tcPr>
          <w:p>
            <w:pPr/>
            <w:r>
              <w:rPr/>
              <w:t xml:space="preserve">1.0</w:t>
            </w:r>
          </w:p>
        </w:tc>
        <w:tc>
          <w:tcPr>
            <w:tcW w:w="1600" w:type="dxa"/>
          </w:tcPr>
          <w:p>
            <w:pPr/>
            <w:r>
              <w:rPr/>
              <w:t xml:space="preserve">18/06/2026</w:t>
            </w:r>
          </w:p>
        </w:tc>
        <w:tc>
          <w:tcPr>
            <w:tcW w:w="2200" w:type="dxa"/>
          </w:tcPr>
          <w:p>
            <w:pPr/>
            <w:r>
              <w:rPr/>
              <w:t xml:space="preserve">Cursor Cloud Agent</w:t>
            </w:r>
          </w:p>
        </w:tc>
        <w:tc>
          <w:tcPr>
            <w:tcW w:w="4200" w:type="dxa"/>
          </w:tcPr>
          <w:p>
            <w:pPr/>
            <w:r>
              <w:rPr/>
              <w:t xml:space="preserve">Création du cahier des charges initial</w:t>
            </w:r>
          </w:p>
        </w:tc>
        <w:tc>
          <w:tcPr>
            <w:tcW w:w="1600" w:type="dxa"/>
          </w:tcPr>
          <w:p>
            <w:pPr/>
            <w:r>
              <w:rPr/>
              <w:t xml:space="preserve">Validable</w:t>
            </w:r>
          </w:p>
        </w:tc>
      </w:tr>
    </w:tbl>
    <w:p>
      <w:pPr/>
      <w:r>
        <w:rPr/>
        <w:t xml:space="preserve"/>
      </w:r>
    </w:p>
    <w:tbl>
      <w:tblPr>
        <w:tblStyle w:val="TableGrid"/>
        <w:tblW w:w="0" w:type="auto"/>
      </w:tblPr>
      <w:tblGrid>
        <w:gridCol w:w="2600"/>
        <w:gridCol w:w="7000"/>
      </w:tblGrid>
      <w:tr>
        <w:tc>
          <w:tcPr>
            <w:tcW w:w="2600" w:type="dxa"/>
            <w:shd w:fill="EDE7D7"/>
          </w:tcPr>
          <w:p>
            <w:pPr/>
            <w:r>
              <w:rPr>
                <w:b/>
              </w:rPr>
              <w:t xml:space="preserve">Champ</w:t>
            </w:r>
          </w:p>
        </w:tc>
        <w:tc>
          <w:tcPr>
            <w:tcW w:w="7000" w:type="dxa"/>
            <w:shd w:fill="EDE7D7"/>
          </w:tcPr>
          <w:p>
            <w:pPr/>
            <w:r>
              <w:rPr>
                <w:b/>
              </w:rPr>
              <w:t xml:space="preserve">Valeur</w:t>
            </w:r>
          </w:p>
        </w:tc>
      </w:tr>
      <w:tr>
        <w:tc>
          <w:tcPr>
            <w:tcW w:w="2600" w:type="dxa"/>
          </w:tcPr>
          <w:p>
            <w:pPr/>
            <w:r>
              <w:rPr/>
              <w:t xml:space="preserve">Projet</w:t>
            </w:r>
          </w:p>
        </w:tc>
        <w:tc>
          <w:tcPr>
            <w:tcW w:w="7000" w:type="dxa"/>
          </w:tcPr>
          <w:p>
            <w:pPr/>
            <w:r>
              <w:rPr/>
              <w:t xml:space="preserve">HB Commerce - vente en gros FIAFI</w:t>
            </w:r>
          </w:p>
        </w:tc>
      </w:tr>
      <w:tr>
        <w:tc>
          <w:tcPr>
            <w:tcW w:w="2600" w:type="dxa"/>
          </w:tcPr>
          <w:p>
            <w:pPr/>
            <w:r>
              <w:rPr/>
              <w:t xml:space="preserve">Créateur</w:t>
            </w:r>
          </w:p>
        </w:tc>
        <w:tc>
          <w:tcPr>
            <w:tcW w:w="7000" w:type="dxa"/>
          </w:tcPr>
          <w:p>
            <w:pPr/>
            <w:r>
              <w:rPr/>
              <w:t xml:space="preserve">Cursor Cloud Agent</w:t>
            </w:r>
          </w:p>
        </w:tc>
      </w:tr>
      <w:tr>
        <w:tc>
          <w:tcPr>
            <w:tcW w:w="2600" w:type="dxa"/>
          </w:tcPr>
          <w:p>
            <w:pPr/>
            <w:r>
              <w:rPr/>
              <w:t xml:space="preserve">Dernière modification</w:t>
            </w:r>
          </w:p>
        </w:tc>
        <w:tc>
          <w:tcPr>
            <w:tcW w:w="7000" w:type="dxa"/>
          </w:tcPr>
          <w:p>
            <w:pPr/>
            <w:r>
              <w:rPr/>
              <w:t xml:space="preserve">18/06/2026</w:t>
            </w:r>
          </w:p>
        </w:tc>
      </w:tr>
      <w:tr>
        <w:tc>
          <w:tcPr>
            <w:tcW w:w="2600" w:type="dxa"/>
          </w:tcPr>
          <w:p>
            <w:pPr/>
            <w:r>
              <w:rPr/>
              <w:t xml:space="preserve">Référentiel</w:t>
            </w:r>
          </w:p>
        </w:tc>
        <w:tc>
          <w:tcPr>
            <w:tcW w:w="7000" w:type="dxa"/>
          </w:tcPr>
          <w:p>
            <w:pPr/>
            <w:r>
              <w:rPr/>
              <w:t xml:space="preserve">GitHub Pages + Supabase</w:t>
            </w:r>
          </w:p>
        </w:tc>
      </w:tr>
      <w:tr>
        <w:tc>
          <w:tcPr>
            <w:tcW w:w="2600" w:type="dxa"/>
          </w:tcPr>
          <w:p>
            <w:pPr/>
            <w:r>
              <w:rPr/>
              <w:t xml:space="preserve">Public concerné</w:t>
            </w:r>
          </w:p>
        </w:tc>
        <w:tc>
          <w:tcPr>
            <w:tcW w:w="7000" w:type="dxa"/>
          </w:tcPr>
          <w:p>
            <w:pPr/>
            <w:r>
              <w:rPr/>
              <w:t xml:space="preserve">Clients sociétés, agents commerciaux, admins, super root</w:t>
            </w:r>
          </w:p>
        </w:tc>
      </w:tr>
    </w:tbl>
    <w:p>
      <w:r>
        <w:br w:type="page"/>
      </w:r>
    </w:p>
    <w:p>
      <w:pPr>
        <w:pStyle w:val="Heading1"/>
      </w:pPr>
      <w:r>
        <w:rPr/>
        <w:t xml:space="preserve">Sommaire</w:t>
      </w:r>
    </w:p>
    <w:p>
      <w:pPr/>
      <w:r>
        <w:rPr/>
        <w:t xml:space="preserve">1. Contexte et objectifs</w:t>
      </w:r>
    </w:p>
    <w:p>
      <w:pPr/>
      <w:r>
        <w:rPr/>
        <w:t xml:space="preserve">2. Périmètre fonctionnel</w:t>
      </w:r>
    </w:p>
    <w:p>
      <w:pPr/>
      <w:r>
        <w:rPr/>
        <w:t xml:space="preserve">3. Rôles et droits d’accès</w:t>
      </w:r>
    </w:p>
    <w:p>
      <w:pPr/>
      <w:r>
        <w:rPr/>
        <w:t xml:space="preserve">4. Parcours client société</w:t>
      </w:r>
    </w:p>
    <w:p>
      <w:pPr/>
      <w:r>
        <w:rPr/>
        <w:t xml:space="preserve">5. Commandes, paiements, factures et livraison</w:t>
      </w:r>
    </w:p>
    <w:p>
      <w:pPr/>
      <w:r>
        <w:rPr/>
        <w:t xml:space="preserve">6. Chat et modération</w:t>
      </w:r>
    </w:p>
    <w:p>
      <w:pPr/>
      <w:r>
        <w:rPr/>
        <w:t xml:space="preserve">7. Prix personnalisés</w:t>
      </w:r>
    </w:p>
    <w:p>
      <w:pPr/>
      <w:r>
        <w:rPr/>
        <w:t xml:space="preserve">8. Back-office admin, agent commercial et super root</w:t>
      </w:r>
    </w:p>
    <w:p>
      <w:pPr/>
      <w:r>
        <w:rPr/>
        <w:t xml:space="preserve">9. Données Supabase et sécurité</w:t>
      </w:r>
    </w:p>
    <w:p>
      <w:pPr/>
      <w:r>
        <w:rPr/>
        <w:t xml:space="preserve">10. Contraintes, dépendances et déploiement</w:t>
      </w:r>
    </w:p>
    <w:p>
      <w:pPr/>
      <w:r>
        <w:rPr/>
        <w:t xml:space="preserve">11. Critères d’acceptation</w:t>
      </w:r>
    </w:p>
    <w:p>
      <w:r>
        <w:br w:type="page"/>
      </w:r>
    </w:p>
    <w:p>
      <w:pPr>
        <w:pStyle w:val="Heading1"/>
      </w:pPr>
      <w:r>
        <w:rPr/>
        <w:t xml:space="preserve">1. Contexte et objectifs</w:t>
      </w:r>
    </w:p>
    <w:p>
      <w:pPr>
        <w:pStyle w:val="ListBullet"/>
      </w:pPr>
      <w:r>
        <w:t xml:space="preserve">HB Commerce distribue les produits FIAFI, notamment l’huile d’olive extra vierge, auprès de clients professionnels.</w:t>
      </w:r>
    </w:p>
    <w:p>
      <w:pPr>
        <w:pStyle w:val="ListBullet"/>
      </w:pPr>
      <w:r>
        <w:t xml:space="preserve">L’objectif est de fournir un site vitrine, un catalogue professionnel, un espace société, un panier, un suivi de commandes, des factures et des dashboards internes.</w:t>
      </w:r>
    </w:p>
    <w:p>
      <w:pPr>
        <w:pStyle w:val="ListBullet"/>
      </w:pPr>
      <w:r>
        <w:t xml:space="preserve">La solution repose sur un frontend statique hébergé sur GitHub Pages et un backend Supabase pour l’authentification, les profils, les commandes, le chat et les prix personnalisés.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2. Périmètre fonctionnel</w:t>
      </w:r>
    </w:p>
    <w:p>
      <w:pPr>
        <w:pStyle w:val="ListBullet"/>
      </w:pPr>
      <w:r>
        <w:t xml:space="preserve">Site public : présentation FIAFI, catalogue, brochures France/Luxembourg, inscription et connexion.</w:t>
      </w:r>
    </w:p>
    <w:p>
      <w:pPr>
        <w:pStyle w:val="ListBullet"/>
      </w:pPr>
      <w:r>
        <w:t xml:space="preserve">Espace client société : profil, commandes, historique, factures, chat, suivi livraison.</w:t>
      </w:r>
    </w:p>
    <w:p>
      <w:pPr>
        <w:pStyle w:val="ListBullet"/>
      </w:pPr>
      <w:r>
        <w:t xml:space="preserve">Dashboard admin : validation commandes, création clients, agents commerciaux, chat, prix clients, suivi livraison.</w:t>
      </w:r>
    </w:p>
    <w:p>
      <w:pPr>
        <w:pStyle w:val="ListBullet"/>
      </w:pPr>
      <w:r>
        <w:t xml:space="preserve">Dashboard super root : gestion globale des utilisateurs, rôles, profils, affectation et prix personnalisés.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3. Rôles et droits d’accès</w:t>
      </w:r>
    </w:p>
    <w:p>
      <w:pPr>
        <w:pStyle w:val="ListBullet"/>
      </w:pPr>
      <w:r>
        <w:t xml:space="preserve">Client : société professionnelle avec SIREN, code TVA, adresse et contact. Accède uniquement à son espace, ses commandes, son chat et ses prix.</w:t>
      </w:r>
    </w:p>
    <w:p>
      <w:pPr>
        <w:pStyle w:val="ListBullet"/>
      </w:pPr>
      <w:r>
        <w:t xml:space="preserve">Agent commercial : compte interne HB Commerce. Il gère uniquement les clients qui lui sont assignés, valide leurs commandes, échange par chat et fixe leurs prix.</w:t>
      </w:r>
    </w:p>
    <w:p>
      <w:pPr>
        <w:pStyle w:val="ListBullet"/>
      </w:pPr>
      <w:r>
        <w:t xml:space="preserve">Admin : compte interne HB Commerce. Il crée les clients, crée/assigne les agents commerciaux, valide les commandes et modère le chat.</w:t>
      </w:r>
    </w:p>
    <w:p>
      <w:pPr>
        <w:pStyle w:val="ListBullet"/>
      </w:pPr>
      <w:r>
        <w:t xml:space="preserve">Super root : compte interne HB Commerce. Il gère tous les profils, rôles, accès, prix clients, agents et admins.</w:t>
      </w:r>
    </w:p>
    <w:p>
      <w:pPr>
        <w:pStyle w:val="ListBullet"/>
      </w:pPr>
      <w:r>
        <w:t xml:space="preserve">Un admin ne peut pas créer de super root. Les rôles internes agent, admin et super root sont rattachés à HB Commerce.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4. Parcours client société</w:t>
      </w:r>
    </w:p>
    <w:p>
      <w:pPr>
        <w:pStyle w:val="ListBullet"/>
      </w:pPr>
      <w:r>
        <w:t xml:space="preserve">Le client peut s’inscrire lui-même ou être créé par un admin/super root.</w:t>
      </w:r>
    </w:p>
    <w:p>
      <w:pPr>
        <w:pStyle w:val="ListBullet"/>
      </w:pPr>
      <w:r>
        <w:t xml:space="preserve">À la création, le rôle est toujours client et aucun autre choix n’est proposé.</w:t>
      </w:r>
    </w:p>
    <w:p>
      <w:pPr>
        <w:pStyle w:val="ListBullet"/>
      </w:pPr>
      <w:r>
        <w:t xml:space="preserve">Les champs obligatoires société incluent : raison sociale, adresse, SIREN, code TVA, contact, e-mail et téléphone.</w:t>
      </w:r>
    </w:p>
    <w:p>
      <w:pPr>
        <w:pStyle w:val="ListBullet"/>
      </w:pPr>
      <w:r>
        <w:t xml:space="preserve">Après connexion, le client accède à son espace société, ses commandes, son historique, son chat et ses factures.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5. Commandes, paiements, factures et livraison</w:t>
      </w:r>
    </w:p>
    <w:p>
      <w:pPr>
        <w:pStyle w:val="ListBullet"/>
      </w:pPr>
      <w:r>
        <w:t xml:space="preserve">Les statuts de commande incluent : en cours de validation, validée, paiement à finaliser, payée, préparation, expédiée, livrée, annulée.</w:t>
      </w:r>
    </w:p>
    <w:p>
      <w:pPr>
        <w:pStyle w:val="ListBullet"/>
      </w:pPr>
      <w:r>
        <w:t xml:space="preserve">Toutes les commandes restent visibles dans l’historique, y compris annulées et payées.</w:t>
      </w:r>
    </w:p>
    <w:p>
      <w:pPr>
        <w:pStyle w:val="ListBullet"/>
      </w:pPr>
      <w:r>
        <w:t xml:space="preserve">Le client peut télécharger une facture pour chaque commande depuis son espace.</w:t>
      </w:r>
    </w:p>
    <w:p>
      <w:pPr>
        <w:pStyle w:val="ListBullet"/>
      </w:pPr>
      <w:r>
        <w:t xml:space="preserve">Après paiement, le suivi livraison peut contenir : statut livraison, transporteur, numéro de suivi, lien de suivi, date estimée, date livrée et notes.</w:t>
      </w:r>
    </w:p>
    <w:p>
      <w:pPr>
        <w:pStyle w:val="ListBullet"/>
      </w:pPr>
      <w:r>
        <w:t xml:space="preserve">L’admin ou l’agent assigné met à jour le suivi livraison.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6. Chat et modération</w:t>
      </w:r>
    </w:p>
    <w:p>
      <w:pPr>
        <w:pStyle w:val="ListBullet"/>
      </w:pPr>
      <w:r>
        <w:t xml:space="preserve">Le client dispose d’un chat avec HB Commerce dans son espace société.</w:t>
      </w:r>
    </w:p>
    <w:p>
      <w:pPr>
        <w:pStyle w:val="ListBullet"/>
      </w:pPr>
      <w:r>
        <w:t xml:space="preserve">L’historique du chat est conservé.</w:t>
      </w:r>
    </w:p>
    <w:p>
      <w:pPr>
        <w:pStyle w:val="ListBullet"/>
      </w:pPr>
      <w:r>
        <w:t xml:space="preserve">Les messages client peuvent être en attente, validés ou refusés.</w:t>
      </w:r>
    </w:p>
    <w:p>
      <w:pPr>
        <w:pStyle w:val="ListBullet"/>
      </w:pPr>
      <w:r>
        <w:t xml:space="preserve">Un commentaire refusé par l’admin ou l’agent n’est pas visible publiquement dans le fil approuvé.</w:t>
      </w:r>
    </w:p>
    <w:p>
      <w:pPr>
        <w:pStyle w:val="ListBullet"/>
      </w:pPr>
      <w:r>
        <w:t xml:space="preserve">L’agent commercial peut échanger uniquement avec ses clients assignés.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7. Prix personnalisés</w:t>
      </w:r>
    </w:p>
    <w:p>
      <w:pPr>
        <w:pStyle w:val="ListBullet"/>
      </w:pPr>
      <w:r>
        <w:t xml:space="preserve">Les prix publics sont masqués hors connexion et affichés en xx.</w:t>
      </w:r>
    </w:p>
    <w:p>
      <w:pPr>
        <w:pStyle w:val="ListBullet"/>
      </w:pPr>
      <w:r>
        <w:t xml:space="preserve">Une fois connecté, le client voit ses prix personnalisés si configurés.</w:t>
      </w:r>
    </w:p>
    <w:p>
      <w:pPr>
        <w:pStyle w:val="ListBullet"/>
      </w:pPr>
      <w:r>
        <w:t xml:space="preserve">Le super root, l’admin et l’agent assigné peuvent fixer des prix personnalisés selon leurs droits.</w:t>
      </w:r>
    </w:p>
    <w:p>
      <w:pPr>
        <w:pStyle w:val="ListBullet"/>
      </w:pPr>
      <w:r>
        <w:t xml:space="preserve">Les prix personnalisés s’appliquent au catalogue, au panier, au checkout et aux commandes.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8. Back-office admin, agent commercial et super root</w:t>
      </w:r>
    </w:p>
    <w:p>
      <w:pPr>
        <w:pStyle w:val="ListBullet"/>
      </w:pPr>
      <w:r>
        <w:t xml:space="preserve">Le dashboard admin permet de gérer les produits, commandes, clients, agents commerciaux, prix clients, chat et suivi livraison.</w:t>
      </w:r>
    </w:p>
    <w:p>
      <w:pPr>
        <w:pStyle w:val="ListBullet"/>
      </w:pPr>
      <w:r>
        <w:t xml:space="preserve">Le dashboard agent commercial reprend les fonctions limitées à ses clients assignés.</w:t>
      </w:r>
    </w:p>
    <w:p>
      <w:pPr>
        <w:pStyle w:val="ListBullet"/>
      </w:pPr>
      <w:r>
        <w:t xml:space="preserve">Le dashboard super root permet de modifier les utilisateurs, attribuer les rôles, gérer les prix et superviser les accès.</w:t>
      </w:r>
    </w:p>
    <w:p>
      <w:pPr>
        <w:pStyle w:val="ListBullet"/>
      </w:pPr>
      <w:r>
        <w:t xml:space="preserve">Après connexion : super root est redirigé vers super-root.html, admin et agent vers admin.html, client vers compte.html.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9. Données Supabase et sécurité</w:t>
      </w:r>
    </w:p>
    <w:p>
      <w:pPr>
        <w:pStyle w:val="ListBullet"/>
      </w:pPr>
      <w:r>
        <w:t xml:space="preserve">Supabase gère l’authentification, les profils, les produits, commandes, lignes de commande, prix personnalisés et messages de chat.</w:t>
      </w:r>
    </w:p>
    <w:p>
      <w:pPr>
        <w:pStyle w:val="ListBullet"/>
      </w:pPr>
      <w:r>
        <w:t xml:space="preserve">Les politiques RLS limitent l’accès client à ses propres données.</w:t>
      </w:r>
    </w:p>
    <w:p>
      <w:pPr>
        <w:pStyle w:val="ListBullet"/>
      </w:pPr>
      <w:r>
        <w:t xml:space="preserve">Les agents commerciaux sont limités aux clients assignés via commercial_agent_id.</w:t>
      </w:r>
    </w:p>
    <w:p>
      <w:pPr>
        <w:pStyle w:val="ListBullet"/>
      </w:pPr>
      <w:r>
        <w:t xml:space="preserve">Le super root peut gérer les rôles. Les promotions initiales peuvent nécessiter une exécution SQL contrôlée.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10. Contraintes, dépendances et déploiement</w:t>
      </w:r>
    </w:p>
    <w:p>
      <w:pPr>
        <w:pStyle w:val="ListBullet"/>
      </w:pPr>
      <w:r>
        <w:t xml:space="preserve">Frontend statique HTML/CSS/JS hébergé via GitHub Pages.</w:t>
      </w:r>
    </w:p>
    <w:p>
      <w:pPr>
        <w:pStyle w:val="ListBullet"/>
      </w:pPr>
      <w:r>
        <w:t xml:space="preserve">Backend Supabase requis et configuré dans js/config.js.</w:t>
      </w:r>
    </w:p>
    <w:p>
      <w:pPr>
        <w:pStyle w:val="ListBullet"/>
      </w:pPr>
      <w:r>
        <w:t xml:space="preserve">Les migrations SQL doivent être exécutées dans Supabase SQL Editor lors de l’ajout de nouveaux champs ou policies.</w:t>
      </w:r>
    </w:p>
    <w:p>
      <w:pPr>
        <w:pStyle w:val="ListBullet"/>
      </w:pPr>
      <w:r>
        <w:t xml:space="preserve">Les redirections Supabase Auth doivent pointer vers l’URL GitHub Pages de production.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11. Critères d’acceptation</w:t>
      </w:r>
    </w:p>
    <w:p>
      <w:pPr>
        <w:pStyle w:val="ListBullet"/>
      </w:pPr>
      <w:r>
        <w:t xml:space="preserve">Un client créé est toujours client et dispose des champs société obligatoires.</w:t>
      </w:r>
    </w:p>
    <w:p>
      <w:pPr>
        <w:pStyle w:val="ListBullet"/>
      </w:pPr>
      <w:r>
        <w:t xml:space="preserve">Un admin ne peut pas créer de super root.</w:t>
      </w:r>
    </w:p>
    <w:p>
      <w:pPr>
        <w:pStyle w:val="ListBullet"/>
      </w:pPr>
      <w:r>
        <w:t xml:space="preserve">Un agent commercial voit uniquement ses clients assignés.</w:t>
      </w:r>
    </w:p>
    <w:p>
      <w:pPr>
        <w:pStyle w:val="ListBullet"/>
      </w:pPr>
      <w:r>
        <w:t xml:space="preserve">Le client peut télécharger ses factures et consulter tout son historique.</w:t>
      </w:r>
    </w:p>
    <w:p>
      <w:pPr>
        <w:pStyle w:val="ListBullet"/>
      </w:pPr>
      <w:r>
        <w:t xml:space="preserve">Le suivi livraison est visible côté client et modifiable côté back-office.</w:t>
      </w:r>
    </w:p>
    <w:p>
      <w:pPr>
        <w:pStyle w:val="ListBullet"/>
      </w:pPr>
      <w:r>
        <w:t xml:space="preserve">Les prix personnalisés sont appliqués aux clients connectés.</w:t>
      </w:r>
    </w:p>
    <w:p>
      <w:pPr>
        <w:pStyle w:val="ListBullet"/>
      </w:pPr>
      <w:r>
        <w:t xml:space="preserve">Le chat conserve l’historique et respecte la modération.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Annexe - Migrations Supabase principales</w:t>
      </w:r>
    </w:p>
    <w:p>
      <w:pPr>
        <w:pStyle w:val="ListBullet"/>
      </w:pPr>
      <w:r>
        <w:t xml:space="preserve">supabase/migration-access-chat-pricing.sql</w:t>
      </w:r>
    </w:p>
    <w:p>
      <w:pPr>
        <w:pStyle w:val="ListBullet"/>
      </w:pPr>
      <w:r>
        <w:t xml:space="preserve">supabase/migration-company-client-fields.sql</w:t>
      </w:r>
    </w:p>
    <w:p>
      <w:pPr>
        <w:pStyle w:val="ListBullet"/>
      </w:pPr>
      <w:r>
        <w:t xml:space="preserve">supabase/migration-commercial-agents.sql</w:t>
      </w:r>
    </w:p>
    <w:p>
      <w:pPr>
        <w:pStyle w:val="ListBullet"/>
      </w:pPr>
      <w:r>
        <w:t xml:space="preserve">supabase/migration-order-delivery-tracking.sql</w:t>
      </w:r>
    </w:p>
    <w:sectPr>
      <w:headerReference w:type="default" r:id="rIdHeader1"/>
      <w:pgSz w:w="11906" w:h="16838"/>
      <w:pgMar w:top="1440" w:right="1134" w:bottom="1134" w:left="1134" w:header="720" w:footer="720" w:gutter="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w:drawing>
        <wp:inline distT="0" distB="0" distL="0" distR="0">
          <wp:extent cx="2743200" cy="480060"/>
          <wp:docPr id="1" name="Logo HB Commerce"/>
          <a:graphic>
            <a:graphicData uri="http://schemas.openxmlformats.org/drawingml/2006/picture">
              <pic:pic>
                <pic:nvPicPr>
                  <pic:cNvPr id="0" name="logo.sv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43200" cy="4800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font w:val="Arial"/>
    </w:rPr>
  </w:style>
  <w:style w:type="paragraph" w:styleId="Title">
    <w:name w:val="Title"/>
    <w:rPr>
      <w:b/>
      <w:sz w:val="40"/>
      <w:color w:val="0F3D32"/>
    </w:rPr>
    <w:pPr>
      <w:spacing w:after="240"/>
    </w:pPr>
  </w:style>
  <w:style w:type="paragraph" w:styleId="Subtitle">
    <w:name w:val="Subtitle"/>
    <w:rPr>
      <w:sz w:val="28"/>
      <w:color w:val="C9A227"/>
    </w:rPr>
  </w:style>
  <w:style w:type="paragraph" w:styleId="Heading1">
    <w:name w:val="heading 1"/>
    <w:basedOn w:val="Normal"/>
    <w:pPr>
      <w:spacing w:before="360" w:after="160"/>
    </w:pPr>
    <w:rPr>
      <w:b/>
      <w:sz w:val="30"/>
      <w:color w:val="0F3D32"/>
    </w:rPr>
  </w:style>
  <w:style w:type="paragraph" w:styleId="ListBullet">
    <w:name w:val="List Bullet"/>
    <w:basedOn w:val="Normal"/>
    <w:pPr>
      <w:ind w:left="720" w:hanging="3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Header1" Type="http://schemas.openxmlformats.org/officeDocument/2006/relationships/header" Target="header1.xml"/>
</Relationships>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.svg"/>
</Relationships>
</file>