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Cahier des charges</w:t>
      </w:r>
    </w:p>
    <w:p>
      <w:pPr>
        <w:pStyle w:val="Subtitle"/>
      </w:pPr>
      <w:r>
        <w:rPr/>
        <w:t xml:space="preserve">Plateforme HB Commerce - FIAFI</w:t>
      </w:r>
    </w:p>
    <w:p>
      <w:pPr/>
      <w:r>
        <w:rPr>
          <w:b/>
        </w:rPr>
        <w:t xml:space="preserve">Document fonctionnel et technique consolidé</w:t>
      </w:r>
    </w:p>
    <w:p>
      <w:pPr/>
      <w:r>
        <w:rPr/>
        <w:t xml:space="preserve">Date : 18/06/2026</w:t>
      </w:r>
    </w:p>
    <w:p>
      <w:pPr/>
      <w:r>
        <w:rPr/>
        <w:t xml:space="preserve">Créateur : Cursor Cloud Agent pour HB Commerce</w:t>
      </w:r>
    </w:p>
    <w:p>
      <w:pPr/>
      <w:r>
        <w:rPr/>
        <w:t xml:space="preserve">Dernière modification : création unifiée sociétés/utilisateurs internes, fournisseurs, stock, factures et livraison</w:t>
      </w:r>
    </w:p>
    <w:p>
      <w:r>
        <w:br w:type="page"/>
      </w:r>
    </w:p>
    <w:p>
      <w:pPr>
        <w:pStyle w:val="Heading1"/>
      </w:pPr>
      <w:r>
        <w:rPr/>
        <w:t xml:space="preserve">Tableau d’évolution du document</w:t>
      </w:r>
    </w:p>
    <w:tbl>
      <w:tblPr>
        <w:tblStyle w:val="TableGrid"/>
        <w:tblW w:w="0" w:type="auto"/>
      </w:tblPr>
      <w:tblGrid>
        <w:gridCol w:w="1000"/>
        <w:gridCol w:w="1400"/>
        <w:gridCol w:w="2100"/>
        <w:gridCol w:w="4700"/>
        <w:gridCol w:w="1500"/>
      </w:tblGrid>
      <w:tr>
        <w:tc>
          <w:tcPr>
            <w:tcW w:w="1000" w:type="dxa"/>
            <w:shd w:fill="EDE7D7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400" w:type="dxa"/>
            <w:shd w:fill="EDE7D7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2100" w:type="dxa"/>
            <w:shd w:fill="EDE7D7"/>
          </w:tcPr>
          <w:p>
            <w:pPr/>
            <w:r>
              <w:rPr>
                <w:b/>
              </w:rPr>
              <w:t xml:space="preserve">Auteur</w:t>
            </w:r>
          </w:p>
        </w:tc>
        <w:tc>
          <w:tcPr>
            <w:tcW w:w="4700" w:type="dxa"/>
            <w:shd w:fill="EDE7D7"/>
          </w:tcPr>
          <w:p>
            <w:pPr/>
            <w:r>
              <w:rPr>
                <w:b/>
              </w:rPr>
              <w:t xml:space="preserve">Modification</w:t>
            </w:r>
          </w:p>
        </w:tc>
        <w:tc>
          <w:tcPr>
            <w:tcW w:w="1500" w:type="dxa"/>
            <w:shd w:fill="EDE7D7"/>
          </w:tcPr>
          <w:p>
            <w:pPr/>
            <w:r>
              <w:rPr>
                <w:b/>
              </w:rPr>
              <w:t xml:space="preserve">Statut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1.0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Création initiale du cahier des charges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1.1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Ajout agents, fournisseurs, stock, factures, livraison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1.2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Création unifiée société client/fournisseur et utilisateurs internes HB Commerce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</w:tbl>
    <w:p>
      <w:pPr/>
      <w:r>
        <w:rPr/>
        <w:t xml:space="preserve"/>
      </w:r>
    </w:p>
    <w:tbl>
      <w:tblPr>
        <w:tblStyle w:val="TableGrid"/>
        <w:tblW w:w="0" w:type="auto"/>
      </w:tblPr>
      <w:tblGrid>
        <w:gridCol w:w="2600"/>
        <w:gridCol w:w="7000"/>
      </w:tblGrid>
      <w:tr>
        <w:tc>
          <w:tcPr>
            <w:tcW w:w="2600" w:type="dxa"/>
            <w:shd w:fill="EDE7D7"/>
          </w:tcPr>
          <w:p>
            <w:pPr/>
            <w:r>
              <w:rPr>
                <w:b/>
              </w:rPr>
              <w:t xml:space="preserve">Champ</w:t>
            </w:r>
          </w:p>
        </w:tc>
        <w:tc>
          <w:tcPr>
            <w:tcW w:w="7000" w:type="dxa"/>
            <w:shd w:fill="EDE7D7"/>
          </w:tcPr>
          <w:p>
            <w:pPr/>
            <w:r>
              <w:rPr>
                <w:b/>
              </w:rPr>
              <w:t xml:space="preserve">Valeur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Projet</w:t>
            </w:r>
          </w:p>
        </w:tc>
        <w:tc>
          <w:tcPr>
            <w:tcW w:w="7000" w:type="dxa"/>
          </w:tcPr>
          <w:p>
            <w:pPr/>
            <w:r>
              <w:rPr/>
              <w:t xml:space="preserve">HB Commerce - vente en gros FIAFI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Client</w:t>
            </w:r>
          </w:p>
        </w:tc>
        <w:tc>
          <w:tcPr>
            <w:tcW w:w="7000" w:type="dxa"/>
          </w:tcPr>
          <w:p>
            <w:pPr/>
            <w:r>
              <w:rPr/>
              <w:t xml:space="preserve">HB Commerce / HB Consulting &amp; Services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Créateur</w:t>
            </w:r>
          </w:p>
        </w:tc>
        <w:tc>
          <w:tcPr>
            <w:tcW w:w="7000" w:type="dxa"/>
          </w:tcPr>
          <w:p>
            <w:pPr/>
            <w:r>
              <w:rPr/>
              <w:t xml:space="preserve">Cursor Cloud Agent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Dernière modification</w:t>
            </w:r>
          </w:p>
        </w:tc>
        <w:tc>
          <w:tcPr>
            <w:tcW w:w="7000" w:type="dxa"/>
          </w:tcPr>
          <w:p>
            <w:pPr/>
            <w:r>
              <w:rPr/>
              <w:t xml:space="preserve">18/06/2026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Hébergement</w:t>
            </w:r>
          </w:p>
        </w:tc>
        <w:tc>
          <w:tcPr>
            <w:tcW w:w="7000" w:type="dxa"/>
          </w:tcPr>
          <w:p>
            <w:pPr/>
            <w:r>
              <w:rPr/>
              <w:t xml:space="preserve">GitHub Pages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Backend</w:t>
            </w:r>
          </w:p>
        </w:tc>
        <w:tc>
          <w:tcPr>
            <w:tcW w:w="7000" w:type="dxa"/>
          </w:tcPr>
          <w:p>
            <w:pPr/>
            <w:r>
              <w:rPr/>
              <w:t xml:space="preserve">Supabase Auth + Database + RLS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Document</w:t>
            </w:r>
          </w:p>
        </w:tc>
        <w:tc>
          <w:tcPr>
            <w:tcW w:w="7000" w:type="dxa"/>
          </w:tcPr>
          <w:p>
            <w:pPr/>
            <w:r>
              <w:rPr/>
              <w:t xml:space="preserve">Cahier des charges fonctionnel et technique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Sommaire</w:t>
      </w:r>
    </w:p>
    <w:p>
      <w:pPr/>
      <w:r>
        <w:rPr/>
        <w:t xml:space="preserve">1. Contexte et objectifs</w:t>
      </w:r>
    </w:p>
    <w:p>
      <w:pPr/>
      <w:r>
        <w:rPr/>
        <w:t xml:space="preserve">2. Périmètre fonctionnel</w:t>
      </w:r>
    </w:p>
    <w:p>
      <w:pPr/>
      <w:r>
        <w:rPr/>
        <w:t xml:space="preserve">3. Rôles et droits</w:t>
      </w:r>
    </w:p>
    <w:p>
      <w:pPr/>
      <w:r>
        <w:rPr/>
        <w:t xml:space="preserve">4. Création des sociétés et utilisateurs internes</w:t>
      </w:r>
    </w:p>
    <w:p>
      <w:pPr/>
      <w:r>
        <w:rPr/>
        <w:t xml:space="preserve">5. Parcours client société</w:t>
      </w:r>
    </w:p>
    <w:p>
      <w:pPr/>
      <w:r>
        <w:rPr/>
        <w:t xml:space="preserve">6. Agents commerciaux</w:t>
      </w:r>
    </w:p>
    <w:p>
      <w:pPr/>
      <w:r>
        <w:rPr/>
        <w:t xml:space="preserve">7. Fournisseurs, stock et approvisionnement</w:t>
      </w:r>
    </w:p>
    <w:p>
      <w:pPr/>
      <w:r>
        <w:rPr/>
        <w:t xml:space="preserve">8. Commandes, paiements, factures et livraison</w:t>
      </w:r>
    </w:p>
    <w:p>
      <w:pPr/>
      <w:r>
        <w:rPr/>
        <w:t xml:space="preserve">9. Chat, modération et prix personnalisés</w:t>
      </w:r>
    </w:p>
    <w:p>
      <w:pPr/>
      <w:r>
        <w:rPr/>
        <w:t xml:space="preserve">10. Dashboards</w:t>
      </w:r>
    </w:p>
    <w:p>
      <w:pPr/>
      <w:r>
        <w:rPr/>
        <w:t xml:space="preserve">11. Données Supabase et sécurité</w:t>
      </w:r>
    </w:p>
    <w:p>
      <w:pPr/>
      <w:r>
        <w:rPr/>
        <w:t xml:space="preserve">12. Migrations et déploiement</w:t>
      </w:r>
    </w:p>
    <w:p>
      <w:pPr/>
      <w:r>
        <w:rPr/>
        <w:t xml:space="preserve">13. Critères d’acceptation</w:t>
      </w:r>
    </w:p>
    <w:p>
      <w:r>
        <w:br w:type="page"/>
      </w:r>
    </w:p>
    <w:p>
      <w:pPr>
        <w:pStyle w:val="Heading1"/>
      </w:pPr>
      <w:r>
        <w:rPr/>
        <w:t xml:space="preserve">1. Contexte et objectifs</w:t>
      </w:r>
    </w:p>
    <w:p>
      <w:pPr>
        <w:pStyle w:val="ListBullet"/>
      </w:pPr>
      <w:r>
        <w:t xml:space="preserve">Plateforme B2B pour la distribution des produits FIAFI par HB Commerce.</w:t>
      </w:r>
    </w:p>
    <w:p>
      <w:pPr>
        <w:pStyle w:val="ListBullet"/>
      </w:pPr>
      <w:r>
        <w:t xml:space="preserve">Centraliser catalogue, commandes, clients, fournisseurs, stock, prix personnalisés, factures et livraison.</w:t>
      </w:r>
    </w:p>
    <w:p>
      <w:pPr>
        <w:pStyle w:val="ListBullet"/>
      </w:pPr>
      <w:r>
        <w:t xml:space="preserve">Assurer un back-office par rôle avec droits séparés.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2. Périmètre fonctionnel</w:t>
      </w:r>
    </w:p>
    <w:p>
      <w:pPr>
        <w:pStyle w:val="ListBullet"/>
      </w:pPr>
      <w:r>
        <w:t xml:space="preserve">Site public et catalogue professionnel.</w:t>
      </w:r>
    </w:p>
    <w:p>
      <w:pPr>
        <w:pStyle w:val="ListBullet"/>
      </w:pPr>
      <w:r>
        <w:t xml:space="preserve">Espace client société.</w:t>
      </w:r>
    </w:p>
    <w:p>
      <w:pPr>
        <w:pStyle w:val="ListBullet"/>
      </w:pPr>
      <w:r>
        <w:t xml:space="preserve">Dashboard admin / agent commercial.</w:t>
      </w:r>
    </w:p>
    <w:p>
      <w:pPr>
        <w:pStyle w:val="ListBullet"/>
      </w:pPr>
      <w:r>
        <w:t xml:space="preserve">Dashboard super root.</w:t>
      </w:r>
    </w:p>
    <w:p>
      <w:pPr>
        <w:pStyle w:val="ListBullet"/>
      </w:pPr>
      <w:r>
        <w:t xml:space="preserve">Espace fournisseur.</w:t>
      </w:r>
    </w:p>
    <w:p>
      <w:pPr>
        <w:pStyle w:val="ListBullet"/>
      </w:pPr>
      <w:r>
        <w:t xml:space="preserve">Documents Word et PowerPoint de présentation.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3. Rôles et droits</w:t>
      </w:r>
    </w:p>
    <w:p>
      <w:pPr>
        <w:pStyle w:val="ListBullet"/>
      </w:pPr>
      <w:r>
        <w:t xml:space="preserve">Société en attente : inscription en ligne en attente d’affectation.</w:t>
      </w:r>
    </w:p>
    <w:p>
      <w:pPr>
        <w:pStyle w:val="ListBullet"/>
      </w:pPr>
      <w:r>
        <w:t xml:space="preserve">Client : société acheteuse.</w:t>
      </w:r>
    </w:p>
    <w:p>
      <w:pPr>
        <w:pStyle w:val="ListBullet"/>
      </w:pPr>
      <w:r>
        <w:t xml:space="preserve">Fournisseur : société fournisseur avec espace stock.</w:t>
      </w:r>
    </w:p>
    <w:p>
      <w:pPr>
        <w:pStyle w:val="ListBullet"/>
      </w:pPr>
      <w:r>
        <w:t xml:space="preserve">Agent commercial : interne HB Commerce, portefeuille clients assignés.</w:t>
      </w:r>
    </w:p>
    <w:p>
      <w:pPr>
        <w:pStyle w:val="ListBullet"/>
      </w:pPr>
      <w:r>
        <w:t xml:space="preserve">Admin : interne HB Commerce, gestion opérationnelle.</w:t>
      </w:r>
    </w:p>
    <w:p>
      <w:pPr>
        <w:pStyle w:val="ListBullet"/>
      </w:pPr>
      <w:r>
        <w:t xml:space="preserve">Super root : gouvernance globale.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4. Création des sociétés et utilisateurs internes</w:t>
      </w:r>
    </w:p>
    <w:p>
      <w:pPr>
        <w:pStyle w:val="ListBullet"/>
      </w:pPr>
      <w:r>
        <w:t xml:space="preserve">Zone unique : Créer société client / fournisseur.</w:t>
      </w:r>
    </w:p>
    <w:p>
      <w:pPr>
        <w:pStyle w:val="ListBullet"/>
      </w:pPr>
      <w:r>
        <w:t xml:space="preserve">Une société peut être créée comme client ou fournisseur.</w:t>
      </w:r>
    </w:p>
    <w:p>
      <w:pPr>
        <w:pStyle w:val="ListBullet"/>
      </w:pPr>
      <w:r>
        <w:t xml:space="preserve">Une société inscrite en ligne reste en attente jusqu’à affectation par admin ou super root.</w:t>
      </w:r>
    </w:p>
    <w:p>
      <w:pPr>
        <w:pStyle w:val="ListBullet"/>
      </w:pPr>
      <w:r>
        <w:t xml:space="preserve">Zone séparée : Créer utilisateur interne HB Commerce.</w:t>
      </w:r>
    </w:p>
    <w:p>
      <w:pPr>
        <w:pStyle w:val="ListBullet"/>
      </w:pPr>
      <w:r>
        <w:t xml:space="preserve">Les utilisateurs internes agent/admin/super root ne demandent pas de société, SIREN, TVA ou adresse.</w:t>
      </w:r>
    </w:p>
    <w:p>
      <w:pPr>
        <w:pStyle w:val="ListBullet"/>
      </w:pPr>
      <w:r>
        <w:t xml:space="preserve">Un admin ne peut pas créer de super root.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5. Parcours client société</w:t>
      </w:r>
    </w:p>
    <w:p>
      <w:pPr>
        <w:pStyle w:val="ListBullet"/>
      </w:pPr>
      <w:r>
        <w:t xml:space="preserve">Inscription ou création back-office.</w:t>
      </w:r>
    </w:p>
    <w:p>
      <w:pPr>
        <w:pStyle w:val="ListBullet"/>
      </w:pPr>
      <w:r>
        <w:t xml:space="preserve">Affectation client par admin/super root.</w:t>
      </w:r>
    </w:p>
    <w:p>
      <w:pPr>
        <w:pStyle w:val="ListBullet"/>
      </w:pPr>
      <w:r>
        <w:t xml:space="preserve">Prix masqués hors connexion.</w:t>
      </w:r>
    </w:p>
    <w:p>
      <w:pPr>
        <w:pStyle w:val="ListBullet"/>
      </w:pPr>
      <w:r>
        <w:t xml:space="preserve">Prix personnalisés après connexion.</w:t>
      </w:r>
    </w:p>
    <w:p>
      <w:pPr>
        <w:pStyle w:val="ListBullet"/>
      </w:pPr>
      <w:r>
        <w:t xml:space="preserve">Historique complet et factures téléchargeables.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6. Agents commerciaux</w:t>
      </w:r>
    </w:p>
    <w:p>
      <w:pPr>
        <w:pStyle w:val="ListBullet"/>
      </w:pPr>
      <w:r>
        <w:t xml:space="preserve">Agent commercial assigné à un ou plusieurs clients.</w:t>
      </w:r>
    </w:p>
    <w:p>
      <w:pPr>
        <w:pStyle w:val="ListBullet"/>
      </w:pPr>
      <w:r>
        <w:t xml:space="preserve">Admin et super root sont assignables comme agents commerciaux par défaut.</w:t>
      </w:r>
    </w:p>
    <w:p>
      <w:pPr>
        <w:pStyle w:val="ListBullet"/>
      </w:pPr>
      <w:r>
        <w:t xml:space="preserve">L’agent voit uniquement ses clients assignés.</w:t>
      </w:r>
    </w:p>
    <w:p>
      <w:pPr>
        <w:pStyle w:val="ListBullet"/>
      </w:pPr>
      <w:r>
        <w:t xml:space="preserve">L’agent valide commandes, échange via chat et fixe les prix de ses clients.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7. Fournisseurs, stock et approvisionnement</w:t>
      </w:r>
    </w:p>
    <w:p>
      <w:pPr>
        <w:pStyle w:val="ListBullet"/>
      </w:pPr>
      <w:r>
        <w:t xml:space="preserve">Fiche fournisseur complète.</w:t>
      </w:r>
    </w:p>
    <w:p>
      <w:pPr>
        <w:pStyle w:val="ListBullet"/>
      </w:pPr>
      <w:r>
        <w:t xml:space="preserve">Compte fournisseur lié à supplier.html.</w:t>
      </w:r>
    </w:p>
    <w:p>
      <w:pPr>
        <w:pStyle w:val="ListBullet"/>
      </w:pPr>
      <w:r>
        <w:t xml:space="preserve">Stock par produit/fournisseur.</w:t>
      </w:r>
    </w:p>
    <w:p>
      <w:pPr>
        <w:pStyle w:val="ListBullet"/>
      </w:pPr>
      <w:r>
        <w:t xml:space="preserve">Stock réservé et délai fournisseur.</w:t>
      </w:r>
    </w:p>
    <w:p>
      <w:pPr>
        <w:pStyle w:val="ListBullet"/>
      </w:pPr>
      <w:r>
        <w:t xml:space="preserve">Commandes d’approvisionnement HB Commerce vers fournisseur.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8. Commandes, paiements, factures et livraison</w:t>
      </w:r>
    </w:p>
    <w:p>
      <w:pPr>
        <w:pStyle w:val="ListBullet"/>
      </w:pPr>
      <w:r>
        <w:t xml:space="preserve">Statuts : validation, paiement à finaliser, payée, annulée, préparation, expédiée, livrée.</w:t>
      </w:r>
    </w:p>
    <w:p>
      <w:pPr>
        <w:pStyle w:val="ListBullet"/>
      </w:pPr>
      <w:r>
        <w:t xml:space="preserve">Facture HTML téléchargeable depuis l’espace client.</w:t>
      </w:r>
    </w:p>
    <w:p>
      <w:pPr>
        <w:pStyle w:val="ListBullet"/>
      </w:pPr>
      <w:r>
        <w:t xml:space="preserve">Suivi livraison : transporteur, numéro, lien, date estimée, date livrée, notes.</w:t>
      </w:r>
    </w:p>
    <w:p>
      <w:pPr>
        <w:pStyle w:val="ListBullet"/>
      </w:pPr>
      <w:r>
        <w:t xml:space="preserve">Date estimée calculée selon stock et délais fournisseur.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9. Chat, modération et prix personnalisés</w:t>
      </w:r>
    </w:p>
    <w:p>
      <w:pPr>
        <w:pStyle w:val="ListBullet"/>
      </w:pPr>
      <w:r>
        <w:t xml:space="preserve">Chat société avec historique.</w:t>
      </w:r>
    </w:p>
    <w:p>
      <w:pPr>
        <w:pStyle w:val="ListBullet"/>
      </w:pPr>
      <w:r>
        <w:t xml:space="preserve">Messages client validables/refusables.</w:t>
      </w:r>
    </w:p>
    <w:p>
      <w:pPr>
        <w:pStyle w:val="ListBullet"/>
      </w:pPr>
      <w:r>
        <w:t xml:space="preserve">Prix personnalisés par client et produit.</w:t>
      </w:r>
    </w:p>
    <w:p>
      <w:pPr>
        <w:pStyle w:val="ListBullet"/>
      </w:pPr>
      <w:r>
        <w:t xml:space="preserve">L’agent assigné peut fixer les prix de son portefeuille.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10. Dashboards</w:t>
      </w:r>
    </w:p>
    <w:p>
      <w:pPr>
        <w:pStyle w:val="ListBullet"/>
      </w:pPr>
      <w:r>
        <w:t xml:space="preserve">admin.html : opérations, clients/fournisseurs, agents, commandes, chat, prix, livraison.</w:t>
      </w:r>
    </w:p>
    <w:p>
      <w:pPr>
        <w:pStyle w:val="ListBullet"/>
      </w:pPr>
      <w:r>
        <w:t xml:space="preserve">super-root.html : rôles, profils, prix, accès.</w:t>
      </w:r>
    </w:p>
    <w:p>
      <w:pPr>
        <w:pStyle w:val="ListBullet"/>
      </w:pPr>
      <w:r>
        <w:t xml:space="preserve">supplier.html : stock fournisseur et commandes reçues.</w:t>
      </w:r>
    </w:p>
    <w:p>
      <w:pPr>
        <w:pStyle w:val="ListBullet"/>
      </w:pPr>
      <w:r>
        <w:t xml:space="preserve">compte.html : espace client société.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11. Données Supabase et sécurité</w:t>
      </w:r>
    </w:p>
    <w:p>
      <w:pPr>
        <w:pStyle w:val="ListBullet"/>
      </w:pPr>
      <w:r>
        <w:t xml:space="preserve">Supabase Auth pour comptes.</w:t>
      </w:r>
    </w:p>
    <w:p>
      <w:pPr>
        <w:pStyle w:val="ListBullet"/>
      </w:pPr>
      <w:r>
        <w:t xml:space="preserve">RLS par rôle.</w:t>
      </w:r>
    </w:p>
    <w:p>
      <w:pPr>
        <w:pStyle w:val="ListBullet"/>
      </w:pPr>
      <w:r>
        <w:t xml:space="preserve">commercial_agent_id pour limiter agents.</w:t>
      </w:r>
    </w:p>
    <w:p>
      <w:pPr>
        <w:pStyle w:val="ListBullet"/>
      </w:pPr>
      <w:r>
        <w:t xml:space="preserve">supplier_id pour lier fournisseurs.</w:t>
      </w:r>
    </w:p>
    <w:p>
      <w:pPr>
        <w:pStyle w:val="ListBullet"/>
      </w:pPr>
      <w:r>
        <w:t xml:space="preserve">Migrations SQL versionnées.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12. Migrations et déploiement</w:t>
      </w:r>
    </w:p>
    <w:p>
      <w:pPr>
        <w:pStyle w:val="ListBullet"/>
      </w:pPr>
      <w:r>
        <w:t xml:space="preserve">Frontend GitHub Pages.</w:t>
      </w:r>
    </w:p>
    <w:p>
      <w:pPr>
        <w:pStyle w:val="ListBullet"/>
      </w:pPr>
      <w:r>
        <w:t xml:space="preserve">Migrations SQL dans Supabase SQL Editor.</w:t>
      </w:r>
    </w:p>
    <w:p>
      <w:pPr>
        <w:pStyle w:val="ListBullet"/>
      </w:pPr>
      <w:r>
        <w:t xml:space="preserve">URLs Auth configurées vers GitHub Pages.</w:t>
      </w:r>
    </w:p>
    <w:p>
      <w:pPr>
        <w:pStyle w:val="ListBullet"/>
      </w:pPr>
      <w:r>
        <w:t xml:space="preserve">Compte super root initial via SQL contrôlé.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13. Critères d’acceptation</w:t>
      </w:r>
    </w:p>
    <w:p>
      <w:pPr>
        <w:pStyle w:val="ListBullet"/>
      </w:pPr>
      <w:r>
        <w:t xml:space="preserve">Société inscrite en ligne en attente.</w:t>
      </w:r>
    </w:p>
    <w:p>
      <w:pPr>
        <w:pStyle w:val="ListBullet"/>
      </w:pPr>
      <w:r>
        <w:t xml:space="preserve">Admin/super root affecte client ou fournisseur.</w:t>
      </w:r>
    </w:p>
    <w:p>
      <w:pPr>
        <w:pStyle w:val="ListBullet"/>
      </w:pPr>
      <w:r>
        <w:t xml:space="preserve">Création utilisateur interne sans champs société.</w:t>
      </w:r>
    </w:p>
    <w:p>
      <w:pPr>
        <w:pStyle w:val="ListBullet"/>
      </w:pPr>
      <w:r>
        <w:t xml:space="preserve">Admin ne crée pas de super root.</w:t>
      </w:r>
    </w:p>
    <w:p>
      <w:pPr>
        <w:pStyle w:val="ListBullet"/>
      </w:pPr>
      <w:r>
        <w:t xml:space="preserve">Fournisseur gère son stock.</w:t>
      </w:r>
    </w:p>
    <w:p>
      <w:pPr>
        <w:pStyle w:val="ListBullet"/>
      </w:pPr>
      <w:r>
        <w:t xml:space="preserve">Client télécharge ses factures.</w:t>
      </w:r>
    </w:p>
    <w:p>
      <w:pPr>
        <w:pStyle w:val="ListBullet"/>
      </w:pPr>
      <w:r>
        <w:t xml:space="preserve">Livraison suivie et datée.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Annexe - Scripts SQL à exécuter</w:t>
      </w:r>
    </w:p>
    <w:p>
      <w:pPr>
        <w:pStyle w:val="ListBullet"/>
      </w:pPr>
      <w:r>
        <w:t xml:space="preserve">supabase/migration-access-chat-pricing.sql</w:t>
      </w:r>
    </w:p>
    <w:p>
      <w:pPr>
        <w:pStyle w:val="ListBullet"/>
      </w:pPr>
      <w:r>
        <w:t xml:space="preserve">supabase/migration-company-client-fields.sql</w:t>
      </w:r>
    </w:p>
    <w:p>
      <w:pPr>
        <w:pStyle w:val="ListBullet"/>
      </w:pPr>
      <w:r>
        <w:t xml:space="preserve">supabase/migration-commercial-agents.sql</w:t>
      </w:r>
    </w:p>
    <w:p>
      <w:pPr>
        <w:pStyle w:val="ListBullet"/>
      </w:pPr>
      <w:r>
        <w:t xml:space="preserve">supabase/migration-order-delivery-tracking.sql</w:t>
      </w:r>
    </w:p>
    <w:p>
      <w:pPr>
        <w:pStyle w:val="ListBullet"/>
      </w:pPr>
      <w:r>
        <w:t xml:space="preserve">supabase/migration-suppliers.sql</w:t>
      </w:r>
    </w:p>
    <w:sectPr>
      <w:headerReference w:type="default" r:id="rIdHeader1"/>
      <w:pgSz w:w="11906" w:h="16838"/>
      <w:pgMar w:top="1440" w:right="1134" w:bottom="1134" w:left="1134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inline distT="0" distB="0" distL="0" distR="0">
          <wp:extent cx="2743200" cy="480060"/>
          <wp:docPr id="1" name="Logo HB Commerce"/>
          <a:graphic>
            <a:graphicData uri="http://schemas.openxmlformats.org/drawingml/2006/picture">
              <pic:pic>
                <pic:nvPicPr>
                  <pic:cNvPr id="0" name="logo.sv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0" cy="480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  <w:style w:type="paragraph" w:styleId="Title">
    <w:name w:val="Title"/>
    <w:rPr>
      <w:b/>
      <w:sz w:val="42"/>
      <w:color w:val="0F3D32"/>
    </w:rPr>
  </w:style>
  <w:style w:type="paragraph" w:styleId="Subtitle">
    <w:name w:val="Subtitle"/>
    <w:rPr>
      <w:sz w:val="28"/>
      <w:color w:val="C9A227"/>
    </w:rPr>
  </w:style>
  <w:style w:type="paragraph" w:styleId="Heading1">
    <w:name w:val="heading 1"/>
    <w:pPr>
      <w:spacing w:before="360" w:after="160"/>
    </w:pPr>
    <w:rPr>
      <w:b/>
      <w:sz w:val="30"/>
      <w:color w:val="0F3D32"/>
    </w:rPr>
  </w:style>
  <w:style w:type="paragraph" w:styleId="ListBullet">
    <w:name w:val="List Bullet"/>
    <w:pPr>
      <w:ind w:left="720" w:hanging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logo.svg"/></Relationships>
</file>