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Cahier des charges</w:t>
      </w:r>
    </w:p>
    <w:p>
      <w:pPr>
        <w:pStyle w:val="Subtitle"/>
      </w:pPr>
      <w:r>
        <w:rPr/>
        <w:t xml:space="preserve">Plateforme HB Commerce - FIAFI</w:t>
      </w:r>
    </w:p>
    <w:p>
      <w:pPr/>
      <w:r>
        <w:rPr>
          <w:b/>
        </w:rPr>
        <w:t xml:space="preserve">Document fonctionnel et technique consolidé</w:t>
      </w:r>
    </w:p>
    <w:p>
      <w:pPr/>
      <w:r>
        <w:rPr/>
        <w:t xml:space="preserve">Date : 18/06/2026</w:t>
      </w:r>
    </w:p>
    <w:p>
      <w:pPr/>
      <w:r>
        <w:rPr/>
        <w:t xml:space="preserve">Créateur : Cursor Cloud Agent pour HB Commerce</w:t>
      </w:r>
    </w:p>
    <w:p>
      <w:pPr/>
      <w:r>
        <w:rPr/>
        <w:t xml:space="preserve">Dernière modification : mise à jour fournisseurs, stock, factures, livraison, agents commerciaux</w:t>
      </w:r>
    </w:p>
    <w:p>
      <w:r>
        <w:br w:type="page"/>
      </w:r>
    </w:p>
    <w:p>
      <w:pPr>
        <w:pStyle w:val="Heading1"/>
      </w:pPr>
      <w:r>
        <w:rPr/>
        <w:t xml:space="preserve">Tableau d’évolution du document</w:t>
      </w:r>
    </w:p>
    <w:tbl>
      <w:tblPr>
        <w:tblStyle w:val="TableGrid"/>
        <w:tblW w:w="0" w:type="auto"/>
      </w:tblPr>
      <w:tblGrid>
        <w:gridCol w:w="1000"/>
        <w:gridCol w:w="1400"/>
        <w:gridCol w:w="2100"/>
        <w:gridCol w:w="4700"/>
        <w:gridCol w:w="1500"/>
      </w:tblGrid>
      <w:tr>
        <w:tc>
          <w:tcPr>
            <w:tcW w:w="1000" w:type="dxa"/>
            <w:shd w:fill="EDE7D7"/>
          </w:tcPr>
          <w:p>
            <w:pPr/>
            <w:r>
              <w:rPr>
                <w:b/>
              </w:rPr>
              <w:t xml:space="preserve">Version</w:t>
            </w:r>
          </w:p>
        </w:tc>
        <w:tc>
          <w:tcPr>
            <w:tcW w:w="1400" w:type="dxa"/>
            <w:shd w:fill="EDE7D7"/>
          </w:tcPr>
          <w:p>
            <w:pPr/>
            <w:r>
              <w:rPr>
                <w:b/>
              </w:rPr>
              <w:t xml:space="preserve">Date</w:t>
            </w:r>
          </w:p>
        </w:tc>
        <w:tc>
          <w:tcPr>
            <w:tcW w:w="2100" w:type="dxa"/>
            <w:shd w:fill="EDE7D7"/>
          </w:tcPr>
          <w:p>
            <w:pPr/>
            <w:r>
              <w:rPr>
                <w:b/>
              </w:rPr>
              <w:t xml:space="preserve">Auteur</w:t>
            </w:r>
          </w:p>
        </w:tc>
        <w:tc>
          <w:tcPr>
            <w:tcW w:w="4700" w:type="dxa"/>
            <w:shd w:fill="EDE7D7"/>
          </w:tcPr>
          <w:p>
            <w:pPr/>
            <w:r>
              <w:rPr>
                <w:b/>
              </w:rPr>
              <w:t xml:space="preserve">Modification</w:t>
            </w:r>
          </w:p>
        </w:tc>
        <w:tc>
          <w:tcPr>
            <w:tcW w:w="1500" w:type="dxa"/>
            <w:shd w:fill="EDE7D7"/>
          </w:tcPr>
          <w:p>
            <w:pPr/>
            <w:r>
              <w:rPr>
                <w:b/>
              </w:rPr>
              <w:t xml:space="preserve">Statut</w:t>
            </w:r>
          </w:p>
        </w:tc>
      </w:tr>
      <w:tr>
        <w:tc>
          <w:tcPr>
            <w:tcW w:w="1000" w:type="dxa"/>
          </w:tcPr>
          <w:p>
            <w:pPr/>
            <w:r>
              <w:rPr/>
              <w:t xml:space="preserve">1.0</w:t>
            </w:r>
          </w:p>
        </w:tc>
        <w:tc>
          <w:tcPr>
            <w:tcW w:w="1400" w:type="dxa"/>
          </w:tcPr>
          <w:p>
            <w:pPr/>
            <w:r>
              <w:rPr/>
              <w:t xml:space="preserve">18/06/2026</w:t>
            </w:r>
          </w:p>
        </w:tc>
        <w:tc>
          <w:tcPr>
            <w:tcW w:w="2100" w:type="dxa"/>
          </w:tcPr>
          <w:p>
            <w:pPr/>
            <w:r>
              <w:rPr/>
              <w:t xml:space="preserve">Cursor Cloud Agent</w:t>
            </w:r>
          </w:p>
        </w:tc>
        <w:tc>
          <w:tcPr>
            <w:tcW w:w="4700" w:type="dxa"/>
          </w:tcPr>
          <w:p>
            <w:pPr/>
            <w:r>
              <w:rPr/>
              <w:t xml:space="preserve">Création initiale du cahier des charges</w:t>
            </w:r>
          </w:p>
        </w:tc>
        <w:tc>
          <w:tcPr>
            <w:tcW w:w="1500" w:type="dxa"/>
          </w:tcPr>
          <w:p>
            <w:pPr/>
            <w:r>
              <w:rPr/>
              <w:t xml:space="preserve">Réalisé</w:t>
            </w:r>
          </w:p>
        </w:tc>
      </w:tr>
      <w:tr>
        <w:tc>
          <w:tcPr>
            <w:tcW w:w="1000" w:type="dxa"/>
          </w:tcPr>
          <w:p>
            <w:pPr/>
            <w:r>
              <w:rPr/>
              <w:t xml:space="preserve">1.1</w:t>
            </w:r>
          </w:p>
        </w:tc>
        <w:tc>
          <w:tcPr>
            <w:tcW w:w="1400" w:type="dxa"/>
          </w:tcPr>
          <w:p>
            <w:pPr/>
            <w:r>
              <w:rPr/>
              <w:t xml:space="preserve">18/06/2026</w:t>
            </w:r>
          </w:p>
        </w:tc>
        <w:tc>
          <w:tcPr>
            <w:tcW w:w="2100" w:type="dxa"/>
          </w:tcPr>
          <w:p>
            <w:pPr/>
            <w:r>
              <w:rPr/>
              <w:t xml:space="preserve">Cursor Cloud Agent</w:t>
            </w:r>
          </w:p>
        </w:tc>
        <w:tc>
          <w:tcPr>
            <w:tcW w:w="4700" w:type="dxa"/>
          </w:tcPr>
          <w:p>
            <w:pPr/>
            <w:r>
              <w:rPr/>
              <w:t xml:space="preserve">Ajout gestion fournisseurs, espace fournisseur, stock, commandes fournisseur, factures et suivi livraison</w:t>
            </w:r>
          </w:p>
        </w:tc>
        <w:tc>
          <w:tcPr>
            <w:tcW w:w="1500" w:type="dxa"/>
          </w:tcPr>
          <w:p>
            <w:pPr/>
            <w:r>
              <w:rPr/>
              <w:t xml:space="preserve">Réalisé</w:t>
            </w:r>
          </w:p>
        </w:tc>
      </w:tr>
    </w:tbl>
    <w:p>
      <w:pPr/>
      <w:r>
        <w:rPr/>
        <w:t xml:space="preserve"/>
      </w:r>
    </w:p>
    <w:tbl>
      <w:tblPr>
        <w:tblStyle w:val="TableGrid"/>
        <w:tblW w:w="0" w:type="auto"/>
      </w:tblPr>
      <w:tblGrid>
        <w:gridCol w:w="2600"/>
        <w:gridCol w:w="7000"/>
      </w:tblGrid>
      <w:tr>
        <w:tc>
          <w:tcPr>
            <w:tcW w:w="2600" w:type="dxa"/>
            <w:shd w:fill="EDE7D7"/>
          </w:tcPr>
          <w:p>
            <w:pPr/>
            <w:r>
              <w:rPr>
                <w:b/>
              </w:rPr>
              <w:t xml:space="preserve">Champ</w:t>
            </w:r>
          </w:p>
        </w:tc>
        <w:tc>
          <w:tcPr>
            <w:tcW w:w="7000" w:type="dxa"/>
            <w:shd w:fill="EDE7D7"/>
          </w:tcPr>
          <w:p>
            <w:pPr/>
            <w:r>
              <w:rPr>
                <w:b/>
              </w:rPr>
              <w:t xml:space="preserve">Valeur</w:t>
            </w:r>
          </w:p>
        </w:tc>
      </w:tr>
      <w:tr>
        <w:tc>
          <w:tcPr>
            <w:tcW w:w="2600" w:type="dxa"/>
          </w:tcPr>
          <w:p>
            <w:pPr/>
            <w:r>
              <w:rPr/>
              <w:t xml:space="preserve">Projet</w:t>
            </w:r>
          </w:p>
        </w:tc>
        <w:tc>
          <w:tcPr>
            <w:tcW w:w="7000" w:type="dxa"/>
          </w:tcPr>
          <w:p>
            <w:pPr/>
            <w:r>
              <w:rPr/>
              <w:t xml:space="preserve">HB Commerce - vente en gros FIAFI</w:t>
            </w:r>
          </w:p>
        </w:tc>
      </w:tr>
      <w:tr>
        <w:tc>
          <w:tcPr>
            <w:tcW w:w="2600" w:type="dxa"/>
          </w:tcPr>
          <w:p>
            <w:pPr/>
            <w:r>
              <w:rPr/>
              <w:t xml:space="preserve">Client</w:t>
            </w:r>
          </w:p>
        </w:tc>
        <w:tc>
          <w:tcPr>
            <w:tcW w:w="7000" w:type="dxa"/>
          </w:tcPr>
          <w:p>
            <w:pPr/>
            <w:r>
              <w:rPr/>
              <w:t xml:space="preserve">HB Commerce / HB Consulting &amp; Services</w:t>
            </w:r>
          </w:p>
        </w:tc>
      </w:tr>
      <w:tr>
        <w:tc>
          <w:tcPr>
            <w:tcW w:w="2600" w:type="dxa"/>
          </w:tcPr>
          <w:p>
            <w:pPr/>
            <w:r>
              <w:rPr/>
              <w:t xml:space="preserve">Créateur</w:t>
            </w:r>
          </w:p>
        </w:tc>
        <w:tc>
          <w:tcPr>
            <w:tcW w:w="7000" w:type="dxa"/>
          </w:tcPr>
          <w:p>
            <w:pPr/>
            <w:r>
              <w:rPr/>
              <w:t xml:space="preserve">Cursor Cloud Agent</w:t>
            </w:r>
          </w:p>
        </w:tc>
      </w:tr>
      <w:tr>
        <w:tc>
          <w:tcPr>
            <w:tcW w:w="2600" w:type="dxa"/>
          </w:tcPr>
          <w:p>
            <w:pPr/>
            <w:r>
              <w:rPr/>
              <w:t xml:space="preserve">Dernière modification</w:t>
            </w:r>
          </w:p>
        </w:tc>
        <w:tc>
          <w:tcPr>
            <w:tcW w:w="7000" w:type="dxa"/>
          </w:tcPr>
          <w:p>
            <w:pPr/>
            <w:r>
              <w:rPr/>
              <w:t xml:space="preserve">18/06/2026</w:t>
            </w:r>
          </w:p>
        </w:tc>
      </w:tr>
      <w:tr>
        <w:tc>
          <w:tcPr>
            <w:tcW w:w="2600" w:type="dxa"/>
          </w:tcPr>
          <w:p>
            <w:pPr/>
            <w:r>
              <w:rPr/>
              <w:t xml:space="preserve">Hébergement</w:t>
            </w:r>
          </w:p>
        </w:tc>
        <w:tc>
          <w:tcPr>
            <w:tcW w:w="7000" w:type="dxa"/>
          </w:tcPr>
          <w:p>
            <w:pPr/>
            <w:r>
              <w:rPr/>
              <w:t xml:space="preserve">GitHub Pages</w:t>
            </w:r>
          </w:p>
        </w:tc>
      </w:tr>
      <w:tr>
        <w:tc>
          <w:tcPr>
            <w:tcW w:w="2600" w:type="dxa"/>
          </w:tcPr>
          <w:p>
            <w:pPr/>
            <w:r>
              <w:rPr/>
              <w:t xml:space="preserve">Backend</w:t>
            </w:r>
          </w:p>
        </w:tc>
        <w:tc>
          <w:tcPr>
            <w:tcW w:w="7000" w:type="dxa"/>
          </w:tcPr>
          <w:p>
            <w:pPr/>
            <w:r>
              <w:rPr/>
              <w:t xml:space="preserve">Supabase Auth + Database + RLS</w:t>
            </w:r>
          </w:p>
        </w:tc>
      </w:tr>
      <w:tr>
        <w:tc>
          <w:tcPr>
            <w:tcW w:w="2600" w:type="dxa"/>
          </w:tcPr>
          <w:p>
            <w:pPr/>
            <w:r>
              <w:rPr/>
              <w:t xml:space="preserve">Produit principal</w:t>
            </w:r>
          </w:p>
        </w:tc>
        <w:tc>
          <w:tcPr>
            <w:tcW w:w="7000" w:type="dxa"/>
          </w:tcPr>
          <w:p>
            <w:pPr/>
            <w:r>
              <w:rPr/>
              <w:t xml:space="preserve">FIAFI - huile d’olive extra vierge</w:t>
            </w:r>
          </w:p>
        </w:tc>
      </w:tr>
    </w:tbl>
    <w:p>
      <w:r>
        <w:br w:type="page"/>
      </w:r>
    </w:p>
    <w:p>
      <w:pPr>
        <w:pStyle w:val="Heading1"/>
      </w:pPr>
      <w:r>
        <w:rPr/>
        <w:t xml:space="preserve">Sommaire</w:t>
      </w:r>
    </w:p>
    <w:p>
      <w:pPr/>
      <w:r>
        <w:rPr/>
        <w:t xml:space="preserve">1. Contexte et objectifs</w:t>
      </w:r>
    </w:p>
    <w:p>
      <w:pPr/>
      <w:r>
        <w:rPr/>
        <w:t xml:space="preserve">2. Périmètre fonctionnel</w:t>
      </w:r>
    </w:p>
    <w:p>
      <w:pPr/>
      <w:r>
        <w:rPr/>
        <w:t xml:space="preserve">3. Rôles et droits</w:t>
      </w:r>
    </w:p>
    <w:p>
      <w:pPr/>
      <w:r>
        <w:rPr/>
        <w:t xml:space="preserve">4. Parcours client société</w:t>
      </w:r>
    </w:p>
    <w:p>
      <w:pPr/>
      <w:r>
        <w:rPr/>
        <w:t xml:space="preserve">5. Agents commerciaux</w:t>
      </w:r>
    </w:p>
    <w:p>
      <w:pPr/>
      <w:r>
        <w:rPr/>
        <w:t xml:space="preserve">6. Fournisseurs, stock et approvisionnement</w:t>
      </w:r>
    </w:p>
    <w:p>
      <w:pPr/>
      <w:r>
        <w:rPr/>
        <w:t xml:space="preserve">7. Commandes, paiements, factures et livraison</w:t>
      </w:r>
    </w:p>
    <w:p>
      <w:pPr/>
      <w:r>
        <w:rPr/>
        <w:t xml:space="preserve">8. Chat, modération et prix personnalisés</w:t>
      </w:r>
    </w:p>
    <w:p>
      <w:pPr/>
      <w:r>
        <w:rPr/>
        <w:t xml:space="preserve">9. Dashboards</w:t>
      </w:r>
    </w:p>
    <w:p>
      <w:pPr/>
      <w:r>
        <w:rPr/>
        <w:t xml:space="preserve">10. Données Supabase et sécurité</w:t>
      </w:r>
    </w:p>
    <w:p>
      <w:pPr/>
      <w:r>
        <w:rPr/>
        <w:t xml:space="preserve">11. Migrations et déploiement</w:t>
      </w:r>
    </w:p>
    <w:p>
      <w:pPr/>
      <w:r>
        <w:rPr/>
        <w:t xml:space="preserve">12. Critères d’acceptation</w:t>
      </w:r>
    </w:p>
    <w:p>
      <w:r>
        <w:br w:type="page"/>
      </w:r>
    </w:p>
    <w:p>
      <w:pPr>
        <w:pStyle w:val="Heading1"/>
      </w:pPr>
      <w:r>
        <w:rPr/>
        <w:t xml:space="preserve">1. Contexte et objectifs</w:t>
      </w:r>
    </w:p>
    <w:p>
      <w:pPr>
        <w:pStyle w:val="ListBullet"/>
      </w:pPr>
      <w:r>
        <w:t xml:space="preserve">Mettre à disposition une plateforme e-commerce B2B pour HB Commerce.</w:t>
      </w:r>
    </w:p>
    <w:p>
      <w:pPr>
        <w:pStyle w:val="ListBullet"/>
      </w:pPr>
      <w:r>
        <w:t xml:space="preserve">Distribuer FIAFI auprès de clients professionnels en France et au Luxembourg.</w:t>
      </w:r>
    </w:p>
    <w:p>
      <w:pPr>
        <w:pStyle w:val="ListBullet"/>
      </w:pPr>
      <w:r>
        <w:t xml:space="preserve">Centraliser commandes, prix personnalisés, chat, factures, livraison, fournisseurs et stock.</w:t>
      </w:r>
    </w:p>
    <w:p>
      <w:pPr/>
      <w:r>
        <w:rPr/>
        <w:t xml:space="preserve"/>
      </w:r>
    </w:p>
    <w:p>
      <w:pPr>
        <w:pStyle w:val="Heading1"/>
      </w:pPr>
      <w:r>
        <w:rPr/>
        <w:t xml:space="preserve">2. Périmètre fonctionnel</w:t>
      </w:r>
    </w:p>
    <w:p>
      <w:pPr>
        <w:pStyle w:val="ListBullet"/>
      </w:pPr>
      <w:r>
        <w:t xml:space="preserve">Site vitrine public et catalogue produits.</w:t>
      </w:r>
    </w:p>
    <w:p>
      <w:pPr>
        <w:pStyle w:val="ListBullet"/>
      </w:pPr>
      <w:r>
        <w:t xml:space="preserve">Espace client société avec profil, commandes, factures, chat, suivi livraison.</w:t>
      </w:r>
    </w:p>
    <w:p>
      <w:pPr>
        <w:pStyle w:val="ListBullet"/>
      </w:pPr>
      <w:r>
        <w:t xml:space="preserve">Dashboard admin et agent commercial.</w:t>
      </w:r>
    </w:p>
    <w:p>
      <w:pPr>
        <w:pStyle w:val="ListBullet"/>
      </w:pPr>
      <w:r>
        <w:t xml:space="preserve">Dashboard super root pour rôles, accès et prix.</w:t>
      </w:r>
    </w:p>
    <w:p>
      <w:pPr>
        <w:pStyle w:val="ListBullet"/>
      </w:pPr>
      <w:r>
        <w:t xml:space="preserve">Espace fournisseur pour stock et commandes d’approvisionnement.</w:t>
      </w:r>
    </w:p>
    <w:p>
      <w:pPr/>
      <w:r>
        <w:rPr/>
        <w:t xml:space="preserve"/>
      </w:r>
    </w:p>
    <w:p>
      <w:pPr>
        <w:pStyle w:val="Heading1"/>
      </w:pPr>
      <w:r>
        <w:rPr/>
        <w:t xml:space="preserve">3. Rôles et droits</w:t>
      </w:r>
    </w:p>
    <w:p>
      <w:pPr>
        <w:pStyle w:val="ListBullet"/>
      </w:pPr>
      <w:r>
        <w:t xml:space="preserve">Client : société avec SIREN, TVA, adresse, contact.</w:t>
      </w:r>
    </w:p>
    <w:p>
      <w:pPr>
        <w:pStyle w:val="ListBullet"/>
      </w:pPr>
      <w:r>
        <w:t xml:space="preserve">Agent commercial : interne HB Commerce, limité à ses clients assignés.</w:t>
      </w:r>
    </w:p>
    <w:p>
      <w:pPr>
        <w:pStyle w:val="ListBullet"/>
      </w:pPr>
      <w:r>
        <w:t xml:space="preserve">Admin : interne HB Commerce, gère clients, agents, commandes, fournisseurs.</w:t>
      </w:r>
    </w:p>
    <w:p>
      <w:pPr>
        <w:pStyle w:val="ListBullet"/>
      </w:pPr>
      <w:r>
        <w:t xml:space="preserve">Super root : contrôle global, rôles, profils, prix, accès.</w:t>
      </w:r>
    </w:p>
    <w:p>
      <w:pPr>
        <w:pStyle w:val="ListBullet"/>
      </w:pPr>
      <w:r>
        <w:t xml:space="preserve">Fournisseur : accès fournisseur dédié, gestion stock et commandes reçues.</w:t>
      </w:r>
    </w:p>
    <w:p>
      <w:pPr/>
      <w:r>
        <w:rPr/>
        <w:t xml:space="preserve"/>
      </w:r>
    </w:p>
    <w:p>
      <w:pPr>
        <w:pStyle w:val="Heading1"/>
      </w:pPr>
      <w:r>
        <w:rPr/>
        <w:t xml:space="preserve">4. Parcours client société</w:t>
      </w:r>
    </w:p>
    <w:p>
      <w:pPr>
        <w:pStyle w:val="ListBullet"/>
      </w:pPr>
      <w:r>
        <w:t xml:space="preserve">Inscription publique ou création par admin/super root.</w:t>
      </w:r>
    </w:p>
    <w:p>
      <w:pPr>
        <w:pStyle w:val="ListBullet"/>
      </w:pPr>
      <w:r>
        <w:t xml:space="preserve">Création client toujours avec rôle client.</w:t>
      </w:r>
    </w:p>
    <w:p>
      <w:pPr>
        <w:pStyle w:val="ListBullet"/>
      </w:pPr>
      <w:r>
        <w:t xml:space="preserve">Prix masqués hors connexion puis personnalisés après connexion.</w:t>
      </w:r>
    </w:p>
    <w:p>
      <w:pPr>
        <w:pStyle w:val="ListBullet"/>
      </w:pPr>
      <w:r>
        <w:t xml:space="preserve">Historique complet des commandes, y compris annulées et payées.</w:t>
      </w:r>
    </w:p>
    <w:p>
      <w:pPr/>
      <w:r>
        <w:rPr/>
        <w:t xml:space="preserve"/>
      </w:r>
    </w:p>
    <w:p>
      <w:pPr>
        <w:pStyle w:val="Heading1"/>
      </w:pPr>
      <w:r>
        <w:rPr/>
        <w:t xml:space="preserve">5. Agents commerciaux</w:t>
      </w:r>
    </w:p>
    <w:p>
      <w:pPr>
        <w:pStyle w:val="ListBullet"/>
      </w:pPr>
      <w:r>
        <w:t xml:space="preserve">Créés par admin ou super root.</w:t>
      </w:r>
    </w:p>
    <w:p>
      <w:pPr>
        <w:pStyle w:val="ListBullet"/>
      </w:pPr>
      <w:r>
        <w:t xml:space="preserve">Assignés à un ou plusieurs clients.</w:t>
      </w:r>
    </w:p>
    <w:p>
      <w:pPr>
        <w:pStyle w:val="ListBullet"/>
      </w:pPr>
      <w:r>
        <w:t xml:space="preserve">Valident et suivent les commandes de leurs clients.</w:t>
      </w:r>
    </w:p>
    <w:p>
      <w:pPr>
        <w:pStyle w:val="ListBullet"/>
      </w:pPr>
      <w:r>
        <w:t xml:space="preserve">Échangent via chat avec leurs clients.</w:t>
      </w:r>
    </w:p>
    <w:p>
      <w:pPr>
        <w:pStyle w:val="ListBullet"/>
      </w:pPr>
      <w:r>
        <w:t xml:space="preserve">Fixent les prix personnalisés pour leurs clients assignés.</w:t>
      </w:r>
    </w:p>
    <w:p>
      <w:pPr/>
      <w:r>
        <w:rPr/>
        <w:t xml:space="preserve"/>
      </w:r>
    </w:p>
    <w:p>
      <w:pPr>
        <w:pStyle w:val="Heading1"/>
      </w:pPr>
      <w:r>
        <w:rPr/>
        <w:t xml:space="preserve">6. Fournisseurs, stock et approvisionnement</w:t>
      </w:r>
    </w:p>
    <w:p>
      <w:pPr>
        <w:pStyle w:val="ListBullet"/>
      </w:pPr>
      <w:r>
        <w:t xml:space="preserve">Gestion des fournisseurs dans le dashboard admin/super root.</w:t>
      </w:r>
    </w:p>
    <w:p>
      <w:pPr>
        <w:pStyle w:val="ListBullet"/>
      </w:pPr>
      <w:r>
        <w:t xml:space="preserve">Chaque produit peut être rattaché à un fournisseur.</w:t>
      </w:r>
    </w:p>
    <w:p>
      <w:pPr>
        <w:pStyle w:val="ListBullet"/>
      </w:pPr>
      <w:r>
        <w:t xml:space="preserve">Un fournisseur peut avoir un compte supplier et accéder à supplier.html.</w:t>
      </w:r>
    </w:p>
    <w:p>
      <w:pPr>
        <w:pStyle w:val="ListBullet"/>
      </w:pPr>
      <w:r>
        <w:t xml:space="preserve">Le fournisseur met à jour stock, stock réservé et délai fournisseur.</w:t>
      </w:r>
    </w:p>
    <w:p>
      <w:pPr>
        <w:pStyle w:val="ListBullet"/>
      </w:pPr>
      <w:r>
        <w:t xml:space="preserve">HB Commerce crée des commandes d’approvisionnement vers les fournisseurs.</w:t>
      </w:r>
    </w:p>
    <w:p>
      <w:pPr/>
      <w:r>
        <w:rPr/>
        <w:t xml:space="preserve"/>
      </w:r>
    </w:p>
    <w:p>
      <w:pPr>
        <w:pStyle w:val="Heading1"/>
      </w:pPr>
      <w:r>
        <w:rPr/>
        <w:t xml:space="preserve">7. Commandes, paiements, factures et livraison</w:t>
      </w:r>
    </w:p>
    <w:p>
      <w:pPr>
        <w:pStyle w:val="ListBullet"/>
      </w:pPr>
      <w:r>
        <w:t xml:space="preserve">Statuts commande : en cours de validation, validée, paiement à finaliser, payée, préparation, expédiée, livrée, annulée.</w:t>
      </w:r>
    </w:p>
    <w:p>
      <w:pPr>
        <w:pStyle w:val="ListBullet"/>
      </w:pPr>
      <w:r>
        <w:t xml:space="preserve">Facture téléchargeable par commande dans l’espace client.</w:t>
      </w:r>
    </w:p>
    <w:p>
      <w:pPr>
        <w:pStyle w:val="ListBullet"/>
      </w:pPr>
      <w:r>
        <w:t xml:space="preserve">Suivi livraison : transporteur, numéro, lien, date estimée, date livrée, notes.</w:t>
      </w:r>
    </w:p>
    <w:p>
      <w:pPr>
        <w:pStyle w:val="ListBullet"/>
      </w:pPr>
      <w:r>
        <w:t xml:space="preserve">Le délai client dépend du stock disponible et du délai fournisseur.</w:t>
      </w:r>
    </w:p>
    <w:p>
      <w:pPr/>
      <w:r>
        <w:rPr/>
        <w:t xml:space="preserve"/>
      </w:r>
    </w:p>
    <w:p>
      <w:pPr>
        <w:pStyle w:val="Heading1"/>
      </w:pPr>
      <w:r>
        <w:rPr/>
        <w:t xml:space="preserve">8. Chat, modération et prix personnalisés</w:t>
      </w:r>
    </w:p>
    <w:p>
      <w:pPr>
        <w:pStyle w:val="ListBullet"/>
      </w:pPr>
      <w:r>
        <w:t xml:space="preserve">Chat société avec historique.</w:t>
      </w:r>
    </w:p>
    <w:p>
      <w:pPr>
        <w:pStyle w:val="ListBullet"/>
      </w:pPr>
      <w:r>
        <w:t xml:space="preserve">Commentaires clients validables/refusables.</w:t>
      </w:r>
    </w:p>
    <w:p>
      <w:pPr>
        <w:pStyle w:val="ListBullet"/>
      </w:pPr>
      <w:r>
        <w:t xml:space="preserve">Prix personnalisés par client et produit.</w:t>
      </w:r>
    </w:p>
    <w:p>
      <w:pPr>
        <w:pStyle w:val="ListBullet"/>
      </w:pPr>
      <w:r>
        <w:t xml:space="preserve">Admin/super root/agent assigné peuvent fixer les prix selon leurs droits.</w:t>
      </w:r>
    </w:p>
    <w:p>
      <w:pPr/>
      <w:r>
        <w:rPr/>
        <w:t xml:space="preserve"/>
      </w:r>
    </w:p>
    <w:p>
      <w:pPr>
        <w:pStyle w:val="Heading1"/>
      </w:pPr>
      <w:r>
        <w:rPr/>
        <w:t xml:space="preserve">9. Dashboards</w:t>
      </w:r>
    </w:p>
    <w:p>
      <w:pPr>
        <w:pStyle w:val="ListBullet"/>
      </w:pPr>
      <w:r>
        <w:t xml:space="preserve">super-root.html : gestion globale, rôles, profils, prix.</w:t>
      </w:r>
    </w:p>
    <w:p>
      <w:pPr>
        <w:pStyle w:val="ListBullet"/>
      </w:pPr>
      <w:r>
        <w:t xml:space="preserve">admin.html : produits, fournisseurs, clients, agents, commandes, chat, prix, livraison.</w:t>
      </w:r>
    </w:p>
    <w:p>
      <w:pPr>
        <w:pStyle w:val="ListBullet"/>
      </w:pPr>
      <w:r>
        <w:t xml:space="preserve">supplier.html : stock fournisseur et commandes reçues.</w:t>
      </w:r>
    </w:p>
    <w:p>
      <w:pPr>
        <w:pStyle w:val="ListBullet"/>
      </w:pPr>
      <w:r>
        <w:t xml:space="preserve">compte.html : espace client société.</w:t>
      </w:r>
    </w:p>
    <w:p>
      <w:pPr/>
      <w:r>
        <w:rPr/>
        <w:t xml:space="preserve"/>
      </w:r>
    </w:p>
    <w:p>
      <w:pPr>
        <w:pStyle w:val="Heading1"/>
      </w:pPr>
      <w:r>
        <w:rPr/>
        <w:t xml:space="preserve">10. Données Supabase et sécurité</w:t>
      </w:r>
    </w:p>
    <w:p>
      <w:pPr>
        <w:pStyle w:val="ListBullet"/>
      </w:pPr>
      <w:r>
        <w:t xml:space="preserve">RLS Supabase pour isoler client, fournisseur et agent.</w:t>
      </w:r>
    </w:p>
    <w:p>
      <w:pPr>
        <w:pStyle w:val="ListBullet"/>
      </w:pPr>
      <w:r>
        <w:t xml:space="preserve">commercial_agent_id limite l’agent à ses clients.</w:t>
      </w:r>
    </w:p>
    <w:p>
      <w:pPr>
        <w:pStyle w:val="ListBullet"/>
      </w:pPr>
      <w:r>
        <w:t xml:space="preserve">supplier_id relie fournisseur et produits/stock.</w:t>
      </w:r>
    </w:p>
    <w:p>
      <w:pPr>
        <w:pStyle w:val="ListBullet"/>
      </w:pPr>
      <w:r>
        <w:t xml:space="preserve">Migrations SQL documentées dans le dossier supabase.</w:t>
      </w:r>
    </w:p>
    <w:p>
      <w:pPr/>
      <w:r>
        <w:rPr/>
        <w:t xml:space="preserve"/>
      </w:r>
    </w:p>
    <w:p>
      <w:pPr>
        <w:pStyle w:val="Heading1"/>
      </w:pPr>
      <w:r>
        <w:rPr/>
        <w:t xml:space="preserve">11. Migrations et déploiement</w:t>
      </w:r>
    </w:p>
    <w:p>
      <w:pPr>
        <w:pStyle w:val="ListBullet"/>
      </w:pPr>
      <w:r>
        <w:t xml:space="preserve">Déploiement frontend : GitHub Pages.</w:t>
      </w:r>
    </w:p>
    <w:p>
      <w:pPr>
        <w:pStyle w:val="ListBullet"/>
      </w:pPr>
      <w:r>
        <w:t xml:space="preserve">Backend : Supabase SQL Editor pour migrations.</w:t>
      </w:r>
    </w:p>
    <w:p>
      <w:pPr>
        <w:pStyle w:val="ListBullet"/>
      </w:pPr>
      <w:r>
        <w:t xml:space="preserve">Configurer Auth Redirect URLs vers GitHub Pages.</w:t>
      </w:r>
    </w:p>
    <w:p>
      <w:pPr>
        <w:pStyle w:val="ListBullet"/>
      </w:pPr>
      <w:r>
        <w:t xml:space="preserve">Promouvoir le compte principal en super_root après migration.</w:t>
      </w:r>
    </w:p>
    <w:p>
      <w:pPr/>
      <w:r>
        <w:rPr/>
        <w:t xml:space="preserve"/>
      </w:r>
    </w:p>
    <w:p>
      <w:pPr>
        <w:pStyle w:val="Heading1"/>
      </w:pPr>
      <w:r>
        <w:rPr/>
        <w:t xml:space="preserve">12. Critères d’acceptation</w:t>
      </w:r>
    </w:p>
    <w:p>
      <w:pPr>
        <w:pStyle w:val="ListBullet"/>
      </w:pPr>
      <w:r>
        <w:t xml:space="preserve">Un client créé est toujours client.</w:t>
      </w:r>
    </w:p>
    <w:p>
      <w:pPr>
        <w:pStyle w:val="ListBullet"/>
      </w:pPr>
      <w:r>
        <w:t xml:space="preserve">Admin ne peut pas créer de super root.</w:t>
      </w:r>
    </w:p>
    <w:p>
      <w:pPr>
        <w:pStyle w:val="ListBullet"/>
      </w:pPr>
      <w:r>
        <w:t xml:space="preserve">Agent ne voit que ses clients.</w:t>
      </w:r>
    </w:p>
    <w:p>
      <w:pPr>
        <w:pStyle w:val="ListBullet"/>
      </w:pPr>
      <w:r>
        <w:t xml:space="preserve">Fournisseur ne voit que son espace et son stock.</w:t>
      </w:r>
    </w:p>
    <w:p>
      <w:pPr>
        <w:pStyle w:val="ListBullet"/>
      </w:pPr>
      <w:r>
        <w:t xml:space="preserve">Facture téléchargeable depuis chaque commande.</w:t>
      </w:r>
    </w:p>
    <w:p>
      <w:pPr>
        <w:pStyle w:val="ListBullet"/>
      </w:pPr>
      <w:r>
        <w:t xml:space="preserve">Livraison et dates de suivi visibles côté client.</w:t>
      </w:r>
    </w:p>
    <w:p>
      <w:pPr/>
      <w:r>
        <w:rPr/>
        <w:t xml:space="preserve"/>
      </w:r>
    </w:p>
    <w:p>
      <w:pPr>
        <w:pStyle w:val="Heading1"/>
      </w:pPr>
      <w:r>
        <w:rPr/>
        <w:t xml:space="preserve">Annexe - Scripts SQL à exécuter</w:t>
      </w:r>
    </w:p>
    <w:p>
      <w:pPr>
        <w:pStyle w:val="ListBullet"/>
      </w:pPr>
      <w:r>
        <w:t xml:space="preserve">supabase/migration-access-chat-pricing.sql</w:t>
      </w:r>
    </w:p>
    <w:p>
      <w:pPr>
        <w:pStyle w:val="ListBullet"/>
      </w:pPr>
      <w:r>
        <w:t xml:space="preserve">supabase/migration-company-client-fields.sql</w:t>
      </w:r>
    </w:p>
    <w:p>
      <w:pPr>
        <w:pStyle w:val="ListBullet"/>
      </w:pPr>
      <w:r>
        <w:t xml:space="preserve">supabase/migration-commercial-agents.sql</w:t>
      </w:r>
    </w:p>
    <w:p>
      <w:pPr>
        <w:pStyle w:val="ListBullet"/>
      </w:pPr>
      <w:r>
        <w:t xml:space="preserve">supabase/migration-order-delivery-tracking.sql</w:t>
      </w:r>
    </w:p>
    <w:p>
      <w:pPr>
        <w:pStyle w:val="ListBullet"/>
      </w:pPr>
      <w:r>
        <w:t xml:space="preserve">supabase/migration-suppliers.sql</w:t>
      </w:r>
    </w:p>
    <w:sectPr>
      <w:headerReference w:type="default" r:id="rIdHeader1"/>
      <w:pgSz w:w="11906" w:h="16838"/>
      <w:pgMar w:top="1440" w:right="1134" w:bottom="1134" w:left="1134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drawing>
        <wp:inline distT="0" distB="0" distL="0" distR="0">
          <wp:extent cx="2743200" cy="480060"/>
          <wp:docPr id="1" name="Logo HB Commerce"/>
          <a:graphic>
            <a:graphicData uri="http://schemas.openxmlformats.org/drawingml/2006/picture">
              <pic:pic>
                <pic:nvPicPr>
                  <pic:cNvPr id="0" name="logo.sv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43200" cy="480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  <w:style w:type="paragraph" w:styleId="Title">
    <w:name w:val="Title"/>
    <w:rPr>
      <w:b/>
      <w:sz w:val="42"/>
      <w:color w:val="0F3D32"/>
    </w:rPr>
  </w:style>
  <w:style w:type="paragraph" w:styleId="Subtitle">
    <w:name w:val="Subtitle"/>
    <w:rPr>
      <w:sz w:val="28"/>
      <w:color w:val="C9A227"/>
    </w:rPr>
  </w:style>
  <w:style w:type="paragraph" w:styleId="Heading1">
    <w:name w:val="heading 1"/>
    <w:pPr>
      <w:spacing w:before="360" w:after="160"/>
    </w:pPr>
    <w:rPr>
      <w:b/>
      <w:sz w:val="30"/>
      <w:color w:val="0F3D32"/>
    </w:rPr>
  </w:style>
  <w:style w:type="paragraph" w:styleId="ListBullet">
    <w:name w:val="List Bullet"/>
    <w:pPr>
      <w:ind w:left="720" w:hanging="3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Header1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logo.svg"/></Relationships>
</file>