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54516" w14:textId="77777777" w:rsidR="00105012" w:rsidRPr="00B85689" w:rsidRDefault="00000000" w:rsidP="006F1CC1">
      <w:pPr>
        <w:jc w:val="center"/>
        <w:rPr>
          <w:rFonts w:ascii="Times New Roman" w:hAnsi="Times New Roman" w:cs="Times New Roman"/>
          <w:b/>
          <w:bCs/>
          <w:sz w:val="40"/>
          <w:szCs w:val="40"/>
        </w:rPr>
      </w:pPr>
      <w:r w:rsidRPr="00B85689">
        <w:rPr>
          <w:rFonts w:ascii="Times New Roman" w:hAnsi="Times New Roman" w:cs="Times New Roman"/>
          <w:b/>
          <w:bCs/>
          <w:sz w:val="40"/>
          <w:szCs w:val="40"/>
        </w:rPr>
        <w:t>HR Analytics: An Employee Attrition Predictive Analysis</w:t>
      </w:r>
    </w:p>
    <w:p w14:paraId="3A2866DC" w14:textId="77777777" w:rsidR="006F1CC1" w:rsidRDefault="006F1CC1" w:rsidP="006F1CC1">
      <w:pPr>
        <w:jc w:val="center"/>
        <w:rPr>
          <w:rFonts w:ascii="Times New Roman" w:hAnsi="Times New Roman" w:cs="Times New Roman"/>
          <w:b/>
          <w:bCs/>
          <w:sz w:val="40"/>
          <w:szCs w:val="40"/>
        </w:rPr>
      </w:pPr>
    </w:p>
    <w:p w14:paraId="3AFEE827" w14:textId="77777777" w:rsidR="006F1CC1" w:rsidRDefault="00000000" w:rsidP="006F1CC1">
      <w:pPr>
        <w:jc w:val="center"/>
        <w:rPr>
          <w:rFonts w:ascii="Times New Roman" w:hAnsi="Times New Roman" w:cs="Times New Roman"/>
          <w:i/>
          <w:iCs/>
        </w:rPr>
      </w:pPr>
      <w:r w:rsidRPr="006F1CC1">
        <w:rPr>
          <w:rFonts w:ascii="Times New Roman" w:hAnsi="Times New Roman" w:cs="Times New Roman"/>
          <w:i/>
          <w:iCs/>
        </w:rPr>
        <w:t>August 1</w:t>
      </w:r>
      <w:r w:rsidRPr="006F1CC1">
        <w:rPr>
          <w:rFonts w:ascii="Times New Roman" w:hAnsi="Times New Roman" w:cs="Times New Roman"/>
          <w:i/>
          <w:iCs/>
          <w:vertAlign w:val="superscript"/>
        </w:rPr>
        <w:t>st</w:t>
      </w:r>
      <w:r w:rsidRPr="006F1CC1">
        <w:rPr>
          <w:rFonts w:ascii="Times New Roman" w:hAnsi="Times New Roman" w:cs="Times New Roman"/>
          <w:i/>
          <w:iCs/>
        </w:rPr>
        <w:t>, 2024</w:t>
      </w:r>
    </w:p>
    <w:p w14:paraId="601CFF07" w14:textId="77777777" w:rsidR="006F1CC1" w:rsidRDefault="006F1CC1" w:rsidP="006F1CC1">
      <w:pPr>
        <w:jc w:val="center"/>
        <w:rPr>
          <w:rFonts w:ascii="Times New Roman" w:hAnsi="Times New Roman" w:cs="Times New Roman"/>
          <w:i/>
          <w:iCs/>
        </w:rPr>
      </w:pPr>
    </w:p>
    <w:p w14:paraId="01E86398" w14:textId="3AAA9757" w:rsidR="006F1CC1" w:rsidRDefault="00000000" w:rsidP="007339C4">
      <w:pPr>
        <w:jc w:val="center"/>
        <w:rPr>
          <w:rFonts w:ascii="Times New Roman" w:hAnsi="Times New Roman" w:cs="Times New Roman"/>
        </w:rPr>
      </w:pPr>
      <w:r>
        <w:rPr>
          <w:rFonts w:ascii="Times New Roman" w:hAnsi="Times New Roman" w:cs="Times New Roman"/>
        </w:rPr>
        <w:t>Hunter Berberich</w:t>
      </w:r>
    </w:p>
    <w:p w14:paraId="4B415CDD" w14:textId="77777777" w:rsidR="006F1CC1" w:rsidRPr="00B85689" w:rsidRDefault="00000000" w:rsidP="00B85689">
      <w:pPr>
        <w:pStyle w:val="Heading1"/>
        <w:rPr>
          <w:rFonts w:ascii="Times New Roman" w:hAnsi="Times New Roman" w:cs="Times New Roman"/>
        </w:rPr>
      </w:pPr>
      <w:r w:rsidRPr="00B85689">
        <w:rPr>
          <w:rFonts w:ascii="Times New Roman" w:hAnsi="Times New Roman" w:cs="Times New Roman"/>
        </w:rPr>
        <w:t xml:space="preserve">Executive Summary </w:t>
      </w:r>
    </w:p>
    <w:p w14:paraId="25946F4B" w14:textId="77777777" w:rsidR="006F1CC1" w:rsidRDefault="006F1CC1" w:rsidP="006F1CC1">
      <w:pPr>
        <w:rPr>
          <w:rFonts w:ascii="Times New Roman" w:hAnsi="Times New Roman" w:cs="Times New Roman"/>
          <w:b/>
          <w:bCs/>
          <w:sz w:val="32"/>
          <w:szCs w:val="32"/>
        </w:rPr>
      </w:pPr>
    </w:p>
    <w:p w14:paraId="4A7E5508" w14:textId="77777777" w:rsidR="006F1CC1" w:rsidRDefault="00000000" w:rsidP="3EBF6BBB">
      <w:pPr>
        <w:rPr>
          <w:rFonts w:ascii="Times New Roman" w:hAnsi="Times New Roman" w:cs="Times New Roman"/>
        </w:rPr>
      </w:pPr>
      <w:r w:rsidRPr="26A3D592">
        <w:rPr>
          <w:rFonts w:ascii="Times New Roman" w:hAnsi="Times New Roman" w:cs="Times New Roman"/>
        </w:rPr>
        <w:t xml:space="preserve">In today's competitive business environment, retaining valuable employees is crucial for success. Losing a good employee can significantly impact a company's performance and morale. In his book on predictive analytics, Eric Siegel discusses a model </w:t>
      </w:r>
      <w:r w:rsidR="00937C08">
        <w:rPr>
          <w:rFonts w:ascii="Times New Roman" w:hAnsi="Times New Roman" w:cs="Times New Roman"/>
        </w:rPr>
        <w:t>Hewlett-Packard (HP) developed</w:t>
      </w:r>
      <w:r w:rsidRPr="26A3D592">
        <w:rPr>
          <w:rFonts w:ascii="Times New Roman" w:hAnsi="Times New Roman" w:cs="Times New Roman"/>
        </w:rPr>
        <w:t xml:space="preserve"> to predict employee attrition, assigning a "flight risk" score to each employee. Inspired by this, the current case study aims to develop a similar predictive model using a fictional dataset created by IBM. This dataset includes 1470 employees with 35 attributes, such as job satisfaction, work-life balance, and whether they left the company.</w:t>
      </w:r>
      <w:r w:rsidR="1728DAE1" w:rsidRPr="26A3D592">
        <w:rPr>
          <w:rFonts w:ascii="Times New Roman" w:hAnsi="Times New Roman" w:cs="Times New Roman"/>
        </w:rPr>
        <w:t xml:space="preserve"> The best</w:t>
      </w:r>
      <w:r w:rsidR="00937C08">
        <w:rPr>
          <w:rFonts w:ascii="Times New Roman" w:hAnsi="Times New Roman" w:cs="Times New Roman"/>
        </w:rPr>
        <w:t>-</w:t>
      </w:r>
      <w:r w:rsidR="1728DAE1" w:rsidRPr="26A3D592">
        <w:rPr>
          <w:rFonts w:ascii="Times New Roman" w:hAnsi="Times New Roman" w:cs="Times New Roman"/>
        </w:rPr>
        <w:t>performing model was a logistic regression</w:t>
      </w:r>
      <w:r w:rsidR="3FF41011" w:rsidRPr="26A3D592">
        <w:rPr>
          <w:rFonts w:ascii="Times New Roman" w:hAnsi="Times New Roman" w:cs="Times New Roman"/>
        </w:rPr>
        <w:t xml:space="preserve"> classification model.</w:t>
      </w:r>
      <w:r w:rsidR="04FAB9BA" w:rsidRPr="26A3D592">
        <w:rPr>
          <w:rFonts w:ascii="Times New Roman" w:hAnsi="Times New Roman" w:cs="Times New Roman"/>
        </w:rPr>
        <w:t xml:space="preserve"> </w:t>
      </w:r>
      <w:r w:rsidR="3A88B546" w:rsidRPr="26A3D592">
        <w:rPr>
          <w:rFonts w:ascii="Times New Roman" w:hAnsi="Times New Roman" w:cs="Times New Roman"/>
        </w:rPr>
        <w:t xml:space="preserve">The final model </w:t>
      </w:r>
      <w:r w:rsidR="15C1A3F7" w:rsidRPr="26A3D592">
        <w:rPr>
          <w:rFonts w:ascii="Times New Roman" w:hAnsi="Times New Roman" w:cs="Times New Roman"/>
        </w:rPr>
        <w:t xml:space="preserve">accurately </w:t>
      </w:r>
      <w:r w:rsidR="3A88B546" w:rsidRPr="26A3D592">
        <w:rPr>
          <w:rFonts w:ascii="Times New Roman" w:hAnsi="Times New Roman" w:cs="Times New Roman"/>
        </w:rPr>
        <w:t>predicted 77% of</w:t>
      </w:r>
      <w:r w:rsidR="15C1A3F7" w:rsidRPr="26A3D592">
        <w:rPr>
          <w:rFonts w:ascii="Times New Roman" w:hAnsi="Times New Roman" w:cs="Times New Roman"/>
        </w:rPr>
        <w:t xml:space="preserve"> the</w:t>
      </w:r>
      <w:r w:rsidR="3A88B546" w:rsidRPr="26A3D592">
        <w:rPr>
          <w:rFonts w:ascii="Times New Roman" w:hAnsi="Times New Roman" w:cs="Times New Roman"/>
        </w:rPr>
        <w:t xml:space="preserve"> </w:t>
      </w:r>
      <w:r w:rsidR="15C1A3F7" w:rsidRPr="26A3D592">
        <w:rPr>
          <w:rFonts w:ascii="Times New Roman" w:hAnsi="Times New Roman" w:cs="Times New Roman"/>
        </w:rPr>
        <w:t>employees who left</w:t>
      </w:r>
      <w:r w:rsidR="00937C08">
        <w:rPr>
          <w:rFonts w:ascii="Times New Roman" w:hAnsi="Times New Roman" w:cs="Times New Roman"/>
        </w:rPr>
        <w:t>, which led</w:t>
      </w:r>
      <w:r w:rsidR="25E39673" w:rsidRPr="26A3D592">
        <w:rPr>
          <w:rFonts w:ascii="Times New Roman" w:hAnsi="Times New Roman" w:cs="Times New Roman"/>
        </w:rPr>
        <w:t xml:space="preserve"> to an estimated cost savings of over $4 million.</w:t>
      </w:r>
    </w:p>
    <w:p w14:paraId="6B90E401" w14:textId="77777777" w:rsidR="006F1CC1" w:rsidRDefault="006F1CC1" w:rsidP="006F1CC1">
      <w:pPr>
        <w:rPr>
          <w:rFonts w:ascii="Times New Roman" w:hAnsi="Times New Roman" w:cs="Times New Roman"/>
          <w:b/>
          <w:bCs/>
          <w:sz w:val="32"/>
          <w:szCs w:val="32"/>
        </w:rPr>
      </w:pPr>
    </w:p>
    <w:p w14:paraId="3087DADF" w14:textId="77777777" w:rsidR="004772AC" w:rsidRPr="00B85689" w:rsidRDefault="00000000" w:rsidP="00B85689">
      <w:pPr>
        <w:pStyle w:val="Heading1"/>
        <w:rPr>
          <w:rFonts w:ascii="Times New Roman" w:hAnsi="Times New Roman" w:cs="Times New Roman"/>
        </w:rPr>
      </w:pPr>
      <w:r w:rsidRPr="00B85689">
        <w:rPr>
          <w:rFonts w:ascii="Times New Roman" w:hAnsi="Times New Roman" w:cs="Times New Roman"/>
        </w:rPr>
        <w:t>Summary of Analysis</w:t>
      </w:r>
    </w:p>
    <w:p w14:paraId="66E4750D" w14:textId="77777777" w:rsidR="004772AC" w:rsidRDefault="004772AC" w:rsidP="006F1CC1">
      <w:pPr>
        <w:rPr>
          <w:rFonts w:ascii="Times New Roman" w:hAnsi="Times New Roman" w:cs="Times New Roman"/>
          <w:b/>
          <w:bCs/>
          <w:sz w:val="32"/>
          <w:szCs w:val="32"/>
        </w:rPr>
      </w:pPr>
    </w:p>
    <w:p w14:paraId="656B5DF8" w14:textId="77777777" w:rsidR="00E775D2" w:rsidRDefault="00000000" w:rsidP="006F1CC1">
      <w:pPr>
        <w:rPr>
          <w:rFonts w:ascii="Times New Roman" w:hAnsi="Times New Roman" w:cs="Times New Roman"/>
        </w:rPr>
      </w:pPr>
      <w:r w:rsidRPr="3EBF6BBB">
        <w:rPr>
          <w:rFonts w:ascii="Times New Roman" w:hAnsi="Times New Roman" w:cs="Times New Roman"/>
        </w:rPr>
        <w:t xml:space="preserve">Talent retention is crucial to organizational success. </w:t>
      </w:r>
      <w:r w:rsidR="0247C43E" w:rsidRPr="3EBF6BBB">
        <w:rPr>
          <w:rFonts w:ascii="Times New Roman" w:hAnsi="Times New Roman" w:cs="Times New Roman"/>
        </w:rPr>
        <w:t xml:space="preserve">The </w:t>
      </w:r>
      <w:r w:rsidR="357E4646" w:rsidRPr="3EBF6BBB">
        <w:rPr>
          <w:rFonts w:ascii="Times New Roman" w:hAnsi="Times New Roman" w:cs="Times New Roman"/>
        </w:rPr>
        <w:t>cost of employee attrition is approximately 1</w:t>
      </w:r>
      <w:r w:rsidR="5C3D918B" w:rsidRPr="3EBF6BBB">
        <w:rPr>
          <w:rFonts w:ascii="Times New Roman" w:hAnsi="Times New Roman" w:cs="Times New Roman"/>
        </w:rPr>
        <w:t xml:space="preserve"> to </w:t>
      </w:r>
      <w:r w:rsidR="357E4646" w:rsidRPr="3EBF6BBB">
        <w:rPr>
          <w:rFonts w:ascii="Times New Roman" w:hAnsi="Times New Roman" w:cs="Times New Roman"/>
        </w:rPr>
        <w:t>1.2 times employee salary</w:t>
      </w:r>
      <w:r w:rsidR="5D0FD75F" w:rsidRPr="3EBF6BBB">
        <w:rPr>
          <w:rFonts w:ascii="Times New Roman" w:hAnsi="Times New Roman" w:cs="Times New Roman"/>
        </w:rPr>
        <w:t xml:space="preserve"> on an individual bas</w:t>
      </w:r>
      <w:r w:rsidR="686F8354" w:rsidRPr="3EBF6BBB">
        <w:rPr>
          <w:rFonts w:ascii="Times New Roman" w:hAnsi="Times New Roman" w:cs="Times New Roman"/>
        </w:rPr>
        <w:t>i</w:t>
      </w:r>
      <w:r w:rsidR="5D0FD75F" w:rsidRPr="3EBF6BBB">
        <w:rPr>
          <w:rFonts w:ascii="Times New Roman" w:hAnsi="Times New Roman" w:cs="Times New Roman"/>
        </w:rPr>
        <w:t>s</w:t>
      </w:r>
      <w:r w:rsidR="686F8354" w:rsidRPr="3EBF6BBB">
        <w:rPr>
          <w:rFonts w:ascii="Times New Roman" w:hAnsi="Times New Roman" w:cs="Times New Roman"/>
        </w:rPr>
        <w:t>,</w:t>
      </w:r>
      <w:r w:rsidR="5D0FD75F" w:rsidRPr="3EBF6BBB">
        <w:rPr>
          <w:rFonts w:ascii="Times New Roman" w:hAnsi="Times New Roman" w:cs="Times New Roman"/>
        </w:rPr>
        <w:t xml:space="preserve"> </w:t>
      </w:r>
      <w:r w:rsidR="25D25A62" w:rsidRPr="3EBF6BBB">
        <w:rPr>
          <w:rFonts w:ascii="Times New Roman" w:hAnsi="Times New Roman" w:cs="Times New Roman"/>
        </w:rPr>
        <w:t xml:space="preserve">costing the U.S. economy an estimated </w:t>
      </w:r>
      <w:bookmarkStart w:id="0" w:name="_Int_pW2Ar2ek"/>
      <w:r w:rsidR="25D25A62" w:rsidRPr="3EBF6BBB">
        <w:rPr>
          <w:rFonts w:ascii="Times New Roman" w:hAnsi="Times New Roman" w:cs="Times New Roman"/>
        </w:rPr>
        <w:t>$27 billion</w:t>
      </w:r>
      <w:bookmarkEnd w:id="0"/>
      <w:r w:rsidR="6BFC2604" w:rsidRPr="3EBF6BBB">
        <w:rPr>
          <w:rFonts w:ascii="Times New Roman" w:hAnsi="Times New Roman" w:cs="Times New Roman"/>
        </w:rPr>
        <w:t xml:space="preserve"> </w:t>
      </w:r>
      <w:r w:rsidR="686F8354" w:rsidRPr="3EBF6BBB">
        <w:rPr>
          <w:rFonts w:ascii="Times New Roman" w:hAnsi="Times New Roman" w:cs="Times New Roman"/>
        </w:rPr>
        <w:t xml:space="preserve">in December </w:t>
      </w:r>
      <w:r w:rsidR="00331333">
        <w:rPr>
          <w:rFonts w:ascii="Times New Roman" w:hAnsi="Times New Roman" w:cs="Times New Roman"/>
        </w:rPr>
        <w:t>2016 alone (Marsden, 2016). Considering the unemployment rate in the United States is only 4.1%, vacancies may not always be filled promptly,</w:t>
      </w:r>
      <w:r w:rsidR="01BBA74A" w:rsidRPr="3EBF6BBB">
        <w:rPr>
          <w:rFonts w:ascii="Times New Roman" w:hAnsi="Times New Roman" w:cs="Times New Roman"/>
        </w:rPr>
        <w:t xml:space="preserve"> even if a company is willing to </w:t>
      </w:r>
      <w:r w:rsidR="15CBC1F8" w:rsidRPr="3EBF6BBB">
        <w:rPr>
          <w:rFonts w:ascii="Times New Roman" w:hAnsi="Times New Roman" w:cs="Times New Roman"/>
        </w:rPr>
        <w:t>endure the financial costs</w:t>
      </w:r>
      <w:r w:rsidR="2EB24C26" w:rsidRPr="3EBF6BBB">
        <w:rPr>
          <w:rFonts w:ascii="Times New Roman" w:hAnsi="Times New Roman" w:cs="Times New Roman"/>
        </w:rPr>
        <w:t>.</w:t>
      </w:r>
      <w:r w:rsidR="7E99E3E9" w:rsidRPr="3EBF6BBB">
        <w:rPr>
          <w:rFonts w:ascii="Times New Roman" w:hAnsi="Times New Roman" w:cs="Times New Roman"/>
        </w:rPr>
        <w:t xml:space="preserve"> </w:t>
      </w:r>
    </w:p>
    <w:p w14:paraId="6300E2A9" w14:textId="77777777" w:rsidR="00E775D2" w:rsidRDefault="00E775D2" w:rsidP="006F1CC1">
      <w:pPr>
        <w:rPr>
          <w:rFonts w:ascii="Times New Roman" w:hAnsi="Times New Roman" w:cs="Times New Roman"/>
        </w:rPr>
      </w:pPr>
    </w:p>
    <w:p w14:paraId="340458FE" w14:textId="77777777" w:rsidR="001917D3" w:rsidRDefault="00000000" w:rsidP="006F1CC1">
      <w:pPr>
        <w:rPr>
          <w:rFonts w:ascii="Times New Roman" w:hAnsi="Times New Roman" w:cs="Times New Roman"/>
        </w:rPr>
      </w:pPr>
      <w:r>
        <w:rPr>
          <w:rFonts w:ascii="Times New Roman" w:hAnsi="Times New Roman" w:cs="Times New Roman"/>
        </w:rPr>
        <w:t>Predicting</w:t>
      </w:r>
      <w:r w:rsidR="000E2290">
        <w:rPr>
          <w:rFonts w:ascii="Times New Roman" w:hAnsi="Times New Roman" w:cs="Times New Roman"/>
        </w:rPr>
        <w:t xml:space="preserve"> </w:t>
      </w:r>
      <w:r w:rsidR="0058203A">
        <w:rPr>
          <w:rFonts w:ascii="Times New Roman" w:hAnsi="Times New Roman" w:cs="Times New Roman"/>
        </w:rPr>
        <w:t xml:space="preserve">which </w:t>
      </w:r>
      <w:r w:rsidR="00377156">
        <w:rPr>
          <w:rFonts w:ascii="Times New Roman" w:hAnsi="Times New Roman" w:cs="Times New Roman"/>
        </w:rPr>
        <w:t xml:space="preserve">employees </w:t>
      </w:r>
      <w:r w:rsidR="00A8442C">
        <w:rPr>
          <w:rFonts w:ascii="Times New Roman" w:hAnsi="Times New Roman" w:cs="Times New Roman"/>
        </w:rPr>
        <w:t>quit</w:t>
      </w:r>
      <w:r w:rsidR="0080747C">
        <w:rPr>
          <w:rFonts w:ascii="Times New Roman" w:hAnsi="Times New Roman" w:cs="Times New Roman"/>
        </w:rPr>
        <w:t xml:space="preserve"> </w:t>
      </w:r>
      <w:r w:rsidR="00B26B72">
        <w:rPr>
          <w:rFonts w:ascii="Times New Roman" w:hAnsi="Times New Roman" w:cs="Times New Roman"/>
        </w:rPr>
        <w:t xml:space="preserve">in advance </w:t>
      </w:r>
      <w:r w:rsidR="00FA7726">
        <w:rPr>
          <w:rFonts w:ascii="Times New Roman" w:hAnsi="Times New Roman" w:cs="Times New Roman"/>
        </w:rPr>
        <w:t>would be extremely valuable to an</w:t>
      </w:r>
      <w:r w:rsidR="00B26B72">
        <w:rPr>
          <w:rFonts w:ascii="Times New Roman" w:hAnsi="Times New Roman" w:cs="Times New Roman"/>
        </w:rPr>
        <w:t>y</w:t>
      </w:r>
      <w:r w:rsidR="00FA7726">
        <w:rPr>
          <w:rFonts w:ascii="Times New Roman" w:hAnsi="Times New Roman" w:cs="Times New Roman"/>
        </w:rPr>
        <w:t xml:space="preserve"> organization</w:t>
      </w:r>
      <w:r w:rsidR="00D6768C">
        <w:rPr>
          <w:rFonts w:ascii="Times New Roman" w:hAnsi="Times New Roman" w:cs="Times New Roman"/>
        </w:rPr>
        <w:t xml:space="preserve">. </w:t>
      </w:r>
      <w:r w:rsidR="00627D5F">
        <w:rPr>
          <w:rFonts w:ascii="Times New Roman" w:hAnsi="Times New Roman" w:cs="Times New Roman"/>
        </w:rPr>
        <w:t>To this end</w:t>
      </w:r>
      <w:r w:rsidR="00B26B72">
        <w:rPr>
          <w:rFonts w:ascii="Times New Roman" w:hAnsi="Times New Roman" w:cs="Times New Roman"/>
        </w:rPr>
        <w:t>,</w:t>
      </w:r>
      <w:r w:rsidR="00627D5F">
        <w:rPr>
          <w:rFonts w:ascii="Times New Roman" w:hAnsi="Times New Roman" w:cs="Times New Roman"/>
        </w:rPr>
        <w:t xml:space="preserve"> </w:t>
      </w:r>
      <w:r w:rsidR="003F5FF2">
        <w:rPr>
          <w:rFonts w:ascii="Times New Roman" w:hAnsi="Times New Roman" w:cs="Times New Roman"/>
        </w:rPr>
        <w:t xml:space="preserve">two predictive models were developed </w:t>
      </w:r>
      <w:r w:rsidR="00627D5F">
        <w:rPr>
          <w:rFonts w:ascii="Times New Roman" w:hAnsi="Times New Roman" w:cs="Times New Roman"/>
        </w:rPr>
        <w:t xml:space="preserve">using data from </w:t>
      </w:r>
      <w:r w:rsidR="00627D5F" w:rsidRPr="00C40E0C">
        <w:rPr>
          <w:rFonts w:ascii="Times New Roman" w:hAnsi="Times New Roman" w:cs="Times New Roman"/>
        </w:rPr>
        <w:t>1470 employees</w:t>
      </w:r>
      <w:r w:rsidR="00627D5F">
        <w:rPr>
          <w:rFonts w:ascii="Times New Roman" w:hAnsi="Times New Roman" w:cs="Times New Roman"/>
        </w:rPr>
        <w:t xml:space="preserve"> </w:t>
      </w:r>
      <w:r w:rsidR="003F5FF2">
        <w:rPr>
          <w:rFonts w:ascii="Times New Roman" w:hAnsi="Times New Roman" w:cs="Times New Roman"/>
        </w:rPr>
        <w:t>to assist human resources i</w:t>
      </w:r>
      <w:r>
        <w:rPr>
          <w:rFonts w:ascii="Times New Roman" w:hAnsi="Times New Roman" w:cs="Times New Roman"/>
        </w:rPr>
        <w:t>n identifying employees who are at the</w:t>
      </w:r>
      <w:r w:rsidR="00DC00BE">
        <w:rPr>
          <w:rFonts w:ascii="Times New Roman" w:hAnsi="Times New Roman" w:cs="Times New Roman"/>
        </w:rPr>
        <w:t xml:space="preserve"> highest </w:t>
      </w:r>
      <w:r w:rsidR="00127A3A">
        <w:rPr>
          <w:rFonts w:ascii="Times New Roman" w:hAnsi="Times New Roman" w:cs="Times New Roman"/>
        </w:rPr>
        <w:t>risk of leaving</w:t>
      </w:r>
      <w:r w:rsidR="00627D5F">
        <w:rPr>
          <w:rFonts w:ascii="Times New Roman" w:hAnsi="Times New Roman" w:cs="Times New Roman"/>
        </w:rPr>
        <w:t xml:space="preserve"> and target retention efforts accordingly</w:t>
      </w:r>
      <w:r w:rsidR="00DC00BE">
        <w:rPr>
          <w:rFonts w:ascii="Times New Roman" w:hAnsi="Times New Roman" w:cs="Times New Roman"/>
        </w:rPr>
        <w:t>.</w:t>
      </w:r>
      <w:r w:rsidR="007E0DCC">
        <w:rPr>
          <w:rFonts w:ascii="Times New Roman" w:hAnsi="Times New Roman" w:cs="Times New Roman"/>
        </w:rPr>
        <w:t xml:space="preserve"> </w:t>
      </w:r>
    </w:p>
    <w:p w14:paraId="25D6DBD2" w14:textId="77777777" w:rsidR="000B5C98" w:rsidRDefault="000B5C98" w:rsidP="006F1CC1">
      <w:pPr>
        <w:rPr>
          <w:rFonts w:ascii="Times New Roman" w:hAnsi="Times New Roman" w:cs="Times New Roman"/>
        </w:rPr>
      </w:pPr>
    </w:p>
    <w:p w14:paraId="3EBBCF12" w14:textId="77777777" w:rsidR="000B5C98" w:rsidRDefault="00000000" w:rsidP="006F1CC1">
      <w:pPr>
        <w:rPr>
          <w:rFonts w:ascii="Times New Roman" w:hAnsi="Times New Roman" w:cs="Times New Roman"/>
        </w:rPr>
      </w:pPr>
      <w:r>
        <w:rPr>
          <w:rFonts w:ascii="Times New Roman" w:hAnsi="Times New Roman" w:cs="Times New Roman"/>
        </w:rPr>
        <w:t>The two model types used were a logistic regression model</w:t>
      </w:r>
      <w:r w:rsidR="00097A1D">
        <w:rPr>
          <w:rFonts w:ascii="Times New Roman" w:hAnsi="Times New Roman" w:cs="Times New Roman"/>
        </w:rPr>
        <w:t xml:space="preserve"> (</w:t>
      </w:r>
      <w:r>
        <w:rPr>
          <w:rFonts w:ascii="Times New Roman" w:hAnsi="Times New Roman" w:cs="Times New Roman"/>
        </w:rPr>
        <w:t>Model 1</w:t>
      </w:r>
      <w:r w:rsidR="00097A1D">
        <w:rPr>
          <w:rFonts w:ascii="Times New Roman" w:hAnsi="Times New Roman" w:cs="Times New Roman"/>
        </w:rPr>
        <w:t>)</w:t>
      </w:r>
      <w:r>
        <w:rPr>
          <w:rFonts w:ascii="Times New Roman" w:hAnsi="Times New Roman" w:cs="Times New Roman"/>
        </w:rPr>
        <w:t xml:space="preserve"> and </w:t>
      </w:r>
      <w:r w:rsidR="00097A1D">
        <w:rPr>
          <w:rFonts w:ascii="Times New Roman" w:hAnsi="Times New Roman" w:cs="Times New Roman"/>
        </w:rPr>
        <w:t xml:space="preserve">a </w:t>
      </w:r>
      <w:r>
        <w:rPr>
          <w:rFonts w:ascii="Times New Roman" w:hAnsi="Times New Roman" w:cs="Times New Roman"/>
        </w:rPr>
        <w:t>decision tree classification model</w:t>
      </w:r>
      <w:r w:rsidR="00097A1D">
        <w:rPr>
          <w:rFonts w:ascii="Times New Roman" w:hAnsi="Times New Roman" w:cs="Times New Roman"/>
        </w:rPr>
        <w:t xml:space="preserve"> (Model 2). </w:t>
      </w:r>
      <w:r w:rsidR="004904BE">
        <w:rPr>
          <w:rFonts w:ascii="Times New Roman" w:hAnsi="Times New Roman" w:cs="Times New Roman"/>
        </w:rPr>
        <w:t>Model 1 was refined using stepwise variable selection</w:t>
      </w:r>
      <w:r w:rsidR="005730E4">
        <w:rPr>
          <w:rFonts w:ascii="Times New Roman" w:hAnsi="Times New Roman" w:cs="Times New Roman"/>
        </w:rPr>
        <w:t>.</w:t>
      </w:r>
      <w:r w:rsidR="001D002E">
        <w:rPr>
          <w:rFonts w:ascii="Times New Roman" w:hAnsi="Times New Roman" w:cs="Times New Roman"/>
        </w:rPr>
        <w:t xml:space="preserve"> </w:t>
      </w:r>
      <w:r w:rsidR="004904BE">
        <w:rPr>
          <w:rFonts w:ascii="Times New Roman" w:hAnsi="Times New Roman" w:cs="Times New Roman"/>
        </w:rPr>
        <w:t xml:space="preserve">Model 2 was refined </w:t>
      </w:r>
      <w:r w:rsidR="001D002E">
        <w:rPr>
          <w:rFonts w:ascii="Times New Roman" w:hAnsi="Times New Roman" w:cs="Times New Roman"/>
        </w:rPr>
        <w:t>using decision tree pruning techniques.</w:t>
      </w:r>
      <w:r w:rsidR="005730E4">
        <w:rPr>
          <w:rFonts w:ascii="Times New Roman" w:hAnsi="Times New Roman" w:cs="Times New Roman"/>
        </w:rPr>
        <w:t xml:space="preserve"> </w:t>
      </w:r>
      <w:r>
        <w:rPr>
          <w:rFonts w:ascii="Times New Roman" w:hAnsi="Times New Roman" w:cs="Times New Roman"/>
        </w:rPr>
        <w:t xml:space="preserve">  </w:t>
      </w:r>
    </w:p>
    <w:p w14:paraId="4603BFD4" w14:textId="77777777" w:rsidR="001917D3" w:rsidRDefault="001917D3" w:rsidP="006F1CC1">
      <w:pPr>
        <w:rPr>
          <w:rFonts w:ascii="Times New Roman" w:hAnsi="Times New Roman" w:cs="Times New Roman"/>
        </w:rPr>
      </w:pPr>
    </w:p>
    <w:p w14:paraId="18E2FD23" w14:textId="77777777" w:rsidR="000B5C98" w:rsidRDefault="00000000" w:rsidP="006F1CC1">
      <w:pPr>
        <w:rPr>
          <w:rFonts w:ascii="Times New Roman" w:hAnsi="Times New Roman" w:cs="Times New Roman"/>
        </w:rPr>
      </w:pPr>
      <w:r>
        <w:rPr>
          <w:rFonts w:ascii="Times New Roman" w:hAnsi="Times New Roman" w:cs="Times New Roman"/>
        </w:rPr>
        <w:t>The objective for each model was to minimize false negatives because f</w:t>
      </w:r>
      <w:r w:rsidR="001917D3">
        <w:rPr>
          <w:rFonts w:ascii="Times New Roman" w:hAnsi="Times New Roman" w:cs="Times New Roman"/>
        </w:rPr>
        <w:t xml:space="preserve">ailing to predict an employee will </w:t>
      </w:r>
      <w:r w:rsidR="00DC32F0">
        <w:rPr>
          <w:rFonts w:ascii="Times New Roman" w:hAnsi="Times New Roman" w:cs="Times New Roman"/>
        </w:rPr>
        <w:t xml:space="preserve">quit </w:t>
      </w:r>
      <w:r w:rsidR="00775424">
        <w:rPr>
          <w:rFonts w:ascii="Times New Roman" w:hAnsi="Times New Roman" w:cs="Times New Roman"/>
        </w:rPr>
        <w:t>(</w:t>
      </w:r>
      <w:r>
        <w:rPr>
          <w:rFonts w:ascii="Times New Roman" w:hAnsi="Times New Roman" w:cs="Times New Roman"/>
        </w:rPr>
        <w:t xml:space="preserve">i.e., </w:t>
      </w:r>
      <w:r w:rsidR="00775424">
        <w:rPr>
          <w:rFonts w:ascii="Times New Roman" w:hAnsi="Times New Roman" w:cs="Times New Roman"/>
        </w:rPr>
        <w:t xml:space="preserve">false negative) </w:t>
      </w:r>
      <w:r w:rsidR="001917D3">
        <w:rPr>
          <w:rFonts w:ascii="Times New Roman" w:hAnsi="Times New Roman" w:cs="Times New Roman"/>
        </w:rPr>
        <w:t>is far more costly than</w:t>
      </w:r>
      <w:r w:rsidR="00775424">
        <w:rPr>
          <w:rFonts w:ascii="Times New Roman" w:hAnsi="Times New Roman" w:cs="Times New Roman"/>
        </w:rPr>
        <w:t xml:space="preserve"> </w:t>
      </w:r>
      <w:r w:rsidR="00ED4227">
        <w:rPr>
          <w:rFonts w:ascii="Times New Roman" w:hAnsi="Times New Roman" w:cs="Times New Roman"/>
        </w:rPr>
        <w:t xml:space="preserve">incorrectly predicting </w:t>
      </w:r>
      <w:r w:rsidR="009D1A40">
        <w:rPr>
          <w:rFonts w:ascii="Times New Roman" w:hAnsi="Times New Roman" w:cs="Times New Roman"/>
        </w:rPr>
        <w:t xml:space="preserve">an employee </w:t>
      </w:r>
      <w:r w:rsidR="00ED4227">
        <w:rPr>
          <w:rFonts w:ascii="Times New Roman" w:hAnsi="Times New Roman" w:cs="Times New Roman"/>
        </w:rPr>
        <w:t>will stay</w:t>
      </w:r>
      <w:r w:rsidR="00B9631C">
        <w:rPr>
          <w:rFonts w:ascii="Times New Roman" w:hAnsi="Times New Roman" w:cs="Times New Roman"/>
        </w:rPr>
        <w:t xml:space="preserve"> (</w:t>
      </w:r>
      <w:r>
        <w:rPr>
          <w:rFonts w:ascii="Times New Roman" w:hAnsi="Times New Roman" w:cs="Times New Roman"/>
        </w:rPr>
        <w:t xml:space="preserve">i.e., </w:t>
      </w:r>
      <w:r w:rsidR="00B9631C">
        <w:rPr>
          <w:rFonts w:ascii="Times New Roman" w:hAnsi="Times New Roman" w:cs="Times New Roman"/>
        </w:rPr>
        <w:t>false positive)</w:t>
      </w:r>
      <w:r w:rsidR="00ED4227">
        <w:rPr>
          <w:rFonts w:ascii="Times New Roman" w:hAnsi="Times New Roman" w:cs="Times New Roman"/>
        </w:rPr>
        <w:t>.</w:t>
      </w:r>
      <w:r w:rsidR="00684BD8">
        <w:rPr>
          <w:rFonts w:ascii="Times New Roman" w:hAnsi="Times New Roman" w:cs="Times New Roman"/>
        </w:rPr>
        <w:t xml:space="preserve"> </w:t>
      </w:r>
      <w:r w:rsidR="00C554E1">
        <w:rPr>
          <w:rFonts w:ascii="Times New Roman" w:hAnsi="Times New Roman" w:cs="Times New Roman"/>
        </w:rPr>
        <w:t>E</w:t>
      </w:r>
      <w:r w:rsidR="00085CDC">
        <w:rPr>
          <w:rFonts w:ascii="Times New Roman" w:hAnsi="Times New Roman" w:cs="Times New Roman"/>
        </w:rPr>
        <w:t xml:space="preserve">ach model was tuned </w:t>
      </w:r>
      <w:r w:rsidR="00D94EF2">
        <w:rPr>
          <w:rFonts w:ascii="Times New Roman" w:hAnsi="Times New Roman" w:cs="Times New Roman"/>
        </w:rPr>
        <w:t xml:space="preserve">by adjusting the </w:t>
      </w:r>
      <w:r w:rsidR="00085CDC">
        <w:rPr>
          <w:rFonts w:ascii="Times New Roman" w:hAnsi="Times New Roman" w:cs="Times New Roman"/>
        </w:rPr>
        <w:t>cut-off value to maximize</w:t>
      </w:r>
      <w:r w:rsidR="009D1A40">
        <w:rPr>
          <w:rFonts w:ascii="Times New Roman" w:hAnsi="Times New Roman" w:cs="Times New Roman"/>
        </w:rPr>
        <w:t xml:space="preserve"> the balanced accuracy</w:t>
      </w:r>
      <w:r w:rsidR="00E02590">
        <w:rPr>
          <w:rFonts w:ascii="Times New Roman" w:hAnsi="Times New Roman" w:cs="Times New Roman"/>
        </w:rPr>
        <w:t xml:space="preserve">. </w:t>
      </w:r>
    </w:p>
    <w:p w14:paraId="5715E860" w14:textId="77777777" w:rsidR="000B5C98" w:rsidRDefault="000B5C98" w:rsidP="006F1CC1">
      <w:pPr>
        <w:rPr>
          <w:rFonts w:ascii="Times New Roman" w:hAnsi="Times New Roman" w:cs="Times New Roman"/>
        </w:rPr>
      </w:pPr>
    </w:p>
    <w:p w14:paraId="7E80A1B5" w14:textId="77777777" w:rsidR="00EE5C43" w:rsidRPr="008D34F9" w:rsidRDefault="00000000" w:rsidP="006F1CC1">
      <w:pPr>
        <w:rPr>
          <w:rFonts w:ascii="Times New Roman" w:hAnsi="Times New Roman" w:cs="Times New Roman"/>
        </w:rPr>
      </w:pPr>
      <w:r w:rsidRPr="008D34F9">
        <w:rPr>
          <w:rFonts w:ascii="Times New Roman" w:hAnsi="Times New Roman" w:cs="Times New Roman"/>
        </w:rPr>
        <w:t xml:space="preserve">The </w:t>
      </w:r>
      <w:r w:rsidR="007F179B" w:rsidRPr="008D34F9">
        <w:rPr>
          <w:rFonts w:ascii="Times New Roman" w:hAnsi="Times New Roman" w:cs="Times New Roman"/>
        </w:rPr>
        <w:t>logistic regression model</w:t>
      </w:r>
      <w:r w:rsidRPr="008D34F9">
        <w:rPr>
          <w:rFonts w:ascii="Times New Roman" w:hAnsi="Times New Roman" w:cs="Times New Roman"/>
        </w:rPr>
        <w:t xml:space="preserve"> </w:t>
      </w:r>
      <w:r w:rsidR="000A76E6" w:rsidRPr="008D34F9">
        <w:rPr>
          <w:rFonts w:ascii="Times New Roman" w:hAnsi="Times New Roman" w:cs="Times New Roman"/>
        </w:rPr>
        <w:t xml:space="preserve">had an overall accuracy of </w:t>
      </w:r>
      <w:r w:rsidR="076CEFDF" w:rsidRPr="008D34F9">
        <w:rPr>
          <w:rFonts w:ascii="Times New Roman" w:hAnsi="Times New Roman" w:cs="Times New Roman"/>
        </w:rPr>
        <w:t>72.01</w:t>
      </w:r>
      <w:r w:rsidR="000A76E6" w:rsidRPr="008D34F9">
        <w:rPr>
          <w:rFonts w:ascii="Times New Roman" w:hAnsi="Times New Roman" w:cs="Times New Roman"/>
        </w:rPr>
        <w:t xml:space="preserve">% and </w:t>
      </w:r>
      <w:r w:rsidRPr="008D34F9">
        <w:rPr>
          <w:rFonts w:ascii="Times New Roman" w:hAnsi="Times New Roman" w:cs="Times New Roman"/>
        </w:rPr>
        <w:t>accurately predict</w:t>
      </w:r>
      <w:r w:rsidR="00305EA7" w:rsidRPr="008D34F9">
        <w:rPr>
          <w:rFonts w:ascii="Times New Roman" w:hAnsi="Times New Roman" w:cs="Times New Roman"/>
        </w:rPr>
        <w:t>ed</w:t>
      </w:r>
      <w:r w:rsidRPr="008D34F9">
        <w:rPr>
          <w:rFonts w:ascii="Times New Roman" w:hAnsi="Times New Roman" w:cs="Times New Roman"/>
        </w:rPr>
        <w:t xml:space="preserve"> </w:t>
      </w:r>
      <w:r w:rsidR="5D841AFA" w:rsidRPr="008D34F9">
        <w:rPr>
          <w:rFonts w:ascii="Times New Roman" w:hAnsi="Times New Roman" w:cs="Times New Roman"/>
        </w:rPr>
        <w:t>85.11</w:t>
      </w:r>
      <w:r w:rsidRPr="008D34F9">
        <w:rPr>
          <w:rFonts w:ascii="Times New Roman" w:hAnsi="Times New Roman" w:cs="Times New Roman"/>
        </w:rPr>
        <w:t>% of the</w:t>
      </w:r>
      <w:r w:rsidR="00A872EB" w:rsidRPr="008D34F9">
        <w:rPr>
          <w:rFonts w:ascii="Times New Roman" w:hAnsi="Times New Roman" w:cs="Times New Roman"/>
        </w:rPr>
        <w:t xml:space="preserve"> employees</w:t>
      </w:r>
      <w:r w:rsidR="00981F9A" w:rsidRPr="008D34F9">
        <w:rPr>
          <w:rFonts w:ascii="Times New Roman" w:hAnsi="Times New Roman" w:cs="Times New Roman"/>
        </w:rPr>
        <w:t xml:space="preserve"> who left</w:t>
      </w:r>
      <w:r w:rsidR="00701D8C" w:rsidRPr="008D34F9">
        <w:rPr>
          <w:rFonts w:ascii="Times New Roman" w:hAnsi="Times New Roman" w:cs="Times New Roman"/>
        </w:rPr>
        <w:t>.</w:t>
      </w:r>
      <w:r w:rsidR="00BE38C6" w:rsidRPr="008D34F9">
        <w:rPr>
          <w:rFonts w:ascii="Times New Roman" w:hAnsi="Times New Roman" w:cs="Times New Roman"/>
        </w:rPr>
        <w:t xml:space="preserve"> The decision tree model had an overall accuracy of </w:t>
      </w:r>
      <w:r w:rsidR="695CDABB" w:rsidRPr="008D34F9">
        <w:rPr>
          <w:rFonts w:ascii="Times New Roman" w:hAnsi="Times New Roman" w:cs="Times New Roman"/>
        </w:rPr>
        <w:t>73.37</w:t>
      </w:r>
      <w:r w:rsidR="00BE38C6" w:rsidRPr="008D34F9">
        <w:rPr>
          <w:rFonts w:ascii="Times New Roman" w:hAnsi="Times New Roman" w:cs="Times New Roman"/>
        </w:rPr>
        <w:t xml:space="preserve">% and accurately predicted </w:t>
      </w:r>
      <w:r w:rsidR="63A57C30" w:rsidRPr="008D34F9">
        <w:rPr>
          <w:rFonts w:ascii="Times New Roman" w:hAnsi="Times New Roman" w:cs="Times New Roman"/>
        </w:rPr>
        <w:t>61.70</w:t>
      </w:r>
      <w:r w:rsidR="00BE38C6" w:rsidRPr="008D34F9">
        <w:rPr>
          <w:rFonts w:ascii="Times New Roman" w:hAnsi="Times New Roman" w:cs="Times New Roman"/>
        </w:rPr>
        <w:t>% of the employees who left</w:t>
      </w:r>
      <w:r w:rsidRPr="008D34F9">
        <w:rPr>
          <w:rFonts w:ascii="Times New Roman" w:hAnsi="Times New Roman" w:cs="Times New Roman"/>
        </w:rPr>
        <w:t>.</w:t>
      </w:r>
    </w:p>
    <w:p w14:paraId="27C8A01B" w14:textId="77777777" w:rsidR="00EE5C43" w:rsidRPr="008D34F9" w:rsidRDefault="00EE5C43" w:rsidP="006F1CC1">
      <w:pPr>
        <w:rPr>
          <w:rFonts w:ascii="Times New Roman" w:hAnsi="Times New Roman" w:cs="Times New Roman"/>
        </w:rPr>
      </w:pPr>
    </w:p>
    <w:p w14:paraId="56B2EF51" w14:textId="77777777" w:rsidR="005B566B" w:rsidRPr="00CC3D83" w:rsidRDefault="00000000" w:rsidP="005B566B">
      <w:pPr>
        <w:rPr>
          <w:rFonts w:ascii="Times New Roman" w:hAnsi="Times New Roman" w:cs="Times New Roman"/>
        </w:rPr>
      </w:pPr>
      <w:r w:rsidRPr="008D34F9">
        <w:rPr>
          <w:rFonts w:ascii="Times New Roman" w:hAnsi="Times New Roman" w:cs="Times New Roman"/>
        </w:rPr>
        <w:t xml:space="preserve">The </w:t>
      </w:r>
      <w:r w:rsidR="002F44EC">
        <w:rPr>
          <w:rFonts w:ascii="Times New Roman" w:hAnsi="Times New Roman" w:cs="Times New Roman"/>
        </w:rPr>
        <w:t>logistic regression model performed best</w:t>
      </w:r>
      <w:r w:rsidR="00331AF1" w:rsidRPr="008D34F9">
        <w:rPr>
          <w:rFonts w:ascii="Times New Roman" w:hAnsi="Times New Roman" w:cs="Times New Roman"/>
        </w:rPr>
        <w:t xml:space="preserve">. </w:t>
      </w:r>
      <w:r w:rsidRPr="00CC3D83">
        <w:rPr>
          <w:rFonts w:ascii="Times New Roman" w:hAnsi="Times New Roman" w:cs="Times New Roman"/>
        </w:rPr>
        <w:t xml:space="preserve">The final model performance and net cost savings are summarized in </w:t>
      </w:r>
      <w:r w:rsidRPr="00CC3D83">
        <w:rPr>
          <w:rFonts w:ascii="Times New Roman" w:hAnsi="Times New Roman" w:cs="Times New Roman"/>
        </w:rPr>
        <w:fldChar w:fldCharType="begin"/>
      </w:r>
      <w:r w:rsidRPr="00CC3D83">
        <w:rPr>
          <w:rFonts w:ascii="Times New Roman" w:hAnsi="Times New Roman" w:cs="Times New Roman"/>
        </w:rPr>
        <w:instrText xml:space="preserve"> REF _Ref173510937 \h </w:instrText>
      </w:r>
      <w:r w:rsidR="00CC3D83">
        <w:rPr>
          <w:rFonts w:ascii="Times New Roman" w:hAnsi="Times New Roman" w:cs="Times New Roman"/>
        </w:rPr>
        <w:instrText xml:space="preserve"> \* MERGEFORMAT </w:instrText>
      </w:r>
      <w:r w:rsidRPr="00CC3D83">
        <w:rPr>
          <w:rFonts w:ascii="Times New Roman" w:hAnsi="Times New Roman" w:cs="Times New Roman"/>
        </w:rPr>
      </w:r>
      <w:r w:rsidRPr="00CC3D83">
        <w:rPr>
          <w:rFonts w:ascii="Times New Roman" w:hAnsi="Times New Roman" w:cs="Times New Roman"/>
        </w:rPr>
        <w:fldChar w:fldCharType="separate"/>
      </w:r>
      <w:r w:rsidRPr="00CC3D83">
        <w:rPr>
          <w:rFonts w:ascii="Times New Roman" w:hAnsi="Times New Roman" w:cs="Times New Roman"/>
        </w:rPr>
        <w:t>Table 1</w:t>
      </w:r>
      <w:r w:rsidRPr="00CC3D83">
        <w:rPr>
          <w:rFonts w:ascii="Times New Roman" w:hAnsi="Times New Roman" w:cs="Times New Roman"/>
        </w:rPr>
        <w:fldChar w:fldCharType="end"/>
      </w:r>
      <w:r w:rsidRPr="00CC3D83">
        <w:rPr>
          <w:rFonts w:ascii="Times New Roman" w:hAnsi="Times New Roman" w:cs="Times New Roman"/>
        </w:rPr>
        <w:t>.</w:t>
      </w:r>
    </w:p>
    <w:p w14:paraId="2993E984" w14:textId="77777777" w:rsidR="005B566B" w:rsidRDefault="005B566B" w:rsidP="005B566B"/>
    <w:p w14:paraId="2A7246CB" w14:textId="77777777" w:rsidR="005B566B" w:rsidRDefault="00000000" w:rsidP="005B566B">
      <w:pPr>
        <w:pStyle w:val="Caption"/>
        <w:keepNext/>
      </w:pPr>
      <w:bookmarkStart w:id="1" w:name="_Ref173510937"/>
      <w:r>
        <w:t xml:space="preserve">Table </w:t>
      </w:r>
      <w:r>
        <w:fldChar w:fldCharType="begin"/>
      </w:r>
      <w:r>
        <w:instrText xml:space="preserve"> SEQ Table \* ARABIC </w:instrText>
      </w:r>
      <w:r>
        <w:fldChar w:fldCharType="separate"/>
      </w:r>
      <w:r>
        <w:rPr>
          <w:noProof/>
        </w:rPr>
        <w:t>1</w:t>
      </w:r>
      <w:r>
        <w:fldChar w:fldCharType="end"/>
      </w:r>
      <w:bookmarkEnd w:id="1"/>
      <w:r>
        <w:t>. Final Model Performance</w:t>
      </w:r>
    </w:p>
    <w:tbl>
      <w:tblPr>
        <w:tblStyle w:val="PlainTable2"/>
        <w:tblW w:w="0" w:type="auto"/>
        <w:tblLook w:val="04A0" w:firstRow="1" w:lastRow="0" w:firstColumn="1" w:lastColumn="0" w:noHBand="0" w:noVBand="1"/>
      </w:tblPr>
      <w:tblGrid>
        <w:gridCol w:w="1104"/>
        <w:gridCol w:w="2480"/>
        <w:gridCol w:w="2480"/>
        <w:gridCol w:w="2481"/>
      </w:tblGrid>
      <w:tr w:rsidR="00AA7941" w14:paraId="2C64FCD5" w14:textId="77777777" w:rsidTr="00AA794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104" w:type="dxa"/>
          </w:tcPr>
          <w:p w14:paraId="7D12AB6A" w14:textId="77777777" w:rsidR="005B566B" w:rsidRPr="005B566B" w:rsidRDefault="00000000" w:rsidP="009F52C7">
            <w:pPr>
              <w:jc w:val="center"/>
            </w:pPr>
            <w:r w:rsidRPr="005B566B">
              <w:t>Model</w:t>
            </w:r>
          </w:p>
        </w:tc>
        <w:tc>
          <w:tcPr>
            <w:tcW w:w="2480" w:type="dxa"/>
          </w:tcPr>
          <w:p w14:paraId="50470143" w14:textId="77777777" w:rsidR="005B566B" w:rsidRPr="005B566B" w:rsidRDefault="00000000" w:rsidP="009F52C7">
            <w:pPr>
              <w:cnfStyle w:val="100000000000" w:firstRow="1" w:lastRow="0" w:firstColumn="0" w:lastColumn="0" w:oddVBand="0" w:evenVBand="0" w:oddHBand="0" w:evenHBand="0" w:firstRowFirstColumn="0" w:firstRowLastColumn="0" w:lastRowFirstColumn="0" w:lastRowLastColumn="0"/>
            </w:pPr>
            <w:r w:rsidRPr="005B566B">
              <w:t>Type</w:t>
            </w:r>
          </w:p>
        </w:tc>
        <w:tc>
          <w:tcPr>
            <w:tcW w:w="2480" w:type="dxa"/>
          </w:tcPr>
          <w:p w14:paraId="4F0835A4" w14:textId="77777777" w:rsidR="005B566B" w:rsidRPr="005B566B" w:rsidRDefault="00000000" w:rsidP="009F52C7">
            <w:pPr>
              <w:cnfStyle w:val="100000000000" w:firstRow="1" w:lastRow="0" w:firstColumn="0" w:lastColumn="0" w:oddVBand="0" w:evenVBand="0" w:oddHBand="0" w:evenHBand="0" w:firstRowFirstColumn="0" w:firstRowLastColumn="0" w:lastRowFirstColumn="0" w:lastRowLastColumn="0"/>
            </w:pPr>
            <w:r w:rsidRPr="005B566B">
              <w:t>Balanced Accuracy</w:t>
            </w:r>
          </w:p>
        </w:tc>
        <w:tc>
          <w:tcPr>
            <w:tcW w:w="2481" w:type="dxa"/>
          </w:tcPr>
          <w:p w14:paraId="08FEA74D" w14:textId="77777777" w:rsidR="005B566B" w:rsidRPr="005B566B" w:rsidRDefault="00000000" w:rsidP="009F52C7">
            <w:pPr>
              <w:cnfStyle w:val="100000000000" w:firstRow="1" w:lastRow="0" w:firstColumn="0" w:lastColumn="0" w:oddVBand="0" w:evenVBand="0" w:oddHBand="0" w:evenHBand="0" w:firstRowFirstColumn="0" w:firstRowLastColumn="0" w:lastRowFirstColumn="0" w:lastRowLastColumn="0"/>
            </w:pPr>
            <w:r w:rsidRPr="005B566B">
              <w:t>Net Savings</w:t>
            </w:r>
          </w:p>
        </w:tc>
      </w:tr>
      <w:tr w:rsidR="00AA7941" w14:paraId="2F4CB206" w14:textId="77777777" w:rsidTr="00AA794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104" w:type="dxa"/>
          </w:tcPr>
          <w:p w14:paraId="39443246" w14:textId="77777777" w:rsidR="005B566B" w:rsidRPr="005B566B" w:rsidRDefault="00000000" w:rsidP="009F52C7">
            <w:pPr>
              <w:jc w:val="center"/>
            </w:pPr>
            <w:r w:rsidRPr="005B566B">
              <w:rPr>
                <w:b w:val="0"/>
                <w:bCs w:val="0"/>
              </w:rPr>
              <w:t>1</w:t>
            </w:r>
          </w:p>
        </w:tc>
        <w:tc>
          <w:tcPr>
            <w:tcW w:w="2480" w:type="dxa"/>
          </w:tcPr>
          <w:p w14:paraId="0849786E" w14:textId="77777777" w:rsidR="005B566B" w:rsidRDefault="00000000" w:rsidP="009F52C7">
            <w:pPr>
              <w:cnfStyle w:val="000000100000" w:firstRow="0" w:lastRow="0" w:firstColumn="0" w:lastColumn="0" w:oddVBand="0" w:evenVBand="0" w:oddHBand="1" w:evenHBand="0" w:firstRowFirstColumn="0" w:firstRowLastColumn="0" w:lastRowFirstColumn="0" w:lastRowLastColumn="0"/>
            </w:pPr>
            <w:r>
              <w:t>Logistic Regression</w:t>
            </w:r>
          </w:p>
        </w:tc>
        <w:tc>
          <w:tcPr>
            <w:tcW w:w="2480" w:type="dxa"/>
          </w:tcPr>
          <w:p w14:paraId="059DD501" w14:textId="77777777" w:rsidR="005B566B" w:rsidRDefault="00000000" w:rsidP="009F52C7">
            <w:pPr>
              <w:cnfStyle w:val="000000100000" w:firstRow="0" w:lastRow="0" w:firstColumn="0" w:lastColumn="0" w:oddVBand="0" w:evenVBand="0" w:oddHBand="1" w:evenHBand="0" w:firstRowFirstColumn="0" w:firstRowLastColumn="0" w:lastRowFirstColumn="0" w:lastRowLastColumn="0"/>
            </w:pPr>
            <w:r>
              <w:t>0.77</w:t>
            </w:r>
          </w:p>
        </w:tc>
        <w:tc>
          <w:tcPr>
            <w:tcW w:w="2481" w:type="dxa"/>
            <w:shd w:val="clear" w:color="auto" w:fill="auto"/>
          </w:tcPr>
          <w:p w14:paraId="13012DF4" w14:textId="77777777" w:rsidR="005B566B" w:rsidRPr="005A5087" w:rsidRDefault="00000000" w:rsidP="009F52C7">
            <w:pPr>
              <w:cnfStyle w:val="000000100000" w:firstRow="0" w:lastRow="0" w:firstColumn="0" w:lastColumn="0" w:oddVBand="0" w:evenVBand="0" w:oddHBand="1" w:evenHBand="0" w:firstRowFirstColumn="0" w:firstRowLastColumn="0" w:lastRowFirstColumn="0" w:lastRowLastColumn="0"/>
            </w:pPr>
            <w:r w:rsidRPr="005A5087">
              <w:t>$4</w:t>
            </w:r>
            <w:r w:rsidR="00853F6F" w:rsidRPr="005A5087">
              <w:t>,09</w:t>
            </w:r>
            <w:r w:rsidR="005A5087" w:rsidRPr="005A5087">
              <w:t>6,838</w:t>
            </w:r>
          </w:p>
        </w:tc>
      </w:tr>
      <w:tr w:rsidR="00AA7941" w14:paraId="3A825CAD" w14:textId="77777777" w:rsidTr="00AA7941">
        <w:trPr>
          <w:trHeight w:val="329"/>
        </w:trPr>
        <w:tc>
          <w:tcPr>
            <w:cnfStyle w:val="001000000000" w:firstRow="0" w:lastRow="0" w:firstColumn="1" w:lastColumn="0" w:oddVBand="0" w:evenVBand="0" w:oddHBand="0" w:evenHBand="0" w:firstRowFirstColumn="0" w:firstRowLastColumn="0" w:lastRowFirstColumn="0" w:lastRowLastColumn="0"/>
            <w:tcW w:w="1104" w:type="dxa"/>
          </w:tcPr>
          <w:p w14:paraId="2C56557D" w14:textId="77777777" w:rsidR="005B566B" w:rsidRPr="005B566B" w:rsidRDefault="00000000" w:rsidP="009F52C7">
            <w:pPr>
              <w:jc w:val="center"/>
            </w:pPr>
            <w:r w:rsidRPr="005B566B">
              <w:rPr>
                <w:b w:val="0"/>
                <w:bCs w:val="0"/>
              </w:rPr>
              <w:t>2</w:t>
            </w:r>
          </w:p>
        </w:tc>
        <w:tc>
          <w:tcPr>
            <w:tcW w:w="2480" w:type="dxa"/>
          </w:tcPr>
          <w:p w14:paraId="071A76ED" w14:textId="77777777" w:rsidR="005B566B" w:rsidRDefault="00000000" w:rsidP="009F52C7">
            <w:pPr>
              <w:cnfStyle w:val="000000000000" w:firstRow="0" w:lastRow="0" w:firstColumn="0" w:lastColumn="0" w:oddVBand="0" w:evenVBand="0" w:oddHBand="0" w:evenHBand="0" w:firstRowFirstColumn="0" w:firstRowLastColumn="0" w:lastRowFirstColumn="0" w:lastRowLastColumn="0"/>
            </w:pPr>
            <w:r>
              <w:t>Decision Tree</w:t>
            </w:r>
          </w:p>
        </w:tc>
        <w:tc>
          <w:tcPr>
            <w:tcW w:w="2480" w:type="dxa"/>
          </w:tcPr>
          <w:p w14:paraId="1D5125C3" w14:textId="77777777" w:rsidR="005B566B" w:rsidRDefault="00000000" w:rsidP="009F52C7">
            <w:pPr>
              <w:cnfStyle w:val="000000000000" w:firstRow="0" w:lastRow="0" w:firstColumn="0" w:lastColumn="0" w:oddVBand="0" w:evenVBand="0" w:oddHBand="0" w:evenHBand="0" w:firstRowFirstColumn="0" w:firstRowLastColumn="0" w:lastRowFirstColumn="0" w:lastRowLastColumn="0"/>
            </w:pPr>
            <w:r>
              <w:t>0.69</w:t>
            </w:r>
          </w:p>
        </w:tc>
        <w:tc>
          <w:tcPr>
            <w:tcW w:w="2481" w:type="dxa"/>
            <w:shd w:val="clear" w:color="auto" w:fill="auto"/>
          </w:tcPr>
          <w:p w14:paraId="4D225E24" w14:textId="77777777" w:rsidR="005B566B" w:rsidRPr="005A5087" w:rsidRDefault="00000000" w:rsidP="009F52C7">
            <w:pPr>
              <w:cnfStyle w:val="000000000000" w:firstRow="0" w:lastRow="0" w:firstColumn="0" w:lastColumn="0" w:oddVBand="0" w:evenVBand="0" w:oddHBand="0" w:evenHBand="0" w:firstRowFirstColumn="0" w:firstRowLastColumn="0" w:lastRowFirstColumn="0" w:lastRowLastColumn="0"/>
            </w:pPr>
            <w:r w:rsidRPr="005A5087">
              <w:t>$</w:t>
            </w:r>
            <w:r w:rsidR="006D1D56" w:rsidRPr="005A5087">
              <w:t>2</w:t>
            </w:r>
            <w:r w:rsidR="00853F6F" w:rsidRPr="005A5087">
              <w:t>,</w:t>
            </w:r>
            <w:r w:rsidR="0058557E" w:rsidRPr="005A5087">
              <w:t>926</w:t>
            </w:r>
            <w:r w:rsidR="00853F6F" w:rsidRPr="005A5087">
              <w:t>,</w:t>
            </w:r>
            <w:r w:rsidR="0058557E" w:rsidRPr="005A5087">
              <w:t>3</w:t>
            </w:r>
            <w:r w:rsidR="00853F6F" w:rsidRPr="005A5087">
              <w:t>12</w:t>
            </w:r>
          </w:p>
        </w:tc>
      </w:tr>
    </w:tbl>
    <w:p w14:paraId="362A2B45" w14:textId="77777777" w:rsidR="005B566B" w:rsidRDefault="005B566B" w:rsidP="006F1CC1">
      <w:pPr>
        <w:rPr>
          <w:rFonts w:ascii="Times New Roman" w:hAnsi="Times New Roman" w:cs="Times New Roman"/>
        </w:rPr>
      </w:pPr>
    </w:p>
    <w:p w14:paraId="0ACAC86B" w14:textId="77777777" w:rsidR="00E210F5" w:rsidRPr="00DC00BE" w:rsidRDefault="00000000" w:rsidP="006F1CC1">
      <w:pPr>
        <w:rPr>
          <w:rFonts w:ascii="Times New Roman" w:hAnsi="Times New Roman" w:cs="Times New Roman"/>
        </w:rPr>
      </w:pPr>
      <w:r w:rsidRPr="008D34F9">
        <w:rPr>
          <w:rFonts w:ascii="Times New Roman" w:hAnsi="Times New Roman" w:cs="Times New Roman"/>
        </w:rPr>
        <w:t>Although it had a lower/similar sensitivity to the decision tree model, it predicted 85.11% of high-risk employees. The average employee salary for all employees was $78,053. Assuming an attrition cost of 150% of salary and a retention cost of 10%, the final model would have saved this hypothetical company approximately $4</w:t>
      </w:r>
      <w:r w:rsidR="00607050">
        <w:rPr>
          <w:rFonts w:ascii="Times New Roman" w:hAnsi="Times New Roman" w:cs="Times New Roman"/>
        </w:rPr>
        <w:t>.1</w:t>
      </w:r>
      <w:r w:rsidRPr="008D34F9">
        <w:rPr>
          <w:rFonts w:ascii="Times New Roman" w:hAnsi="Times New Roman" w:cs="Times New Roman"/>
        </w:rPr>
        <w:t xml:space="preserve"> million.</w:t>
      </w:r>
      <w:r>
        <w:rPr>
          <w:rFonts w:ascii="Times New Roman" w:hAnsi="Times New Roman" w:cs="Times New Roman"/>
        </w:rPr>
        <w:t xml:space="preserve">     </w:t>
      </w:r>
    </w:p>
    <w:p w14:paraId="207755E3" w14:textId="77777777" w:rsidR="00216552" w:rsidRDefault="00216552" w:rsidP="006F1CC1">
      <w:pPr>
        <w:rPr>
          <w:rFonts w:ascii="Times New Roman" w:hAnsi="Times New Roman" w:cs="Times New Roman"/>
          <w:b/>
          <w:bCs/>
          <w:sz w:val="32"/>
          <w:szCs w:val="32"/>
        </w:rPr>
      </w:pPr>
    </w:p>
    <w:p w14:paraId="1D26B4F7" w14:textId="77777777" w:rsidR="004772AC" w:rsidRPr="00B85689" w:rsidRDefault="00000000" w:rsidP="00B85689">
      <w:pPr>
        <w:pStyle w:val="Heading1"/>
        <w:rPr>
          <w:rFonts w:ascii="Times New Roman" w:hAnsi="Times New Roman" w:cs="Times New Roman"/>
        </w:rPr>
      </w:pPr>
      <w:r w:rsidRPr="00B85689">
        <w:rPr>
          <w:rFonts w:ascii="Times New Roman" w:hAnsi="Times New Roman" w:cs="Times New Roman"/>
        </w:rPr>
        <w:t>Description of Analysis</w:t>
      </w:r>
    </w:p>
    <w:p w14:paraId="70F936DA" w14:textId="77777777" w:rsidR="00FF5507" w:rsidRDefault="00FF5507" w:rsidP="006F1CC1">
      <w:pPr>
        <w:rPr>
          <w:rFonts w:ascii="Times New Roman" w:hAnsi="Times New Roman" w:cs="Times New Roman"/>
          <w:sz w:val="32"/>
          <w:szCs w:val="32"/>
        </w:rPr>
      </w:pPr>
    </w:p>
    <w:p w14:paraId="23BA4235" w14:textId="77777777" w:rsidR="00804CB9" w:rsidRPr="00B85689" w:rsidRDefault="00000000" w:rsidP="00B85689">
      <w:pPr>
        <w:pStyle w:val="Heading2"/>
        <w:rPr>
          <w:rFonts w:ascii="Times New Roman" w:hAnsi="Times New Roman" w:cs="Times New Roman"/>
        </w:rPr>
      </w:pPr>
      <w:r w:rsidRPr="00B85689">
        <w:rPr>
          <w:rFonts w:ascii="Times New Roman" w:hAnsi="Times New Roman" w:cs="Times New Roman"/>
        </w:rPr>
        <w:t>Data Preparation</w:t>
      </w:r>
    </w:p>
    <w:p w14:paraId="3B8AAC38" w14:textId="77777777" w:rsidR="00804CB9" w:rsidRDefault="00804CB9" w:rsidP="00804CB9"/>
    <w:p w14:paraId="51FDA653" w14:textId="77777777" w:rsidR="00B267AB" w:rsidRPr="00B85689" w:rsidRDefault="00000000" w:rsidP="00B267AB">
      <w:pPr>
        <w:rPr>
          <w:rFonts w:ascii="Times New Roman" w:hAnsi="Times New Roman" w:cs="Times New Roman"/>
        </w:rPr>
      </w:pPr>
      <w:r w:rsidRPr="3EBF6BBB">
        <w:rPr>
          <w:rFonts w:ascii="Times New Roman" w:hAnsi="Times New Roman" w:cs="Times New Roman"/>
        </w:rPr>
        <w:t>The models were developed using a fictional dataset created by IBM that contains information (35 attributes) on 1,470 employees</w:t>
      </w:r>
      <w:r w:rsidR="001A4102">
        <w:rPr>
          <w:rFonts w:ascii="Times New Roman" w:hAnsi="Times New Roman" w:cs="Times New Roman"/>
        </w:rPr>
        <w:t>, including whether they left their positions</w:t>
      </w:r>
      <w:r w:rsidRPr="3EBF6BBB">
        <w:rPr>
          <w:rFonts w:ascii="Times New Roman" w:hAnsi="Times New Roman" w:cs="Times New Roman"/>
        </w:rPr>
        <w:t xml:space="preserve"> (Attrition = Yes if they left, No otherwise).</w:t>
      </w:r>
      <w:r w:rsidR="72021843" w:rsidRPr="3EBF6BBB">
        <w:rPr>
          <w:rFonts w:ascii="Times New Roman" w:hAnsi="Times New Roman" w:cs="Times New Roman"/>
        </w:rPr>
        <w:t xml:space="preserve"> The first step was to import the data, encode variables</w:t>
      </w:r>
      <w:r w:rsidR="0176574A" w:rsidRPr="3EBF6BBB">
        <w:rPr>
          <w:rFonts w:ascii="Times New Roman" w:hAnsi="Times New Roman" w:cs="Times New Roman"/>
        </w:rPr>
        <w:t xml:space="preserve">, and drop variables with no predictive value. </w:t>
      </w:r>
      <w:r w:rsidR="6DA4FE9B" w:rsidRPr="3EBF6BBB">
        <w:rPr>
          <w:rFonts w:ascii="Times New Roman" w:hAnsi="Times New Roman" w:cs="Times New Roman"/>
        </w:rPr>
        <w:t>Once data transformation was complete, t</w:t>
      </w:r>
      <w:r w:rsidR="74EA2EC0" w:rsidRPr="3EBF6BBB">
        <w:rPr>
          <w:rFonts w:ascii="Times New Roman" w:hAnsi="Times New Roman" w:cs="Times New Roman"/>
        </w:rPr>
        <w:t xml:space="preserve">he data was </w:t>
      </w:r>
      <w:r w:rsidR="6DA4FE9B" w:rsidRPr="3EBF6BBB">
        <w:rPr>
          <w:rFonts w:ascii="Times New Roman" w:hAnsi="Times New Roman" w:cs="Times New Roman"/>
        </w:rPr>
        <w:t xml:space="preserve">then </w:t>
      </w:r>
      <w:r w:rsidR="74EA2EC0" w:rsidRPr="3EBF6BBB">
        <w:rPr>
          <w:rFonts w:ascii="Times New Roman" w:hAnsi="Times New Roman" w:cs="Times New Roman"/>
        </w:rPr>
        <w:t>split</w:t>
      </w:r>
      <w:r w:rsidR="5B315530" w:rsidRPr="3EBF6BBB">
        <w:rPr>
          <w:rFonts w:ascii="Times New Roman" w:hAnsi="Times New Roman" w:cs="Times New Roman"/>
        </w:rPr>
        <w:t>,</w:t>
      </w:r>
      <w:r w:rsidR="74EA2EC0" w:rsidRPr="3EBF6BBB">
        <w:rPr>
          <w:rFonts w:ascii="Times New Roman" w:hAnsi="Times New Roman" w:cs="Times New Roman"/>
        </w:rPr>
        <w:t xml:space="preserve"> </w:t>
      </w:r>
      <w:r w:rsidR="6DA4FE9B" w:rsidRPr="3EBF6BBB">
        <w:rPr>
          <w:rFonts w:ascii="Times New Roman" w:hAnsi="Times New Roman" w:cs="Times New Roman"/>
        </w:rPr>
        <w:t>80</w:t>
      </w:r>
      <w:r w:rsidR="5B315530" w:rsidRPr="3EBF6BBB">
        <w:rPr>
          <w:rFonts w:ascii="Times New Roman" w:hAnsi="Times New Roman" w:cs="Times New Roman"/>
        </w:rPr>
        <w:t>/</w:t>
      </w:r>
      <w:r w:rsidR="6DA4FE9B" w:rsidRPr="3EBF6BBB">
        <w:rPr>
          <w:rFonts w:ascii="Times New Roman" w:hAnsi="Times New Roman" w:cs="Times New Roman"/>
        </w:rPr>
        <w:t>20</w:t>
      </w:r>
      <w:r w:rsidR="5B315530" w:rsidRPr="3EBF6BBB">
        <w:rPr>
          <w:rFonts w:ascii="Times New Roman" w:hAnsi="Times New Roman" w:cs="Times New Roman"/>
        </w:rPr>
        <w:t xml:space="preserve">, </w:t>
      </w:r>
      <w:r w:rsidR="74EA2EC0" w:rsidRPr="3EBF6BBB">
        <w:rPr>
          <w:rFonts w:ascii="Times New Roman" w:hAnsi="Times New Roman" w:cs="Times New Roman"/>
        </w:rPr>
        <w:t>into a</w:t>
      </w:r>
      <w:r w:rsidR="6DA4FE9B" w:rsidRPr="3EBF6BBB">
        <w:rPr>
          <w:rFonts w:ascii="Times New Roman" w:hAnsi="Times New Roman" w:cs="Times New Roman"/>
        </w:rPr>
        <w:t xml:space="preserve"> training and validation </w:t>
      </w:r>
      <w:r w:rsidR="74EA2EC0" w:rsidRPr="3EBF6BBB">
        <w:rPr>
          <w:rFonts w:ascii="Times New Roman" w:hAnsi="Times New Roman" w:cs="Times New Roman"/>
        </w:rPr>
        <w:t>set</w:t>
      </w:r>
      <w:r w:rsidR="6DA4FE9B" w:rsidRPr="3EBF6BBB">
        <w:rPr>
          <w:rFonts w:ascii="Times New Roman" w:hAnsi="Times New Roman" w:cs="Times New Roman"/>
        </w:rPr>
        <w:t>.</w:t>
      </w:r>
      <w:r w:rsidR="5B315530" w:rsidRPr="3EBF6BBB">
        <w:rPr>
          <w:rFonts w:ascii="Times New Roman" w:hAnsi="Times New Roman" w:cs="Times New Roman"/>
        </w:rPr>
        <w:t xml:space="preserve"> Due to the class imbalance, </w:t>
      </w:r>
      <w:r w:rsidR="34E698D9" w:rsidRPr="3EBF6BBB">
        <w:rPr>
          <w:rFonts w:ascii="Times New Roman" w:hAnsi="Times New Roman" w:cs="Times New Roman"/>
        </w:rPr>
        <w:t>special care was</w:t>
      </w:r>
      <w:r w:rsidR="0F64D22D" w:rsidRPr="3EBF6BBB">
        <w:rPr>
          <w:rFonts w:ascii="Times New Roman" w:hAnsi="Times New Roman" w:cs="Times New Roman"/>
        </w:rPr>
        <w:t xml:space="preserve"> taken to ensure </w:t>
      </w:r>
      <w:r w:rsidR="767F34BD" w:rsidRPr="3EBF6BBB">
        <w:rPr>
          <w:rFonts w:ascii="Times New Roman" w:hAnsi="Times New Roman" w:cs="Times New Roman"/>
        </w:rPr>
        <w:t xml:space="preserve">sufficient </w:t>
      </w:r>
      <w:r w:rsidR="0F64D22D" w:rsidRPr="3EBF6BBB">
        <w:rPr>
          <w:rFonts w:ascii="Times New Roman" w:hAnsi="Times New Roman" w:cs="Times New Roman"/>
        </w:rPr>
        <w:t>“Yes” values were present in both sets for proper analysis.</w:t>
      </w:r>
      <w:r w:rsidR="34E698D9" w:rsidRPr="3EBF6BBB">
        <w:rPr>
          <w:rFonts w:ascii="Times New Roman" w:hAnsi="Times New Roman" w:cs="Times New Roman"/>
        </w:rPr>
        <w:t xml:space="preserve"> </w:t>
      </w:r>
      <w:r w:rsidR="7AFCBA1B" w:rsidRPr="3EBF6BBB">
        <w:rPr>
          <w:rFonts w:ascii="Times New Roman" w:hAnsi="Times New Roman" w:cs="Times New Roman"/>
        </w:rPr>
        <w:t xml:space="preserve"> </w:t>
      </w:r>
      <w:r w:rsidR="6DA4FE9B" w:rsidRPr="3EBF6BBB">
        <w:rPr>
          <w:rFonts w:ascii="Times New Roman" w:hAnsi="Times New Roman" w:cs="Times New Roman"/>
        </w:rPr>
        <w:t xml:space="preserve"> </w:t>
      </w:r>
    </w:p>
    <w:p w14:paraId="0AE2B105" w14:textId="77777777" w:rsidR="00B267AB" w:rsidRDefault="00000000" w:rsidP="3EBF6BBB">
      <w:pPr>
        <w:pStyle w:val="Heading2"/>
        <w:rPr>
          <w:rFonts w:ascii="Times New Roman" w:eastAsia="Times New Roman" w:hAnsi="Times New Roman" w:cs="Times New Roman"/>
        </w:rPr>
      </w:pPr>
      <w:r w:rsidRPr="00D00F42">
        <w:rPr>
          <w:rFonts w:ascii="Times New Roman" w:eastAsia="Times New Roman" w:hAnsi="Times New Roman" w:cs="Times New Roman"/>
        </w:rPr>
        <w:t xml:space="preserve">Descriptive Statistics &amp; Visualizations </w:t>
      </w:r>
    </w:p>
    <w:p w14:paraId="35ADD1C0" w14:textId="77777777" w:rsidR="00B267AB" w:rsidRDefault="00000000" w:rsidP="3EBF6BBB">
      <w:pPr>
        <w:rPr>
          <w:rFonts w:ascii="Times New Roman" w:eastAsia="Times New Roman" w:hAnsi="Times New Roman" w:cs="Times New Roman"/>
        </w:rPr>
      </w:pPr>
      <w:r w:rsidRPr="3EBF6BBB">
        <w:rPr>
          <w:rFonts w:ascii="Times New Roman" w:eastAsia="Times New Roman" w:hAnsi="Times New Roman" w:cs="Times New Roman"/>
        </w:rPr>
        <w:t xml:space="preserve">This section provides an overview of the dataset and explores various features that may influence employee attrition. Key variables include relationship satisfaction, job satisfaction, years in the current role, monthly income, job role, and overtime. The visualizations help </w:t>
      </w:r>
      <w:r w:rsidR="001A4102">
        <w:rPr>
          <w:rFonts w:ascii="Times New Roman" w:eastAsia="Times New Roman" w:hAnsi="Times New Roman" w:cs="Times New Roman"/>
        </w:rPr>
        <w:t>understand</w:t>
      </w:r>
      <w:r w:rsidRPr="3EBF6BBB">
        <w:rPr>
          <w:rFonts w:ascii="Times New Roman" w:eastAsia="Times New Roman" w:hAnsi="Times New Roman" w:cs="Times New Roman"/>
        </w:rPr>
        <w:t xml:space="preserve"> the factors contributing to employee attrition and identify potential areas for further investigation by </w:t>
      </w:r>
      <w:r w:rsidR="414BE10A" w:rsidRPr="3EBF6BBB">
        <w:rPr>
          <w:rFonts w:ascii="Times New Roman" w:eastAsia="Times New Roman" w:hAnsi="Times New Roman" w:cs="Times New Roman"/>
        </w:rPr>
        <w:t>h</w:t>
      </w:r>
      <w:r w:rsidR="1D6F8540" w:rsidRPr="3EBF6BBB">
        <w:rPr>
          <w:rFonts w:ascii="Times New Roman" w:eastAsia="Times New Roman" w:hAnsi="Times New Roman" w:cs="Times New Roman"/>
        </w:rPr>
        <w:t xml:space="preserve">uman </w:t>
      </w:r>
      <w:r w:rsidR="548B5AD0" w:rsidRPr="3EBF6BBB">
        <w:rPr>
          <w:rFonts w:ascii="Times New Roman" w:eastAsia="Times New Roman" w:hAnsi="Times New Roman" w:cs="Times New Roman"/>
        </w:rPr>
        <w:t>r</w:t>
      </w:r>
      <w:r w:rsidR="19FD62D9" w:rsidRPr="3EBF6BBB">
        <w:rPr>
          <w:rFonts w:ascii="Times New Roman" w:eastAsia="Times New Roman" w:hAnsi="Times New Roman" w:cs="Times New Roman"/>
        </w:rPr>
        <w:t xml:space="preserve">esources and </w:t>
      </w:r>
      <w:r w:rsidR="5BAF5DBF" w:rsidRPr="3EBF6BBB">
        <w:rPr>
          <w:rFonts w:ascii="Times New Roman" w:eastAsia="Times New Roman" w:hAnsi="Times New Roman" w:cs="Times New Roman"/>
        </w:rPr>
        <w:t>upper management</w:t>
      </w:r>
      <w:r w:rsidRPr="3EBF6BBB">
        <w:rPr>
          <w:rFonts w:ascii="Times New Roman" w:eastAsia="Times New Roman" w:hAnsi="Times New Roman" w:cs="Times New Roman"/>
        </w:rPr>
        <w:t>. By analyzing these variables, a more comprehensive predictive model for employee attrition can be developed.</w:t>
      </w:r>
    </w:p>
    <w:p w14:paraId="685490C8" w14:textId="77777777" w:rsidR="00B267AB" w:rsidRDefault="00B267AB" w:rsidP="3EBF6BBB">
      <w:pPr>
        <w:rPr>
          <w:rFonts w:ascii="Times New Roman" w:eastAsia="Times New Roman" w:hAnsi="Times New Roman" w:cs="Times New Roman"/>
        </w:rPr>
      </w:pPr>
    </w:p>
    <w:p w14:paraId="0F43474A" w14:textId="77777777" w:rsidR="00254949" w:rsidRDefault="00000000" w:rsidP="00254949">
      <w:pPr>
        <w:keepNext/>
      </w:pPr>
      <w:r>
        <w:rPr>
          <w:noProof/>
        </w:rPr>
        <w:lastRenderedPageBreak/>
        <w:drawing>
          <wp:inline distT="0" distB="0" distL="0" distR="0" wp14:anchorId="2842DF40" wp14:editId="287B5EF6">
            <wp:extent cx="4135162" cy="4042384"/>
            <wp:effectExtent l="0" t="0" r="0" b="0"/>
            <wp:docPr id="268310416" name="Picture 26831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10416" name="Picture 268310416"/>
                    <pic:cNvPicPr/>
                  </pic:nvPicPr>
                  <pic:blipFill>
                    <a:blip r:embed="rId9">
                      <a:extLst>
                        <a:ext uri="{28A0092B-C50C-407E-A947-70E740481C1C}">
                          <a14:useLocalDpi xmlns:a14="http://schemas.microsoft.com/office/drawing/2010/main" val="0"/>
                        </a:ext>
                      </a:extLst>
                    </a:blip>
                    <a:stretch>
                      <a:fillRect/>
                    </a:stretch>
                  </pic:blipFill>
                  <pic:spPr>
                    <a:xfrm>
                      <a:off x="0" y="0"/>
                      <a:ext cx="4135162" cy="4042384"/>
                    </a:xfrm>
                    <a:prstGeom prst="rect">
                      <a:avLst/>
                    </a:prstGeom>
                  </pic:spPr>
                </pic:pic>
              </a:graphicData>
            </a:graphic>
          </wp:inline>
        </w:drawing>
      </w:r>
    </w:p>
    <w:p w14:paraId="23129450" w14:textId="77777777" w:rsidR="003D5498" w:rsidRDefault="00000000" w:rsidP="00D00F42">
      <w:pPr>
        <w:pStyle w:val="Caption"/>
        <w:rPr>
          <w:rFonts w:ascii="Times New Roman" w:eastAsia="Times New Roman" w:hAnsi="Times New Roman" w:cs="Times New Roman"/>
        </w:rPr>
      </w:pPr>
      <w:bookmarkStart w:id="2" w:name="_Ref173764542"/>
      <w:r>
        <w:t xml:space="preserve">Figure </w:t>
      </w:r>
      <w:r>
        <w:rPr>
          <w:iCs w:val="0"/>
        </w:rPr>
        <w:fldChar w:fldCharType="begin"/>
      </w:r>
      <w:r>
        <w:instrText xml:space="preserve"> SEQ Figure \* ARABIC </w:instrText>
      </w:r>
      <w:r>
        <w:rPr>
          <w:iCs w:val="0"/>
        </w:rPr>
        <w:fldChar w:fldCharType="separate"/>
      </w:r>
      <w:r w:rsidR="00EA5E5E">
        <w:rPr>
          <w:noProof/>
        </w:rPr>
        <w:t>1</w:t>
      </w:r>
      <w:r>
        <w:rPr>
          <w:iCs w:val="0"/>
        </w:rPr>
        <w:fldChar w:fldCharType="end"/>
      </w:r>
      <w:bookmarkEnd w:id="2"/>
      <w:r>
        <w:t>: Attrition by Key Factors</w:t>
      </w:r>
    </w:p>
    <w:p w14:paraId="1AD07DE8" w14:textId="77777777" w:rsidR="009C1D80" w:rsidRDefault="009C1D80" w:rsidP="00D00F42">
      <w:pPr>
        <w:keepNext/>
      </w:pPr>
    </w:p>
    <w:p w14:paraId="4B7AF3A3" w14:textId="77777777" w:rsidR="00B267AB" w:rsidRDefault="00000000" w:rsidP="26A3D592">
      <w:pPr>
        <w:rPr>
          <w:rFonts w:ascii="Times New Roman" w:eastAsia="Times New Roman" w:hAnsi="Times New Roman" w:cs="Times New Roman"/>
        </w:rPr>
      </w:pPr>
      <w:r>
        <w:fldChar w:fldCharType="begin"/>
      </w:r>
      <w:r>
        <w:instrText xml:space="preserve"> REF _Ref173764542 \h </w:instrText>
      </w:r>
      <w:r>
        <w:fldChar w:fldCharType="separate"/>
      </w:r>
      <w:r w:rsidR="17A9833F">
        <w:t xml:space="preserve">Figure </w:t>
      </w:r>
      <w:r w:rsidR="17A9833F" w:rsidRPr="26A3D592">
        <w:rPr>
          <w:noProof/>
        </w:rPr>
        <w:t>1</w:t>
      </w:r>
      <w:r>
        <w:fldChar w:fldCharType="end"/>
      </w:r>
      <w:r w:rsidR="17A9833F">
        <w:t xml:space="preserve"> </w:t>
      </w:r>
      <w:r w:rsidR="6C3BBA72" w:rsidRPr="26A3D592">
        <w:rPr>
          <w:rFonts w:ascii="Times New Roman" w:eastAsia="Times New Roman" w:hAnsi="Times New Roman" w:cs="Times New Roman"/>
        </w:rPr>
        <w:t>i</w:t>
      </w:r>
      <w:r w:rsidR="67CB378E" w:rsidRPr="26A3D592">
        <w:rPr>
          <w:rFonts w:ascii="Times New Roman" w:eastAsia="Times New Roman" w:hAnsi="Times New Roman" w:cs="Times New Roman"/>
        </w:rPr>
        <w:t>nclude</w:t>
      </w:r>
      <w:r w:rsidR="6C3BBA72" w:rsidRPr="26A3D592">
        <w:rPr>
          <w:rFonts w:ascii="Times New Roman" w:eastAsia="Times New Roman" w:hAnsi="Times New Roman" w:cs="Times New Roman"/>
        </w:rPr>
        <w:t>s</w:t>
      </w:r>
      <w:r w:rsidR="67CB378E" w:rsidRPr="26A3D592">
        <w:rPr>
          <w:rFonts w:ascii="Times New Roman" w:eastAsia="Times New Roman" w:hAnsi="Times New Roman" w:cs="Times New Roman"/>
        </w:rPr>
        <w:t xml:space="preserve"> box plots and bar plots showing the distribution of years in the current role and monthly income for employees who left the company (Yes) versus those who stayed (No). It also illustrates the proportion of employees who left versus those who stayed by their job roles and whether they worked overtime. Employees who left </w:t>
      </w:r>
      <w:r w:rsidR="6925587F" w:rsidRPr="26A3D592">
        <w:rPr>
          <w:rFonts w:ascii="Times New Roman" w:eastAsia="Times New Roman" w:hAnsi="Times New Roman" w:cs="Times New Roman"/>
        </w:rPr>
        <w:t>had</w:t>
      </w:r>
      <w:r w:rsidR="67CB378E" w:rsidRPr="26A3D592">
        <w:rPr>
          <w:rFonts w:ascii="Times New Roman" w:eastAsia="Times New Roman" w:hAnsi="Times New Roman" w:cs="Times New Roman"/>
        </w:rPr>
        <w:t xml:space="preserve"> shorter tenures, lower monthly incomes, and certain job roles and overtime work correlated with higher attrition rates</w:t>
      </w:r>
      <w:r w:rsidR="785E56C0" w:rsidRPr="26A3D592">
        <w:rPr>
          <w:rFonts w:ascii="Times New Roman" w:eastAsia="Times New Roman" w:hAnsi="Times New Roman" w:cs="Times New Roman"/>
        </w:rPr>
        <w:t>.</w:t>
      </w:r>
    </w:p>
    <w:p w14:paraId="46E1A38F" w14:textId="77777777" w:rsidR="00B267AB" w:rsidRDefault="00B267AB" w:rsidP="00D00F42">
      <w:pPr>
        <w:rPr>
          <w:rFonts w:ascii="Times New Roman" w:eastAsia="Times New Roman" w:hAnsi="Times New Roman" w:cs="Times New Roman"/>
        </w:rPr>
      </w:pPr>
    </w:p>
    <w:p w14:paraId="594C7BA4" w14:textId="77777777" w:rsidR="00B267AB" w:rsidRDefault="00B267AB" w:rsidP="3EBF6BBB"/>
    <w:p w14:paraId="6630227C" w14:textId="77777777" w:rsidR="00102458" w:rsidRDefault="00000000" w:rsidP="00D00F42">
      <w:pPr>
        <w:keepNext/>
      </w:pPr>
      <w:r>
        <w:rPr>
          <w:noProof/>
        </w:rPr>
        <w:lastRenderedPageBreak/>
        <w:drawing>
          <wp:inline distT="0" distB="0" distL="0" distR="0" wp14:anchorId="1FF6CC80" wp14:editId="75CB2B46">
            <wp:extent cx="4591050" cy="4560149"/>
            <wp:effectExtent l="0" t="0" r="0" b="0"/>
            <wp:docPr id="542629222" name="Picture 1" descr="A group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29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1050" cy="4560149"/>
                    </a:xfrm>
                    <a:prstGeom prst="rect">
                      <a:avLst/>
                    </a:prstGeom>
                  </pic:spPr>
                </pic:pic>
              </a:graphicData>
            </a:graphic>
          </wp:inline>
        </w:drawing>
      </w:r>
    </w:p>
    <w:p w14:paraId="5FA7DC11" w14:textId="77777777" w:rsidR="00D729CA" w:rsidRDefault="00000000" w:rsidP="00EA5E5E">
      <w:pPr>
        <w:pStyle w:val="Caption"/>
      </w:pPr>
      <w:bookmarkStart w:id="3" w:name="_Ref173764656"/>
      <w:r>
        <w:t xml:space="preserve">Figure </w:t>
      </w:r>
      <w:r>
        <w:fldChar w:fldCharType="begin"/>
      </w:r>
      <w:r>
        <w:instrText xml:space="preserve"> SEQ Figure \* ARABIC </w:instrText>
      </w:r>
      <w:r>
        <w:fldChar w:fldCharType="separate"/>
      </w:r>
      <w:r w:rsidR="00EA5E5E">
        <w:rPr>
          <w:noProof/>
        </w:rPr>
        <w:t>2</w:t>
      </w:r>
      <w:r>
        <w:fldChar w:fldCharType="end"/>
      </w:r>
      <w:bookmarkEnd w:id="3"/>
      <w:r>
        <w:t>: Attrition by Key Factors Continued</w:t>
      </w:r>
    </w:p>
    <w:p w14:paraId="45B25D07" w14:textId="77777777" w:rsidR="3EBF6BBB" w:rsidRDefault="3EBF6BBB" w:rsidP="184478B7"/>
    <w:p w14:paraId="66A7C21D" w14:textId="77777777" w:rsidR="3EBF6BBB" w:rsidRDefault="00000000" w:rsidP="3EBF6BBB">
      <w:pPr>
        <w:rPr>
          <w:rFonts w:ascii="Times New Roman" w:eastAsia="Times New Roman" w:hAnsi="Times New Roman" w:cs="Times New Roman"/>
        </w:rPr>
      </w:pPr>
      <w:r w:rsidRPr="37928863">
        <w:rPr>
          <w:rFonts w:ascii="Times New Roman" w:hAnsi="Times New Roman" w:cs="Times New Roman"/>
        </w:rPr>
        <w:fldChar w:fldCharType="begin"/>
      </w:r>
      <w:r w:rsidRPr="37928863">
        <w:rPr>
          <w:rFonts w:ascii="Times New Roman" w:hAnsi="Times New Roman" w:cs="Times New Roman"/>
        </w:rPr>
        <w:instrText xml:space="preserve"> REF _Ref173764656 \h  \* MERGEFORMAT </w:instrText>
      </w:r>
      <w:r w:rsidRPr="37928863">
        <w:rPr>
          <w:rFonts w:ascii="Times New Roman" w:hAnsi="Times New Roman" w:cs="Times New Roman"/>
        </w:rPr>
      </w:r>
      <w:r w:rsidRPr="37928863">
        <w:rPr>
          <w:rFonts w:ascii="Times New Roman" w:hAnsi="Times New Roman" w:cs="Times New Roman"/>
        </w:rPr>
        <w:fldChar w:fldCharType="separate"/>
      </w:r>
      <w:r w:rsidR="00324095" w:rsidRPr="00324095">
        <w:rPr>
          <w:rFonts w:ascii="Times New Roman" w:hAnsi="Times New Roman" w:cs="Times New Roman"/>
        </w:rPr>
        <w:t xml:space="preserve">Figure </w:t>
      </w:r>
      <w:r w:rsidR="00324095" w:rsidRPr="00324095">
        <w:rPr>
          <w:rFonts w:ascii="Times New Roman" w:hAnsi="Times New Roman" w:cs="Times New Roman"/>
          <w:noProof/>
        </w:rPr>
        <w:t>2</w:t>
      </w:r>
      <w:r w:rsidRPr="37928863">
        <w:rPr>
          <w:rFonts w:ascii="Times New Roman" w:hAnsi="Times New Roman" w:cs="Times New Roman"/>
        </w:rPr>
        <w:fldChar w:fldCharType="end"/>
      </w:r>
      <w:r w:rsidR="00102458" w:rsidRPr="00324095">
        <w:rPr>
          <w:rFonts w:ascii="Times New Roman" w:hAnsi="Times New Roman" w:cs="Times New Roman"/>
        </w:rPr>
        <w:t xml:space="preserve"> </w:t>
      </w:r>
      <w:r w:rsidR="00200660" w:rsidRPr="051D5C53">
        <w:rPr>
          <w:rFonts w:ascii="Times New Roman" w:hAnsi="Times New Roman" w:cs="Times New Roman"/>
        </w:rPr>
        <w:t>includes bar plots showing the proportion of employees who left the company (Yes) versus those who stayed (No) based on their work-life balance, business travel frequency, job involvement, and job satisfaction. Employees who left generally had</w:t>
      </w:r>
      <w:r w:rsidR="00200660" w:rsidRPr="00324095">
        <w:rPr>
          <w:rFonts w:ascii="Times New Roman" w:hAnsi="Times New Roman" w:cs="Times New Roman"/>
        </w:rPr>
        <w:t xml:space="preserve"> lower work-life balance, more frequent business travel, lower job involvement, and lower job satisfaction rates.</w:t>
      </w:r>
    </w:p>
    <w:p w14:paraId="4CCEB3F1" w14:textId="77777777" w:rsidR="3EBF6BBB" w:rsidRDefault="3EBF6BBB" w:rsidP="3EBF6BBB">
      <w:pPr>
        <w:rPr>
          <w:rFonts w:ascii="Times New Roman" w:eastAsia="Times New Roman" w:hAnsi="Times New Roman" w:cs="Times New Roman"/>
        </w:rPr>
      </w:pPr>
    </w:p>
    <w:p w14:paraId="30DA037C" w14:textId="77777777" w:rsidR="00A65876" w:rsidRPr="00B85689" w:rsidRDefault="00000000" w:rsidP="00B85689">
      <w:pPr>
        <w:pStyle w:val="Heading2"/>
        <w:rPr>
          <w:rFonts w:ascii="Times New Roman" w:hAnsi="Times New Roman" w:cs="Times New Roman"/>
        </w:rPr>
      </w:pPr>
      <w:r w:rsidRPr="00B85689">
        <w:rPr>
          <w:rFonts w:ascii="Times New Roman" w:hAnsi="Times New Roman" w:cs="Times New Roman"/>
        </w:rPr>
        <w:t>Model 1 Development</w:t>
      </w:r>
      <w:r w:rsidR="00E94053" w:rsidRPr="00B85689">
        <w:rPr>
          <w:rFonts w:ascii="Times New Roman" w:hAnsi="Times New Roman" w:cs="Times New Roman"/>
        </w:rPr>
        <w:t xml:space="preserve">: </w:t>
      </w:r>
      <w:r w:rsidRPr="00B85689">
        <w:rPr>
          <w:rFonts w:ascii="Times New Roman" w:hAnsi="Times New Roman" w:cs="Times New Roman"/>
        </w:rPr>
        <w:t xml:space="preserve">Logistic Regression Model </w:t>
      </w:r>
    </w:p>
    <w:p w14:paraId="36C48B35" w14:textId="77777777" w:rsidR="00A65876" w:rsidRDefault="00A65876" w:rsidP="00804CB9">
      <w:pPr>
        <w:rPr>
          <w:b/>
          <w:bCs/>
          <w:i/>
          <w:iCs/>
        </w:rPr>
      </w:pPr>
    </w:p>
    <w:p w14:paraId="2D1D3DF5" w14:textId="77777777" w:rsidR="00B74E47" w:rsidRDefault="00000000" w:rsidP="70DA9FE6">
      <w:r w:rsidRPr="70DA9FE6">
        <w:rPr>
          <w:rFonts w:ascii="Times New Roman" w:eastAsia="Times New Roman" w:hAnsi="Times New Roman" w:cs="Times New Roman"/>
        </w:rPr>
        <w:t xml:space="preserve">Model 1 utilized logistic </w:t>
      </w:r>
      <w:r w:rsidR="001A4102" w:rsidRPr="70DA9FE6">
        <w:rPr>
          <w:rFonts w:ascii="Times New Roman" w:eastAsia="Times New Roman" w:hAnsi="Times New Roman" w:cs="Times New Roman"/>
        </w:rPr>
        <w:t>regression</w:t>
      </w:r>
      <w:r w:rsidR="001A4102">
        <w:rPr>
          <w:rFonts w:ascii="Times New Roman" w:eastAsia="Times New Roman" w:hAnsi="Times New Roman" w:cs="Times New Roman"/>
        </w:rPr>
        <w:t>,</w:t>
      </w:r>
      <w:r w:rsidRPr="70DA9FE6">
        <w:rPr>
          <w:rFonts w:ascii="Times New Roman" w:eastAsia="Times New Roman" w:hAnsi="Times New Roman" w:cs="Times New Roman"/>
        </w:rPr>
        <w:t xml:space="preserve"> a type of generalized linear model designed for classification tasks. This model outputs a probability ranging from 0 to 1, where 1 indicates a positive outcome</w:t>
      </w:r>
      <w:r w:rsidR="00F90273">
        <w:rPr>
          <w:rFonts w:ascii="Times New Roman" w:eastAsia="Times New Roman" w:hAnsi="Times New Roman" w:cs="Times New Roman"/>
        </w:rPr>
        <w:t>,</w:t>
      </w:r>
      <w:r w:rsidRPr="70DA9FE6">
        <w:rPr>
          <w:rFonts w:ascii="Times New Roman" w:eastAsia="Times New Roman" w:hAnsi="Times New Roman" w:cs="Times New Roman"/>
        </w:rPr>
        <w:t xml:space="preserve"> and 0 indicates a negative outcome. In the context of this case study, a probability of 1 represents an employee leaving the organization, while a probability of 0 represents an employee staying. </w:t>
      </w:r>
    </w:p>
    <w:p w14:paraId="55DEA157" w14:textId="77777777" w:rsidR="70DA9FE6" w:rsidRDefault="70DA9FE6" w:rsidP="70DA9FE6">
      <w:pPr>
        <w:rPr>
          <w:rFonts w:ascii="Times New Roman" w:eastAsia="Times New Roman" w:hAnsi="Times New Roman" w:cs="Times New Roman"/>
        </w:rPr>
      </w:pPr>
    </w:p>
    <w:p w14:paraId="58E06F6E" w14:textId="77777777" w:rsidR="0029312F" w:rsidRPr="00B85689" w:rsidRDefault="00000000" w:rsidP="1FC5925A">
      <w:pPr>
        <w:rPr>
          <w:rFonts w:ascii="Times New Roman" w:hAnsi="Times New Roman" w:cs="Times New Roman"/>
        </w:rPr>
      </w:pPr>
      <w:r w:rsidRPr="00B85689">
        <w:rPr>
          <w:rFonts w:ascii="Times New Roman" w:hAnsi="Times New Roman" w:cs="Times New Roman"/>
        </w:rPr>
        <w:t>A</w:t>
      </w:r>
      <w:r w:rsidR="00B74E47" w:rsidRPr="00B85689">
        <w:rPr>
          <w:rFonts w:ascii="Times New Roman" w:hAnsi="Times New Roman" w:cs="Times New Roman"/>
        </w:rPr>
        <w:t xml:space="preserve">ll variables were </w:t>
      </w:r>
      <w:r w:rsidRPr="00B85689">
        <w:rPr>
          <w:rFonts w:ascii="Times New Roman" w:hAnsi="Times New Roman" w:cs="Times New Roman"/>
        </w:rPr>
        <w:t>used to fit the initial model</w:t>
      </w:r>
      <w:r w:rsidR="00F90273">
        <w:rPr>
          <w:rFonts w:ascii="Times New Roman" w:hAnsi="Times New Roman" w:cs="Times New Roman"/>
        </w:rPr>
        <w:t>. Then</w:t>
      </w:r>
      <w:r w:rsidR="00394CDD" w:rsidRPr="00B85689">
        <w:rPr>
          <w:rFonts w:ascii="Times New Roman" w:hAnsi="Times New Roman" w:cs="Times New Roman"/>
        </w:rPr>
        <w:t xml:space="preserve">, stepwise variable selection techniques were employed to remove </w:t>
      </w:r>
      <w:r w:rsidR="007E1DCC" w:rsidRPr="00B85689">
        <w:rPr>
          <w:rFonts w:ascii="Times New Roman" w:hAnsi="Times New Roman" w:cs="Times New Roman"/>
        </w:rPr>
        <w:t>variables</w:t>
      </w:r>
      <w:r w:rsidR="00EC2348" w:rsidRPr="00B85689">
        <w:rPr>
          <w:rFonts w:ascii="Times New Roman" w:hAnsi="Times New Roman" w:cs="Times New Roman"/>
        </w:rPr>
        <w:t xml:space="preserve"> based on</w:t>
      </w:r>
      <w:r w:rsidR="00503663" w:rsidRPr="00B85689">
        <w:rPr>
          <w:rFonts w:ascii="Times New Roman" w:hAnsi="Times New Roman" w:cs="Times New Roman"/>
        </w:rPr>
        <w:t xml:space="preserve"> the default</w:t>
      </w:r>
      <w:r w:rsidR="00EC2348" w:rsidRPr="00B85689">
        <w:rPr>
          <w:rFonts w:ascii="Times New Roman" w:hAnsi="Times New Roman" w:cs="Times New Roman"/>
        </w:rPr>
        <w:t xml:space="preserve"> AIC metric</w:t>
      </w:r>
      <w:r w:rsidR="000C57F8" w:rsidRPr="00B85689">
        <w:rPr>
          <w:rFonts w:ascii="Times New Roman" w:hAnsi="Times New Roman" w:cs="Times New Roman"/>
        </w:rPr>
        <w:t xml:space="preserve"> </w:t>
      </w:r>
      <w:r w:rsidR="00547B7D" w:rsidRPr="00B85689">
        <w:rPr>
          <w:rFonts w:ascii="Times New Roman" w:hAnsi="Times New Roman" w:cs="Times New Roman"/>
        </w:rPr>
        <w:t xml:space="preserve">to </w:t>
      </w:r>
      <w:r w:rsidR="001E28F7" w:rsidRPr="00B85689">
        <w:rPr>
          <w:rFonts w:ascii="Times New Roman" w:hAnsi="Times New Roman" w:cs="Times New Roman"/>
        </w:rPr>
        <w:t xml:space="preserve">avoid </w:t>
      </w:r>
      <w:r w:rsidR="00EC2348" w:rsidRPr="00B85689">
        <w:rPr>
          <w:rFonts w:ascii="Times New Roman" w:hAnsi="Times New Roman" w:cs="Times New Roman"/>
        </w:rPr>
        <w:t>overfitting the model to the training data.</w:t>
      </w:r>
      <w:r w:rsidR="001E28F7" w:rsidRPr="00B85689">
        <w:rPr>
          <w:rFonts w:ascii="Times New Roman" w:hAnsi="Times New Roman" w:cs="Times New Roman"/>
        </w:rPr>
        <w:t xml:space="preserve"> The refined model used</w:t>
      </w:r>
      <w:r w:rsidR="007D6CD4" w:rsidRPr="00B85689">
        <w:rPr>
          <w:rFonts w:ascii="Times New Roman" w:hAnsi="Times New Roman" w:cs="Times New Roman"/>
        </w:rPr>
        <w:t xml:space="preserve"> </w:t>
      </w:r>
      <w:r w:rsidR="00175DA6" w:rsidRPr="00B85689">
        <w:rPr>
          <w:rFonts w:ascii="Times New Roman" w:hAnsi="Times New Roman" w:cs="Times New Roman"/>
        </w:rPr>
        <w:t xml:space="preserve">39 </w:t>
      </w:r>
      <w:r w:rsidR="00641B0C" w:rsidRPr="00B85689">
        <w:rPr>
          <w:rFonts w:ascii="Times New Roman" w:hAnsi="Times New Roman" w:cs="Times New Roman"/>
        </w:rPr>
        <w:t xml:space="preserve">coefficients </w:t>
      </w:r>
      <w:r w:rsidR="002B16F4" w:rsidRPr="00B85689">
        <w:rPr>
          <w:rFonts w:ascii="Times New Roman" w:hAnsi="Times New Roman" w:cs="Times New Roman"/>
        </w:rPr>
        <w:t>compared to the initial model</w:t>
      </w:r>
      <w:r w:rsidR="00F90273">
        <w:rPr>
          <w:rFonts w:ascii="Times New Roman" w:hAnsi="Times New Roman" w:cs="Times New Roman"/>
        </w:rPr>
        <w:t>,</w:t>
      </w:r>
      <w:r w:rsidR="002B16F4" w:rsidRPr="00B85689">
        <w:rPr>
          <w:rFonts w:ascii="Times New Roman" w:hAnsi="Times New Roman" w:cs="Times New Roman"/>
        </w:rPr>
        <w:t xml:space="preserve"> which used</w:t>
      </w:r>
    </w:p>
    <w:p w14:paraId="351FAD39" w14:textId="77777777" w:rsidR="0029312F" w:rsidRPr="00B85689" w:rsidRDefault="00000000" w:rsidP="00804CB9">
      <w:pPr>
        <w:rPr>
          <w:rFonts w:ascii="Times New Roman" w:hAnsi="Times New Roman" w:cs="Times New Roman"/>
        </w:rPr>
      </w:pPr>
      <w:r w:rsidRPr="00B85689">
        <w:rPr>
          <w:rFonts w:ascii="Times New Roman" w:hAnsi="Times New Roman" w:cs="Times New Roman"/>
        </w:rPr>
        <w:lastRenderedPageBreak/>
        <w:t>58 coefficients</w:t>
      </w:r>
      <w:r w:rsidR="00503663" w:rsidRPr="00B85689">
        <w:rPr>
          <w:rFonts w:ascii="Times New Roman" w:hAnsi="Times New Roman" w:cs="Times New Roman"/>
        </w:rPr>
        <w:t>.</w:t>
      </w:r>
      <w:r w:rsidR="00335A1F" w:rsidRPr="00B85689">
        <w:rPr>
          <w:rFonts w:ascii="Times New Roman" w:hAnsi="Times New Roman" w:cs="Times New Roman"/>
        </w:rPr>
        <w:t xml:space="preserve"> </w:t>
      </w:r>
      <w:r w:rsidR="00620F5E" w:rsidRPr="00B85689">
        <w:rPr>
          <w:rFonts w:ascii="Times New Roman" w:hAnsi="Times New Roman" w:cs="Times New Roman"/>
        </w:rPr>
        <w:t>The refined model performed well on the training set. The</w:t>
      </w:r>
      <w:r w:rsidR="00882234" w:rsidRPr="00B85689">
        <w:rPr>
          <w:rFonts w:ascii="Times New Roman" w:hAnsi="Times New Roman" w:cs="Times New Roman"/>
        </w:rPr>
        <w:t xml:space="preserve"> initial model AIC</w:t>
      </w:r>
      <w:r w:rsidR="00FE0060" w:rsidRPr="00B85689">
        <w:rPr>
          <w:rFonts w:ascii="Times New Roman" w:hAnsi="Times New Roman" w:cs="Times New Roman"/>
        </w:rPr>
        <w:t xml:space="preserve"> was</w:t>
      </w:r>
      <w:r w:rsidR="00620F5E" w:rsidRPr="00B85689">
        <w:rPr>
          <w:rFonts w:ascii="Times New Roman" w:hAnsi="Times New Roman" w:cs="Times New Roman"/>
        </w:rPr>
        <w:t xml:space="preserve"> </w:t>
      </w:r>
      <w:r w:rsidR="00335A1F" w:rsidRPr="00B85689">
        <w:rPr>
          <w:rFonts w:ascii="Times New Roman" w:hAnsi="Times New Roman" w:cs="Times New Roman"/>
        </w:rPr>
        <w:t>770.44</w:t>
      </w:r>
      <w:r w:rsidR="00FE0060" w:rsidRPr="00B85689">
        <w:rPr>
          <w:rFonts w:ascii="Times New Roman" w:hAnsi="Times New Roman" w:cs="Times New Roman"/>
        </w:rPr>
        <w:t xml:space="preserve"> compared to the final</w:t>
      </w:r>
      <w:r w:rsidRPr="00B85689">
        <w:rPr>
          <w:rFonts w:ascii="Times New Roman" w:hAnsi="Times New Roman" w:cs="Times New Roman"/>
        </w:rPr>
        <w:t xml:space="preserve"> model AIC of</w:t>
      </w:r>
      <w:r w:rsidR="009105F7" w:rsidRPr="00B85689">
        <w:rPr>
          <w:rFonts w:ascii="Times New Roman" w:hAnsi="Times New Roman" w:cs="Times New Roman"/>
        </w:rPr>
        <w:t xml:space="preserve"> </w:t>
      </w:r>
      <w:r w:rsidR="00A53CF7" w:rsidRPr="00B85689">
        <w:rPr>
          <w:rFonts w:ascii="Times New Roman" w:hAnsi="Times New Roman" w:cs="Times New Roman"/>
        </w:rPr>
        <w:t>7</w:t>
      </w:r>
      <w:r w:rsidR="00882234" w:rsidRPr="00B85689">
        <w:rPr>
          <w:rFonts w:ascii="Times New Roman" w:hAnsi="Times New Roman" w:cs="Times New Roman"/>
        </w:rPr>
        <w:t>48.64</w:t>
      </w:r>
      <w:r w:rsidR="00B85689">
        <w:rPr>
          <w:rFonts w:ascii="Times New Roman" w:hAnsi="Times New Roman" w:cs="Times New Roman"/>
        </w:rPr>
        <w:t>.</w:t>
      </w:r>
    </w:p>
    <w:p w14:paraId="1B452A84" w14:textId="77777777" w:rsidR="005D583B" w:rsidRDefault="00000000" w:rsidP="00804CB9">
      <w:r>
        <w:t xml:space="preserve"> </w:t>
      </w:r>
      <w:r w:rsidR="001E28F7">
        <w:t xml:space="preserve"> </w:t>
      </w:r>
      <w:r w:rsidR="00127D01">
        <w:t xml:space="preserve"> </w:t>
      </w:r>
      <w:r w:rsidR="00D109B4">
        <w:t xml:space="preserve">  </w:t>
      </w:r>
      <w:r w:rsidR="003F63D8">
        <w:t xml:space="preserve"> </w:t>
      </w:r>
    </w:p>
    <w:p w14:paraId="477CD661" w14:textId="77777777" w:rsidR="004212E2" w:rsidRDefault="00000000" w:rsidP="004212E2">
      <w:pPr>
        <w:rPr>
          <w:rFonts w:ascii="Times New Roman" w:hAnsi="Times New Roman" w:cs="Times New Roman"/>
        </w:rPr>
      </w:pPr>
      <w:r w:rsidRPr="00B85689">
        <w:rPr>
          <w:rFonts w:ascii="Times New Roman" w:hAnsi="Times New Roman" w:cs="Times New Roman"/>
        </w:rPr>
        <w:t>The default cut-off value</w:t>
      </w:r>
      <w:r w:rsidR="00B63022">
        <w:rPr>
          <w:rFonts w:ascii="Times New Roman" w:hAnsi="Times New Roman" w:cs="Times New Roman"/>
        </w:rPr>
        <w:t xml:space="preserve"> for the logistic regression model used is 0.5. H</w:t>
      </w:r>
      <w:r w:rsidR="32C1AD22" w:rsidRPr="00B85689">
        <w:rPr>
          <w:rFonts w:ascii="Times New Roman" w:hAnsi="Times New Roman" w:cs="Times New Roman"/>
        </w:rPr>
        <w:t>owever, these default models suffered from a very low sensitivity</w:t>
      </w:r>
      <w:r w:rsidR="308EBE75" w:rsidRPr="00B85689">
        <w:rPr>
          <w:rFonts w:ascii="Times New Roman" w:hAnsi="Times New Roman" w:cs="Times New Roman"/>
        </w:rPr>
        <w:t xml:space="preserve">, which is </w:t>
      </w:r>
      <w:r w:rsidR="32C1AD22" w:rsidRPr="00B85689">
        <w:rPr>
          <w:rFonts w:ascii="Times New Roman" w:hAnsi="Times New Roman" w:cs="Times New Roman"/>
        </w:rPr>
        <w:t xml:space="preserve">the </w:t>
      </w:r>
      <w:r w:rsidR="308EBE75" w:rsidRPr="00B85689">
        <w:rPr>
          <w:rFonts w:ascii="Times New Roman" w:hAnsi="Times New Roman" w:cs="Times New Roman"/>
        </w:rPr>
        <w:t xml:space="preserve">objective </w:t>
      </w:r>
      <w:r w:rsidR="32C1AD22" w:rsidRPr="00B85689">
        <w:rPr>
          <w:rFonts w:ascii="Times New Roman" w:hAnsi="Times New Roman" w:cs="Times New Roman"/>
        </w:rPr>
        <w:t>metric for this</w:t>
      </w:r>
      <w:r w:rsidR="16665775" w:rsidRPr="00B85689">
        <w:rPr>
          <w:rFonts w:ascii="Times New Roman" w:hAnsi="Times New Roman" w:cs="Times New Roman"/>
        </w:rPr>
        <w:t xml:space="preserve"> application</w:t>
      </w:r>
      <w:r w:rsidR="32C1AD22" w:rsidRPr="00B85689">
        <w:rPr>
          <w:rFonts w:ascii="Times New Roman" w:hAnsi="Times New Roman" w:cs="Times New Roman"/>
        </w:rPr>
        <w:t xml:space="preserve">. </w:t>
      </w:r>
      <w:r w:rsidR="4F73DE61" w:rsidRPr="00B85689">
        <w:rPr>
          <w:rFonts w:ascii="Times New Roman" w:hAnsi="Times New Roman" w:cs="Times New Roman"/>
        </w:rPr>
        <w:t xml:space="preserve">The </w:t>
      </w:r>
      <w:r w:rsidRPr="00B85689">
        <w:rPr>
          <w:rFonts w:ascii="Times New Roman" w:hAnsi="Times New Roman" w:cs="Times New Roman"/>
        </w:rPr>
        <w:t xml:space="preserve">cut-off values were </w:t>
      </w:r>
      <w:r w:rsidR="4F73DE61" w:rsidRPr="00B85689">
        <w:rPr>
          <w:rFonts w:ascii="Times New Roman" w:hAnsi="Times New Roman" w:cs="Times New Roman"/>
        </w:rPr>
        <w:t xml:space="preserve">tuned to maximize the </w:t>
      </w:r>
      <w:r w:rsidR="3BBC86EF" w:rsidRPr="00B85689">
        <w:rPr>
          <w:rFonts w:ascii="Times New Roman" w:hAnsi="Times New Roman" w:cs="Times New Roman"/>
        </w:rPr>
        <w:t>balanced accuracy</w:t>
      </w:r>
      <w:r w:rsidR="542797C7" w:rsidRPr="00B85689">
        <w:rPr>
          <w:rFonts w:ascii="Times New Roman" w:hAnsi="Times New Roman" w:cs="Times New Roman"/>
        </w:rPr>
        <w:t>, which is the</w:t>
      </w:r>
      <w:r w:rsidR="3BBC86EF">
        <w:t xml:space="preserve"> </w:t>
      </w:r>
      <w:r w:rsidR="3BBC86EF" w:rsidRPr="00B85689">
        <w:rPr>
          <w:rFonts w:ascii="Times New Roman" w:hAnsi="Times New Roman" w:cs="Times New Roman"/>
        </w:rPr>
        <w:t>average o</w:t>
      </w:r>
      <w:r w:rsidR="542797C7" w:rsidRPr="00B85689">
        <w:rPr>
          <w:rFonts w:ascii="Times New Roman" w:hAnsi="Times New Roman" w:cs="Times New Roman"/>
        </w:rPr>
        <w:t>f</w:t>
      </w:r>
      <w:r w:rsidR="542797C7">
        <w:t xml:space="preserve"> </w:t>
      </w:r>
      <w:r w:rsidR="542797C7" w:rsidRPr="00B85689">
        <w:rPr>
          <w:rFonts w:ascii="Times New Roman" w:hAnsi="Times New Roman" w:cs="Times New Roman"/>
        </w:rPr>
        <w:t xml:space="preserve">sensitivity and specificity. </w:t>
      </w:r>
      <w:r w:rsidR="16665775" w:rsidRPr="00B85689">
        <w:rPr>
          <w:rFonts w:ascii="Times New Roman" w:hAnsi="Times New Roman" w:cs="Times New Roman"/>
        </w:rPr>
        <w:t xml:space="preserve">The effect of </w:t>
      </w:r>
      <w:r w:rsidR="002F07BA">
        <w:rPr>
          <w:rFonts w:ascii="Times New Roman" w:hAnsi="Times New Roman" w:cs="Times New Roman"/>
        </w:rPr>
        <w:t xml:space="preserve">the </w:t>
      </w:r>
      <w:r w:rsidR="16665775" w:rsidRPr="00B85689">
        <w:rPr>
          <w:rFonts w:ascii="Times New Roman" w:hAnsi="Times New Roman" w:cs="Times New Roman"/>
        </w:rPr>
        <w:t xml:space="preserve">cut-off score on accuracy and balanced accuracy is shown </w:t>
      </w:r>
      <w:r w:rsidR="16665775" w:rsidRPr="00B63022">
        <w:rPr>
          <w:rFonts w:ascii="Times New Roman" w:hAnsi="Times New Roman" w:cs="Times New Roman"/>
        </w:rPr>
        <w:t xml:space="preserve">in </w:t>
      </w:r>
      <w:r w:rsidR="00B63022" w:rsidRPr="00B63022">
        <w:rPr>
          <w:rFonts w:ascii="Times New Roman" w:hAnsi="Times New Roman" w:cs="Times New Roman"/>
        </w:rPr>
        <w:fldChar w:fldCharType="begin"/>
      </w:r>
      <w:r w:rsidR="00B63022" w:rsidRPr="00B63022">
        <w:rPr>
          <w:rFonts w:ascii="Times New Roman" w:hAnsi="Times New Roman" w:cs="Times New Roman"/>
        </w:rPr>
        <w:instrText xml:space="preserve"> REF _Ref173765089 \h </w:instrText>
      </w:r>
      <w:r w:rsidR="00B63022">
        <w:rPr>
          <w:rFonts w:ascii="Times New Roman" w:hAnsi="Times New Roman" w:cs="Times New Roman"/>
        </w:rPr>
        <w:instrText xml:space="preserve"> \* MERGEFORMAT </w:instrText>
      </w:r>
      <w:r w:rsidR="00B63022" w:rsidRPr="00B63022">
        <w:rPr>
          <w:rFonts w:ascii="Times New Roman" w:hAnsi="Times New Roman" w:cs="Times New Roman"/>
        </w:rPr>
      </w:r>
      <w:r w:rsidR="00B63022" w:rsidRPr="00B63022">
        <w:rPr>
          <w:rFonts w:ascii="Times New Roman" w:hAnsi="Times New Roman" w:cs="Times New Roman"/>
        </w:rPr>
        <w:fldChar w:fldCharType="separate"/>
      </w:r>
      <w:r w:rsidR="00B63022" w:rsidRPr="00B63022">
        <w:rPr>
          <w:rFonts w:ascii="Times New Roman" w:hAnsi="Times New Roman" w:cs="Times New Roman"/>
        </w:rPr>
        <w:t xml:space="preserve">Figure </w:t>
      </w:r>
      <w:r w:rsidR="00B63022" w:rsidRPr="00B63022">
        <w:rPr>
          <w:rFonts w:ascii="Times New Roman" w:hAnsi="Times New Roman" w:cs="Times New Roman"/>
          <w:noProof/>
        </w:rPr>
        <w:t>3</w:t>
      </w:r>
      <w:r w:rsidR="00B63022" w:rsidRPr="00B63022">
        <w:rPr>
          <w:rFonts w:ascii="Times New Roman" w:hAnsi="Times New Roman" w:cs="Times New Roman"/>
        </w:rPr>
        <w:fldChar w:fldCharType="end"/>
      </w:r>
    </w:p>
    <w:p w14:paraId="1B392B92" w14:textId="77777777" w:rsidR="004212E2" w:rsidRDefault="004212E2" w:rsidP="00804CB9"/>
    <w:p w14:paraId="7B493BD4" w14:textId="77777777" w:rsidR="00EA5E5E" w:rsidRDefault="00000000" w:rsidP="00D00F42">
      <w:pPr>
        <w:keepNext/>
      </w:pPr>
      <w:r>
        <w:rPr>
          <w:noProof/>
        </w:rPr>
        <w:drawing>
          <wp:inline distT="0" distB="0" distL="0" distR="0" wp14:anchorId="342D1EDF" wp14:editId="3D7CBF7E">
            <wp:extent cx="3352800" cy="2527137"/>
            <wp:effectExtent l="19050" t="19050" r="19050" b="26035"/>
            <wp:docPr id="107533509" name="Picture 1"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3509"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2800" cy="2527137"/>
                    </a:xfrm>
                    <a:prstGeom prst="rect">
                      <a:avLst/>
                    </a:prstGeom>
                    <a:ln>
                      <a:solidFill>
                        <a:schemeClr val="tx1"/>
                      </a:solidFill>
                    </a:ln>
                  </pic:spPr>
                </pic:pic>
              </a:graphicData>
            </a:graphic>
          </wp:inline>
        </w:drawing>
      </w:r>
    </w:p>
    <w:p w14:paraId="43893245" w14:textId="77777777" w:rsidR="004212E2" w:rsidRDefault="00000000" w:rsidP="00D00F42">
      <w:pPr>
        <w:pStyle w:val="Caption"/>
      </w:pPr>
      <w:bookmarkStart w:id="4" w:name="_Ref173765089"/>
      <w:r>
        <w:t xml:space="preserve">Figure </w:t>
      </w:r>
      <w:r>
        <w:fldChar w:fldCharType="begin"/>
      </w:r>
      <w:r>
        <w:instrText xml:space="preserve"> SEQ Figure \* ARABIC </w:instrText>
      </w:r>
      <w:r>
        <w:fldChar w:fldCharType="separate"/>
      </w:r>
      <w:r w:rsidRPr="70DA9FE6">
        <w:rPr>
          <w:noProof/>
        </w:rPr>
        <w:t>3</w:t>
      </w:r>
      <w:r>
        <w:fldChar w:fldCharType="end"/>
      </w:r>
      <w:bookmarkEnd w:id="4"/>
      <w:r>
        <w:t xml:space="preserve">: </w:t>
      </w:r>
      <w:r w:rsidR="00B87D73">
        <w:t>Effect</w:t>
      </w:r>
      <w:r w:rsidR="004E7745">
        <w:t xml:space="preserve"> of Cut</w:t>
      </w:r>
      <w:r w:rsidR="002E577E">
        <w:t>-</w:t>
      </w:r>
      <w:r w:rsidR="004E7745">
        <w:t xml:space="preserve">Off Values </w:t>
      </w:r>
      <w:r w:rsidR="00C1575F">
        <w:t>on</w:t>
      </w:r>
      <w:r w:rsidR="002E577E">
        <w:t xml:space="preserve"> Model Performance </w:t>
      </w:r>
    </w:p>
    <w:p w14:paraId="015A5D75" w14:textId="77777777" w:rsidR="000E6838" w:rsidRPr="00B85689" w:rsidRDefault="00000000" w:rsidP="514EB37A">
      <w:pPr>
        <w:spacing w:line="259" w:lineRule="auto"/>
        <w:rPr>
          <w:rFonts w:ascii="Times New Roman" w:hAnsi="Times New Roman" w:cs="Times New Roman"/>
        </w:rPr>
      </w:pPr>
      <w:r w:rsidRPr="002E577E">
        <w:rPr>
          <w:rFonts w:ascii="Times New Roman" w:hAnsi="Times New Roman" w:cs="Times New Roman"/>
        </w:rPr>
        <w:t xml:space="preserve">As shown in </w:t>
      </w:r>
      <w:r w:rsidR="002E577E" w:rsidRPr="002E577E">
        <w:rPr>
          <w:rFonts w:ascii="Times New Roman" w:hAnsi="Times New Roman" w:cs="Times New Roman"/>
        </w:rPr>
        <w:fldChar w:fldCharType="begin"/>
      </w:r>
      <w:r w:rsidR="002E577E" w:rsidRPr="002E577E">
        <w:rPr>
          <w:rFonts w:ascii="Times New Roman" w:hAnsi="Times New Roman" w:cs="Times New Roman"/>
        </w:rPr>
        <w:instrText xml:space="preserve"> REF _Ref173765089 \h </w:instrText>
      </w:r>
      <w:r w:rsidR="002E577E">
        <w:rPr>
          <w:rFonts w:ascii="Times New Roman" w:hAnsi="Times New Roman" w:cs="Times New Roman"/>
        </w:rPr>
        <w:instrText xml:space="preserve"> \* MERGEFORMAT </w:instrText>
      </w:r>
      <w:r w:rsidR="002E577E" w:rsidRPr="002E577E">
        <w:rPr>
          <w:rFonts w:ascii="Times New Roman" w:hAnsi="Times New Roman" w:cs="Times New Roman"/>
        </w:rPr>
      </w:r>
      <w:r w:rsidR="002E577E" w:rsidRPr="002E577E">
        <w:rPr>
          <w:rFonts w:ascii="Times New Roman" w:hAnsi="Times New Roman" w:cs="Times New Roman"/>
        </w:rPr>
        <w:fldChar w:fldCharType="separate"/>
      </w:r>
      <w:r w:rsidR="002E577E" w:rsidRPr="00D00F42">
        <w:rPr>
          <w:rFonts w:ascii="Times New Roman" w:hAnsi="Times New Roman" w:cs="Times New Roman"/>
        </w:rPr>
        <w:t xml:space="preserve">Figure </w:t>
      </w:r>
      <w:r w:rsidR="002E577E" w:rsidRPr="00D00F42">
        <w:rPr>
          <w:rFonts w:ascii="Times New Roman" w:hAnsi="Times New Roman" w:cs="Times New Roman"/>
          <w:noProof/>
        </w:rPr>
        <w:t>3</w:t>
      </w:r>
      <w:r w:rsidR="002E577E" w:rsidRPr="002E577E">
        <w:rPr>
          <w:rFonts w:ascii="Times New Roman" w:hAnsi="Times New Roman" w:cs="Times New Roman"/>
        </w:rPr>
        <w:fldChar w:fldCharType="end"/>
      </w:r>
      <w:r w:rsidR="002E577E" w:rsidRPr="002E577E">
        <w:rPr>
          <w:rFonts w:ascii="Times New Roman" w:hAnsi="Times New Roman" w:cs="Times New Roman"/>
        </w:rPr>
        <w:t>,</w:t>
      </w:r>
      <w:r w:rsidRPr="002E577E">
        <w:rPr>
          <w:rFonts w:ascii="Times New Roman" w:hAnsi="Times New Roman" w:cs="Times New Roman"/>
        </w:rPr>
        <w:t xml:space="preserve"> the overall accuracy peaks near a cut-off of 0.55, but the balanced accuracy peaks near a cut-off of</w:t>
      </w:r>
      <w:r w:rsidRPr="3EBF6BBB">
        <w:rPr>
          <w:rFonts w:ascii="Times New Roman" w:hAnsi="Times New Roman" w:cs="Times New Roman"/>
        </w:rPr>
        <w:t xml:space="preserve"> 0.1. Ultimately, the</w:t>
      </w:r>
      <w:r w:rsidRPr="00B85689">
        <w:rPr>
          <w:rFonts w:ascii="Times New Roman" w:hAnsi="Times New Roman" w:cs="Times New Roman"/>
        </w:rPr>
        <w:t xml:space="preserve"> final cut-off score for Model 1 was </w:t>
      </w:r>
      <w:r w:rsidR="63BDE50B" w:rsidRPr="00B85689">
        <w:rPr>
          <w:rFonts w:ascii="Times New Roman" w:hAnsi="Times New Roman" w:cs="Times New Roman"/>
        </w:rPr>
        <w:t>0.1</w:t>
      </w:r>
      <w:r w:rsidR="6BF60324" w:rsidRPr="00B85689">
        <w:rPr>
          <w:rFonts w:ascii="Times New Roman" w:hAnsi="Times New Roman" w:cs="Times New Roman"/>
        </w:rPr>
        <w:t>.</w:t>
      </w:r>
      <w:r w:rsidRPr="00B85689">
        <w:rPr>
          <w:rFonts w:ascii="Times New Roman" w:hAnsi="Times New Roman" w:cs="Times New Roman"/>
        </w:rPr>
        <w:t xml:space="preserve"> </w:t>
      </w:r>
    </w:p>
    <w:p w14:paraId="02C0038F" w14:textId="77777777" w:rsidR="00DD7A16" w:rsidRPr="00B85689" w:rsidRDefault="00DD7A16" w:rsidP="00DD7A16">
      <w:pPr>
        <w:rPr>
          <w:rFonts w:ascii="Times New Roman" w:hAnsi="Times New Roman" w:cs="Times New Roman"/>
        </w:rPr>
      </w:pPr>
    </w:p>
    <w:p w14:paraId="1B554551" w14:textId="77777777" w:rsidR="000E6838" w:rsidRPr="00B85689" w:rsidRDefault="00000000" w:rsidP="00DD7A16">
      <w:pPr>
        <w:rPr>
          <w:rFonts w:ascii="Times New Roman" w:hAnsi="Times New Roman" w:cs="Times New Roman"/>
        </w:rPr>
      </w:pPr>
      <w:r w:rsidRPr="00B85689">
        <w:rPr>
          <w:rFonts w:ascii="Times New Roman" w:hAnsi="Times New Roman" w:cs="Times New Roman"/>
        </w:rPr>
        <w:t>The overall accuracy of the model on the test set was</w:t>
      </w:r>
      <w:r w:rsidR="00633AD9" w:rsidRPr="00B85689">
        <w:rPr>
          <w:rFonts w:ascii="Times New Roman" w:hAnsi="Times New Roman" w:cs="Times New Roman"/>
        </w:rPr>
        <w:t xml:space="preserve"> </w:t>
      </w:r>
      <w:r w:rsidR="006B5486" w:rsidRPr="00B85689">
        <w:rPr>
          <w:rFonts w:ascii="Times New Roman" w:hAnsi="Times New Roman" w:cs="Times New Roman"/>
        </w:rPr>
        <w:t>7</w:t>
      </w:r>
      <w:r w:rsidR="00996F81" w:rsidRPr="00B85689">
        <w:rPr>
          <w:rFonts w:ascii="Times New Roman" w:hAnsi="Times New Roman" w:cs="Times New Roman"/>
        </w:rPr>
        <w:t>1.01%</w:t>
      </w:r>
      <w:r w:rsidR="00BB4B90" w:rsidRPr="00B85689">
        <w:rPr>
          <w:rFonts w:ascii="Times New Roman" w:hAnsi="Times New Roman" w:cs="Times New Roman"/>
        </w:rPr>
        <w:t>. The sensitivity was</w:t>
      </w:r>
      <w:r w:rsidR="00996F81" w:rsidRPr="00B85689">
        <w:rPr>
          <w:rFonts w:ascii="Times New Roman" w:hAnsi="Times New Roman" w:cs="Times New Roman"/>
        </w:rPr>
        <w:t xml:space="preserve"> </w:t>
      </w:r>
      <w:r w:rsidR="00996F81" w:rsidRPr="008D34F9">
        <w:rPr>
          <w:rFonts w:ascii="Times New Roman" w:hAnsi="Times New Roman" w:cs="Times New Roman"/>
        </w:rPr>
        <w:t>85.11%</w:t>
      </w:r>
      <w:r w:rsidR="00BB4B90" w:rsidRPr="00B85689">
        <w:rPr>
          <w:rFonts w:ascii="Times New Roman" w:hAnsi="Times New Roman" w:cs="Times New Roman"/>
        </w:rPr>
        <w:t xml:space="preserve">, meaning it predicted </w:t>
      </w:r>
      <w:r w:rsidR="0015087B" w:rsidRPr="00B85689">
        <w:rPr>
          <w:rFonts w:ascii="Times New Roman" w:hAnsi="Times New Roman" w:cs="Times New Roman"/>
        </w:rPr>
        <w:t>40</w:t>
      </w:r>
      <w:r w:rsidR="00BB4B90" w:rsidRPr="00B85689">
        <w:rPr>
          <w:rFonts w:ascii="Times New Roman" w:hAnsi="Times New Roman" w:cs="Times New Roman"/>
        </w:rPr>
        <w:t xml:space="preserve"> of the </w:t>
      </w:r>
      <w:r w:rsidR="00317BE7" w:rsidRPr="00B85689">
        <w:rPr>
          <w:rFonts w:ascii="Times New Roman" w:hAnsi="Times New Roman" w:cs="Times New Roman"/>
        </w:rPr>
        <w:t>47</w:t>
      </w:r>
      <w:r w:rsidRPr="00B85689">
        <w:rPr>
          <w:rFonts w:ascii="Times New Roman" w:hAnsi="Times New Roman" w:cs="Times New Roman"/>
        </w:rPr>
        <w:t xml:space="preserve"> </w:t>
      </w:r>
      <w:r w:rsidR="00404150" w:rsidRPr="00B85689">
        <w:rPr>
          <w:rFonts w:ascii="Times New Roman" w:hAnsi="Times New Roman" w:cs="Times New Roman"/>
        </w:rPr>
        <w:t>employees that left the organization. The full model performance metrics are</w:t>
      </w:r>
      <w:r w:rsidR="00607050">
        <w:rPr>
          <w:rFonts w:ascii="Times New Roman" w:hAnsi="Times New Roman" w:cs="Times New Roman"/>
        </w:rPr>
        <w:t xml:space="preserve"> discussed in more detail</w:t>
      </w:r>
      <w:r w:rsidR="00EA049C">
        <w:rPr>
          <w:rFonts w:ascii="Times New Roman" w:hAnsi="Times New Roman" w:cs="Times New Roman"/>
        </w:rPr>
        <w:t xml:space="preserve"> in the</w:t>
      </w:r>
      <w:r w:rsidR="00607050">
        <w:rPr>
          <w:rFonts w:ascii="Times New Roman" w:hAnsi="Times New Roman" w:cs="Times New Roman"/>
        </w:rPr>
        <w:t xml:space="preserve"> </w:t>
      </w:r>
      <w:r w:rsidR="00EA049C">
        <w:rPr>
          <w:rFonts w:ascii="Times New Roman" w:hAnsi="Times New Roman" w:cs="Times New Roman"/>
        </w:rPr>
        <w:fldChar w:fldCharType="begin"/>
      </w:r>
      <w:r w:rsidR="00EA049C">
        <w:rPr>
          <w:rFonts w:ascii="Times New Roman" w:hAnsi="Times New Roman" w:cs="Times New Roman"/>
        </w:rPr>
        <w:instrText xml:space="preserve"> REF _Ref173514552 \h </w:instrText>
      </w:r>
      <w:r w:rsidR="00EA049C">
        <w:rPr>
          <w:rFonts w:ascii="Times New Roman" w:hAnsi="Times New Roman" w:cs="Times New Roman"/>
        </w:rPr>
      </w:r>
      <w:r w:rsidR="00EA049C">
        <w:rPr>
          <w:rFonts w:ascii="Times New Roman" w:hAnsi="Times New Roman" w:cs="Times New Roman"/>
        </w:rPr>
        <w:fldChar w:fldCharType="separate"/>
      </w:r>
      <w:r w:rsidR="00EA049C" w:rsidRPr="00B85689">
        <w:rPr>
          <w:rFonts w:ascii="Times New Roman" w:hAnsi="Times New Roman" w:cs="Times New Roman"/>
        </w:rPr>
        <w:t>Model Performance and Selection</w:t>
      </w:r>
      <w:r w:rsidR="00EA049C">
        <w:rPr>
          <w:rFonts w:ascii="Times New Roman" w:hAnsi="Times New Roman" w:cs="Times New Roman"/>
        </w:rPr>
        <w:fldChar w:fldCharType="end"/>
      </w:r>
      <w:r w:rsidR="00EA049C">
        <w:rPr>
          <w:rFonts w:ascii="Times New Roman" w:hAnsi="Times New Roman" w:cs="Times New Roman"/>
        </w:rPr>
        <w:t xml:space="preserve"> section</w:t>
      </w:r>
      <w:r w:rsidR="00607050">
        <w:rPr>
          <w:rFonts w:ascii="Times New Roman" w:hAnsi="Times New Roman" w:cs="Times New Roman"/>
        </w:rPr>
        <w:t>.</w:t>
      </w:r>
    </w:p>
    <w:p w14:paraId="3150F487" w14:textId="77777777" w:rsidR="00404150" w:rsidRDefault="00404150" w:rsidP="00DD7A16"/>
    <w:p w14:paraId="09C19DCD" w14:textId="77777777" w:rsidR="00872997" w:rsidRPr="00B85689" w:rsidRDefault="00000000" w:rsidP="00B85689">
      <w:pPr>
        <w:pStyle w:val="Heading2"/>
        <w:rPr>
          <w:rFonts w:ascii="Times New Roman" w:hAnsi="Times New Roman" w:cs="Times New Roman"/>
        </w:rPr>
      </w:pPr>
      <w:r w:rsidRPr="00B85689">
        <w:rPr>
          <w:rFonts w:ascii="Times New Roman" w:hAnsi="Times New Roman" w:cs="Times New Roman"/>
        </w:rPr>
        <w:t>Model 2</w:t>
      </w:r>
      <w:r w:rsidR="002730EA" w:rsidRPr="00B85689">
        <w:rPr>
          <w:rFonts w:ascii="Times New Roman" w:hAnsi="Times New Roman" w:cs="Times New Roman"/>
        </w:rPr>
        <w:t xml:space="preserve"> </w:t>
      </w:r>
      <w:r w:rsidR="000B21C5" w:rsidRPr="00B85689">
        <w:rPr>
          <w:rFonts w:ascii="Times New Roman" w:hAnsi="Times New Roman" w:cs="Times New Roman"/>
        </w:rPr>
        <w:t>Development</w:t>
      </w:r>
      <w:r w:rsidRPr="00B85689">
        <w:rPr>
          <w:rFonts w:ascii="Times New Roman" w:hAnsi="Times New Roman" w:cs="Times New Roman"/>
        </w:rPr>
        <w:t>: Decision Tree Model</w:t>
      </w:r>
    </w:p>
    <w:p w14:paraId="63CF6686" w14:textId="77777777" w:rsidR="00872997" w:rsidRDefault="00000000" w:rsidP="00872997">
      <w:pPr>
        <w:rPr>
          <w:b/>
          <w:bCs/>
        </w:rPr>
      </w:pPr>
      <w:r>
        <w:rPr>
          <w:b/>
          <w:bCs/>
        </w:rPr>
        <w:t xml:space="preserve"> </w:t>
      </w:r>
    </w:p>
    <w:p w14:paraId="269D08D9" w14:textId="77777777" w:rsidR="00872997" w:rsidRPr="00D00F42" w:rsidRDefault="00000000" w:rsidP="00872997">
      <w:pPr>
        <w:rPr>
          <w:rFonts w:ascii="Times New Roman" w:hAnsi="Times New Roman" w:cs="Times New Roman"/>
          <w:color w:val="000000" w:themeColor="text1"/>
        </w:rPr>
      </w:pPr>
      <w:r w:rsidRPr="00D00F42">
        <w:rPr>
          <w:rFonts w:ascii="Times New Roman" w:hAnsi="Times New Roman" w:cs="Times New Roman"/>
          <w:color w:val="000000" w:themeColor="text1"/>
        </w:rPr>
        <w:t>We developed a basic decision tree using all available variables</w:t>
      </w:r>
      <w:r w:rsidR="001A5CD8" w:rsidRPr="00D00F42">
        <w:rPr>
          <w:rFonts w:ascii="Times New Roman" w:hAnsi="Times New Roman" w:cs="Times New Roman"/>
          <w:color w:val="000000" w:themeColor="text1"/>
        </w:rPr>
        <w:t xml:space="preserve"> with the default</w:t>
      </w:r>
      <w:r w:rsidR="00C0632C" w:rsidRPr="00D00F42">
        <w:rPr>
          <w:rFonts w:ascii="Times New Roman" w:hAnsi="Times New Roman" w:cs="Times New Roman"/>
          <w:color w:val="000000" w:themeColor="text1"/>
        </w:rPr>
        <w:t xml:space="preserve"> </w:t>
      </w:r>
      <w:r w:rsidR="008967B9" w:rsidRPr="00D00F42">
        <w:rPr>
          <w:rFonts w:ascii="Times New Roman" w:hAnsi="Times New Roman" w:cs="Times New Roman"/>
          <w:color w:val="000000" w:themeColor="text1"/>
        </w:rPr>
        <w:t>complexity parameter (cp)</w:t>
      </w:r>
      <w:r w:rsidRPr="00D00F42">
        <w:rPr>
          <w:rFonts w:ascii="Times New Roman" w:hAnsi="Times New Roman" w:cs="Times New Roman"/>
          <w:color w:val="000000" w:themeColor="text1"/>
        </w:rPr>
        <w:t>, which served as our baseline for further analysis. This initial step was crucial for gaining a preliminary understanding of the data's structure and the potential influence of various factors on employee attrition.</w:t>
      </w:r>
    </w:p>
    <w:p w14:paraId="716926C0" w14:textId="77777777" w:rsidR="004E4805" w:rsidRPr="00D00F42" w:rsidRDefault="004E4805" w:rsidP="00872997">
      <w:pPr>
        <w:rPr>
          <w:rFonts w:ascii="Times New Roman" w:hAnsi="Times New Roman" w:cs="Times New Roman"/>
          <w:color w:val="000000" w:themeColor="text1"/>
        </w:rPr>
      </w:pPr>
    </w:p>
    <w:p w14:paraId="6A007D3F" w14:textId="77777777" w:rsidR="00872997" w:rsidRPr="00D00F42" w:rsidRDefault="00000000" w:rsidP="00872997">
      <w:pPr>
        <w:rPr>
          <w:rFonts w:ascii="Times New Roman" w:hAnsi="Times New Roman" w:cs="Times New Roman"/>
          <w:color w:val="000000" w:themeColor="text1"/>
        </w:rPr>
      </w:pPr>
      <w:r w:rsidRPr="00D00F42">
        <w:rPr>
          <w:rFonts w:ascii="Times New Roman" w:hAnsi="Times New Roman" w:cs="Times New Roman"/>
          <w:color w:val="000000" w:themeColor="text1"/>
        </w:rPr>
        <w:t>We then expanded our analysis by fully developing the tree, allowing it to grow to its maximum depth without restrictions</w:t>
      </w:r>
      <w:r w:rsidR="003A2032" w:rsidRPr="00D00F42">
        <w:rPr>
          <w:rFonts w:ascii="Times New Roman" w:hAnsi="Times New Roman" w:cs="Times New Roman"/>
          <w:color w:val="000000" w:themeColor="text1"/>
        </w:rPr>
        <w:t xml:space="preserve"> (cp=0)</w:t>
      </w:r>
      <w:r w:rsidRPr="00D00F42">
        <w:rPr>
          <w:rFonts w:ascii="Times New Roman" w:hAnsi="Times New Roman" w:cs="Times New Roman"/>
          <w:color w:val="000000" w:themeColor="text1"/>
        </w:rPr>
        <w:t xml:space="preserve">. This method was instrumental in uncovering the full range of variables and interactions present in the dataset, </w:t>
      </w:r>
      <w:r w:rsidR="003A5B06" w:rsidRPr="00D00F42">
        <w:rPr>
          <w:rFonts w:ascii="Times New Roman" w:hAnsi="Times New Roman" w:cs="Times New Roman"/>
          <w:color w:val="000000" w:themeColor="text1"/>
        </w:rPr>
        <w:t>although</w:t>
      </w:r>
      <w:r w:rsidRPr="00D00F42">
        <w:rPr>
          <w:rFonts w:ascii="Times New Roman" w:hAnsi="Times New Roman" w:cs="Times New Roman"/>
          <w:color w:val="000000" w:themeColor="text1"/>
        </w:rPr>
        <w:t xml:space="preserve"> with an increased risk of overfitting.</w:t>
      </w:r>
      <w:r w:rsidR="00581D79" w:rsidRPr="00D00F42">
        <w:rPr>
          <w:rFonts w:ascii="Times New Roman" w:hAnsi="Times New Roman" w:cs="Times New Roman"/>
          <w:color w:val="000000" w:themeColor="text1"/>
        </w:rPr>
        <w:t xml:space="preserve"> The complexity parameter table of the full tree was examined to determine the optimal cp value </w:t>
      </w:r>
      <w:r w:rsidR="00581D79" w:rsidRPr="00D00F42">
        <w:rPr>
          <w:rFonts w:ascii="Times New Roman" w:hAnsi="Times New Roman" w:cs="Times New Roman"/>
          <w:color w:val="000000" w:themeColor="text1"/>
        </w:rPr>
        <w:lastRenderedPageBreak/>
        <w:t>that minimizes cross-validated error, leading to the selection of the best-pruned tree model.</w:t>
      </w:r>
      <w:r w:rsidR="00190E82" w:rsidRPr="00D00F42">
        <w:rPr>
          <w:rFonts w:ascii="Times New Roman" w:hAnsi="Times New Roman" w:cs="Times New Roman"/>
          <w:color w:val="000000" w:themeColor="text1"/>
        </w:rPr>
        <w:t xml:space="preserve"> </w:t>
      </w:r>
      <w:r w:rsidR="00F34802" w:rsidRPr="00D00F42">
        <w:rPr>
          <w:rFonts w:ascii="Times New Roman" w:hAnsi="Times New Roman" w:cs="Times New Roman"/>
          <w:color w:val="000000" w:themeColor="text1"/>
        </w:rPr>
        <w:t xml:space="preserve">The </w:t>
      </w:r>
      <w:r w:rsidR="00333FF6" w:rsidRPr="00D00F42">
        <w:rPr>
          <w:rFonts w:ascii="Times New Roman" w:hAnsi="Times New Roman" w:cs="Times New Roman"/>
          <w:color w:val="000000" w:themeColor="text1"/>
        </w:rPr>
        <w:t>best cp value used for the final model was 0.</w:t>
      </w:r>
      <w:r w:rsidR="007C19CE" w:rsidRPr="00D00F42">
        <w:rPr>
          <w:rFonts w:ascii="Times New Roman" w:hAnsi="Times New Roman" w:cs="Times New Roman"/>
          <w:color w:val="000000" w:themeColor="text1"/>
        </w:rPr>
        <w:t>01052.</w:t>
      </w:r>
    </w:p>
    <w:p w14:paraId="2FD1D080" w14:textId="77777777" w:rsidR="00581D79" w:rsidRPr="00B85689" w:rsidRDefault="00581D79" w:rsidP="00872997">
      <w:pPr>
        <w:rPr>
          <w:rFonts w:ascii="Times New Roman" w:hAnsi="Times New Roman" w:cs="Times New Roman"/>
        </w:rPr>
      </w:pPr>
    </w:p>
    <w:p w14:paraId="1F388695" w14:textId="77777777" w:rsidR="00A97E51" w:rsidRPr="00B85689" w:rsidRDefault="00000000" w:rsidP="00A97E51">
      <w:pPr>
        <w:rPr>
          <w:rFonts w:ascii="Times New Roman" w:hAnsi="Times New Roman" w:cs="Times New Roman"/>
        </w:rPr>
      </w:pPr>
      <w:r w:rsidRPr="00B85689">
        <w:rPr>
          <w:rFonts w:ascii="Times New Roman" w:hAnsi="Times New Roman" w:cs="Times New Roman"/>
        </w:rPr>
        <w:t xml:space="preserve">The pruning process, critical for enhancing the model's generalizability, involves reducing the size of the full tree to avoid overfitting. </w:t>
      </w:r>
      <w:r w:rsidR="0054165E">
        <w:rPr>
          <w:rFonts w:ascii="Times New Roman" w:hAnsi="Times New Roman" w:cs="Times New Roman"/>
        </w:rPr>
        <w:t>The pruned tree was finalized by applying the optimal cp value obtained from the full tree's complexity parameter table</w:t>
      </w:r>
      <w:r w:rsidRPr="00B85689">
        <w:rPr>
          <w:rFonts w:ascii="Times New Roman" w:hAnsi="Times New Roman" w:cs="Times New Roman"/>
        </w:rPr>
        <w:t>. This model strikes a balance between complexity and predictive accuracy.</w:t>
      </w:r>
    </w:p>
    <w:p w14:paraId="568FD1ED" w14:textId="77777777" w:rsidR="00A97E51" w:rsidRDefault="00A97E51" w:rsidP="00872997"/>
    <w:p w14:paraId="66755C18" w14:textId="77777777" w:rsidR="00ED183D" w:rsidRPr="00B85689" w:rsidRDefault="00000000" w:rsidP="00872997">
      <w:pPr>
        <w:rPr>
          <w:rFonts w:ascii="Times New Roman" w:hAnsi="Times New Roman" w:cs="Times New Roman"/>
        </w:rPr>
      </w:pPr>
      <w:r w:rsidRPr="00B85689">
        <w:rPr>
          <w:rFonts w:ascii="Times New Roman" w:hAnsi="Times New Roman" w:cs="Times New Roman"/>
        </w:rPr>
        <w:t>A comparison was also made with a tree pruned using cost complexity (with a predefined cp=0.01), showcasing an alternative approach to controlling the tree's growth and complexity.</w:t>
      </w:r>
    </w:p>
    <w:p w14:paraId="3F5AED3E" w14:textId="77777777" w:rsidR="00FB3F1F" w:rsidRDefault="00FB3F1F" w:rsidP="00872997"/>
    <w:p w14:paraId="1E4C4C47" w14:textId="77777777" w:rsidR="00FB3F1F" w:rsidRPr="00B85689" w:rsidRDefault="00000000" w:rsidP="00FB3F1F">
      <w:pPr>
        <w:rPr>
          <w:rFonts w:ascii="Times New Roman" w:hAnsi="Times New Roman" w:cs="Times New Roman"/>
        </w:rPr>
      </w:pPr>
      <w:r w:rsidRPr="00B85689">
        <w:rPr>
          <w:rFonts w:ascii="Times New Roman" w:hAnsi="Times New Roman" w:cs="Times New Roman"/>
        </w:rPr>
        <w:t>All variables were used to fit the initial model</w:t>
      </w:r>
      <w:r w:rsidR="00A30D8F">
        <w:rPr>
          <w:rFonts w:ascii="Times New Roman" w:hAnsi="Times New Roman" w:cs="Times New Roman"/>
        </w:rPr>
        <w:t>. T</w:t>
      </w:r>
      <w:r w:rsidRPr="00B85689">
        <w:rPr>
          <w:rFonts w:ascii="Times New Roman" w:hAnsi="Times New Roman" w:cs="Times New Roman"/>
        </w:rPr>
        <w:t xml:space="preserve">hen, stepwise variable selection techniques were employed to remove variables based on the default AIC metric to avoid overfitting the model to the training data. The </w:t>
      </w:r>
      <w:r w:rsidR="008D55F6" w:rsidRPr="00B85689">
        <w:rPr>
          <w:rFonts w:ascii="Times New Roman" w:hAnsi="Times New Roman" w:cs="Times New Roman"/>
        </w:rPr>
        <w:t xml:space="preserve">final </w:t>
      </w:r>
      <w:r w:rsidR="00BF7833" w:rsidRPr="00B85689">
        <w:rPr>
          <w:rFonts w:ascii="Times New Roman" w:hAnsi="Times New Roman" w:cs="Times New Roman"/>
        </w:rPr>
        <w:t xml:space="preserve">pruned tree had </w:t>
      </w:r>
      <w:r w:rsidR="00A30D8F">
        <w:rPr>
          <w:rFonts w:ascii="Times New Roman" w:hAnsi="Times New Roman" w:cs="Times New Roman"/>
        </w:rPr>
        <w:t>23 nodes compared to the fully expanded tree, which</w:t>
      </w:r>
      <w:r w:rsidRPr="00B85689">
        <w:rPr>
          <w:rFonts w:ascii="Times New Roman" w:hAnsi="Times New Roman" w:cs="Times New Roman"/>
        </w:rPr>
        <w:t xml:space="preserve"> used</w:t>
      </w:r>
      <w:r w:rsidR="0019787B" w:rsidRPr="00B85689">
        <w:rPr>
          <w:rFonts w:ascii="Times New Roman" w:hAnsi="Times New Roman" w:cs="Times New Roman"/>
        </w:rPr>
        <w:t xml:space="preserve"> </w:t>
      </w:r>
      <w:r w:rsidR="00942BC0" w:rsidRPr="00B85689">
        <w:rPr>
          <w:rFonts w:ascii="Times New Roman" w:hAnsi="Times New Roman" w:cs="Times New Roman"/>
        </w:rPr>
        <w:t xml:space="preserve">43 </w:t>
      </w:r>
      <w:r w:rsidR="0019787B" w:rsidRPr="00B85689">
        <w:rPr>
          <w:rFonts w:ascii="Times New Roman" w:hAnsi="Times New Roman" w:cs="Times New Roman"/>
        </w:rPr>
        <w:t>nodes</w:t>
      </w:r>
      <w:r w:rsidRPr="00B85689">
        <w:rPr>
          <w:rFonts w:ascii="Times New Roman" w:hAnsi="Times New Roman" w:cs="Times New Roman"/>
        </w:rPr>
        <w:t xml:space="preserve">. </w:t>
      </w:r>
      <w:r w:rsidRPr="00E125B0">
        <w:rPr>
          <w:rFonts w:ascii="Times New Roman" w:hAnsi="Times New Roman" w:cs="Times New Roman"/>
        </w:rPr>
        <w:t>The refined model performed well on the training set</w:t>
      </w:r>
      <w:r w:rsidR="0011411C" w:rsidRPr="00E125B0">
        <w:rPr>
          <w:rFonts w:ascii="Times New Roman" w:hAnsi="Times New Roman" w:cs="Times New Roman"/>
        </w:rPr>
        <w:t>, with a balanced accuracy of 0.7104</w:t>
      </w:r>
      <w:r w:rsidR="00AA5705" w:rsidRPr="00E125B0">
        <w:rPr>
          <w:rFonts w:ascii="Times New Roman" w:hAnsi="Times New Roman" w:cs="Times New Roman"/>
        </w:rPr>
        <w:t xml:space="preserve"> compared to t</w:t>
      </w:r>
      <w:r w:rsidRPr="00E125B0">
        <w:rPr>
          <w:rFonts w:ascii="Times New Roman" w:hAnsi="Times New Roman" w:cs="Times New Roman"/>
        </w:rPr>
        <w:t xml:space="preserve">he </w:t>
      </w:r>
      <w:r w:rsidR="00E25EF8" w:rsidRPr="00E125B0">
        <w:rPr>
          <w:rFonts w:ascii="Times New Roman" w:hAnsi="Times New Roman" w:cs="Times New Roman"/>
        </w:rPr>
        <w:t xml:space="preserve">fully expanded tree </w:t>
      </w:r>
      <w:r w:rsidRPr="00E125B0">
        <w:rPr>
          <w:rFonts w:ascii="Times New Roman" w:hAnsi="Times New Roman" w:cs="Times New Roman"/>
        </w:rPr>
        <w:t>model</w:t>
      </w:r>
      <w:r w:rsidR="00E125B0" w:rsidRPr="00E125B0">
        <w:rPr>
          <w:rFonts w:ascii="Times New Roman" w:hAnsi="Times New Roman" w:cs="Times New Roman"/>
        </w:rPr>
        <w:t>, with a balanced accuracy of 0.7434 compared to the final model</w:t>
      </w:r>
      <w:r w:rsidR="004D0E2E" w:rsidRPr="00E125B0">
        <w:rPr>
          <w:rFonts w:ascii="Times New Roman" w:hAnsi="Times New Roman" w:cs="Times New Roman"/>
        </w:rPr>
        <w:t>.</w:t>
      </w:r>
    </w:p>
    <w:p w14:paraId="7016F0B8" w14:textId="77777777" w:rsidR="00FB3F1F" w:rsidRDefault="00FB3F1F" w:rsidP="00872997"/>
    <w:p w14:paraId="3B1DB423" w14:textId="77777777" w:rsidR="00872997" w:rsidRPr="00872997" w:rsidRDefault="00000000" w:rsidP="00872997">
      <w:r w:rsidRPr="00872997">
        <w:rPr>
          <w:b/>
          <w:bCs/>
        </w:rPr>
        <w:t>Model Comparison and Performance Evaluation</w:t>
      </w:r>
    </w:p>
    <w:p w14:paraId="7D946EC3" w14:textId="77777777" w:rsidR="00872997" w:rsidRPr="00872997" w:rsidRDefault="00000000" w:rsidP="3EBF6BBB">
      <w:pPr>
        <w:rPr>
          <w:rFonts w:ascii="Times New Roman" w:eastAsia="Times New Roman" w:hAnsi="Times New Roman" w:cs="Times New Roman"/>
        </w:rPr>
      </w:pPr>
      <w:r w:rsidRPr="3EBF6BBB">
        <w:rPr>
          <w:rFonts w:ascii="Times New Roman" w:eastAsia="Times New Roman" w:hAnsi="Times New Roman" w:cs="Times New Roman"/>
        </w:rPr>
        <w:t xml:space="preserve">The effectiveness of both the basic and refined (pruned) models was measured against a testing dataset. This evaluation focused on various key metrics, such as accuracy, sensitivity, and specificity, which were instrumental in </w:t>
      </w:r>
      <w:r w:rsidR="4D4E1B63" w:rsidRPr="3EBF6BBB">
        <w:rPr>
          <w:rFonts w:ascii="Times New Roman" w:eastAsia="Times New Roman" w:hAnsi="Times New Roman" w:cs="Times New Roman"/>
        </w:rPr>
        <w:t>evaluating</w:t>
      </w:r>
      <w:r w:rsidR="0C32C463" w:rsidRPr="3EBF6BBB">
        <w:rPr>
          <w:rFonts w:ascii="Times New Roman" w:eastAsia="Times New Roman" w:hAnsi="Times New Roman" w:cs="Times New Roman"/>
        </w:rPr>
        <w:t xml:space="preserve"> </w:t>
      </w:r>
      <w:r w:rsidRPr="3EBF6BBB">
        <w:rPr>
          <w:rFonts w:ascii="Times New Roman" w:eastAsia="Times New Roman" w:hAnsi="Times New Roman" w:cs="Times New Roman"/>
        </w:rPr>
        <w:t>the models' performance.</w:t>
      </w:r>
    </w:p>
    <w:p w14:paraId="426A3D0E" w14:textId="77777777" w:rsidR="00C86A2F" w:rsidRDefault="00C86A2F" w:rsidP="00872997"/>
    <w:p w14:paraId="00B5127D" w14:textId="77777777" w:rsidR="00C86A2F" w:rsidRDefault="00000000" w:rsidP="00872997">
      <w:r w:rsidRPr="0047248C">
        <w:rPr>
          <w:noProof/>
        </w:rPr>
        <w:drawing>
          <wp:inline distT="0" distB="0" distL="0" distR="0" wp14:anchorId="7EE39EAE" wp14:editId="7D4B62EE">
            <wp:extent cx="2981339" cy="2639568"/>
            <wp:effectExtent l="0" t="0" r="0" b="8890"/>
            <wp:docPr id="1140081985" name="Picture 3" descr="A graph of a tree model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81985" name="Picture 3" descr="A graph of a tree model performan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88595" cy="2645992"/>
                    </a:xfrm>
                    <a:prstGeom prst="rect">
                      <a:avLst/>
                    </a:prstGeom>
                    <a:noFill/>
                    <a:ln>
                      <a:noFill/>
                    </a:ln>
                  </pic:spPr>
                </pic:pic>
              </a:graphicData>
            </a:graphic>
          </wp:inline>
        </w:drawing>
      </w:r>
    </w:p>
    <w:p w14:paraId="3D92F511" w14:textId="77777777" w:rsidR="008F6CD3" w:rsidRDefault="00000000" w:rsidP="00CB4ECE">
      <w:pPr>
        <w:pStyle w:val="Caption"/>
      </w:pPr>
      <w:bookmarkStart w:id="5" w:name="_Ref173765129"/>
      <w:r>
        <w:t xml:space="preserve">Figure </w:t>
      </w:r>
      <w:r>
        <w:fldChar w:fldCharType="begin"/>
      </w:r>
      <w:r>
        <w:instrText xml:space="preserve"> SEQ Figure \* ARABIC </w:instrText>
      </w:r>
      <w:r>
        <w:fldChar w:fldCharType="separate"/>
      </w:r>
      <w:r w:rsidR="00EA5E5E">
        <w:rPr>
          <w:noProof/>
        </w:rPr>
        <w:t>4</w:t>
      </w:r>
      <w:r>
        <w:fldChar w:fldCharType="end"/>
      </w:r>
      <w:bookmarkEnd w:id="5"/>
      <w:r w:rsidRPr="008459A1">
        <w:t>. Decision Tree Model Performance Metrics</w:t>
      </w:r>
    </w:p>
    <w:p w14:paraId="49D054BC" w14:textId="77777777" w:rsidR="00872997" w:rsidRPr="00872997" w:rsidRDefault="00000000" w:rsidP="3EBF6BBB">
      <w:pPr>
        <w:rPr>
          <w:rFonts w:ascii="Times New Roman" w:eastAsia="Times New Roman" w:hAnsi="Times New Roman" w:cs="Times New Roman"/>
        </w:rPr>
      </w:pPr>
      <w:r w:rsidRPr="002E577E">
        <w:rPr>
          <w:rFonts w:ascii="Times New Roman" w:eastAsia="Times New Roman" w:hAnsi="Times New Roman" w:cs="Times New Roman"/>
        </w:rPr>
        <w:fldChar w:fldCharType="begin"/>
      </w:r>
      <w:r w:rsidRPr="002E577E">
        <w:rPr>
          <w:rFonts w:ascii="Times New Roman" w:eastAsia="Times New Roman" w:hAnsi="Times New Roman" w:cs="Times New Roman"/>
        </w:rPr>
        <w:instrText xml:space="preserve"> REF _Ref173765129 \h </w:instrText>
      </w:r>
      <w:r>
        <w:rPr>
          <w:rFonts w:ascii="Times New Roman" w:eastAsia="Times New Roman" w:hAnsi="Times New Roman" w:cs="Times New Roman"/>
        </w:rPr>
        <w:instrText xml:space="preserve"> \* MERGEFORMAT </w:instrText>
      </w:r>
      <w:r w:rsidRPr="002E577E">
        <w:rPr>
          <w:rFonts w:ascii="Times New Roman" w:eastAsia="Times New Roman" w:hAnsi="Times New Roman" w:cs="Times New Roman"/>
        </w:rPr>
      </w:r>
      <w:r w:rsidRPr="002E577E">
        <w:rPr>
          <w:rFonts w:ascii="Times New Roman" w:eastAsia="Times New Roman" w:hAnsi="Times New Roman" w:cs="Times New Roman"/>
        </w:rPr>
        <w:fldChar w:fldCharType="separate"/>
      </w:r>
      <w:r w:rsidRPr="00D00F42">
        <w:rPr>
          <w:rFonts w:ascii="Times New Roman" w:hAnsi="Times New Roman" w:cs="Times New Roman"/>
        </w:rPr>
        <w:t xml:space="preserve">Figure </w:t>
      </w:r>
      <w:r w:rsidRPr="00D00F42">
        <w:rPr>
          <w:rFonts w:ascii="Times New Roman" w:hAnsi="Times New Roman" w:cs="Times New Roman"/>
          <w:noProof/>
        </w:rPr>
        <w:t>4</w:t>
      </w:r>
      <w:r w:rsidRPr="002E577E">
        <w:rPr>
          <w:rFonts w:ascii="Times New Roman" w:eastAsia="Times New Roman" w:hAnsi="Times New Roman" w:cs="Times New Roman"/>
        </w:rPr>
        <w:fldChar w:fldCharType="end"/>
      </w:r>
      <w:r>
        <w:rPr>
          <w:rFonts w:ascii="Times New Roman" w:eastAsia="Times New Roman" w:hAnsi="Times New Roman" w:cs="Times New Roman"/>
        </w:rPr>
        <w:t xml:space="preserve"> </w:t>
      </w:r>
      <w:r w:rsidR="1FA1BFA8" w:rsidRPr="3EBF6BBB">
        <w:rPr>
          <w:rFonts w:ascii="Times New Roman" w:eastAsia="Times New Roman" w:hAnsi="Times New Roman" w:cs="Times New Roman"/>
        </w:rPr>
        <w:t>showcases the p</w:t>
      </w:r>
      <w:r w:rsidR="008F6417">
        <w:rPr>
          <w:rFonts w:ascii="Times New Roman" w:eastAsia="Times New Roman" w:hAnsi="Times New Roman" w:cs="Times New Roman"/>
        </w:rPr>
        <w:t>runed decision tree model's performance in terms of overall accuracy and balanced accuracy. The overall accuracy peaks at the 0.15 threshold, while the balanced accuracy peaks at the 0.1 threshold,</w:t>
      </w:r>
      <w:r w:rsidR="3B099EF5" w:rsidRPr="3EBF6BBB">
        <w:rPr>
          <w:rFonts w:ascii="Times New Roman" w:eastAsia="Times New Roman" w:hAnsi="Times New Roman" w:cs="Times New Roman"/>
        </w:rPr>
        <w:t xml:space="preserve"> suggesting that the optimal threshold for the model </w:t>
      </w:r>
      <w:r w:rsidR="20D4E2A2" w:rsidRPr="3EBF6BBB">
        <w:rPr>
          <w:rFonts w:ascii="Times New Roman" w:eastAsia="Times New Roman" w:hAnsi="Times New Roman" w:cs="Times New Roman"/>
        </w:rPr>
        <w:t xml:space="preserve">is </w:t>
      </w:r>
      <w:r w:rsidR="0CAC9223" w:rsidRPr="3EBF6BBB">
        <w:rPr>
          <w:rFonts w:ascii="Times New Roman" w:eastAsia="Times New Roman" w:hAnsi="Times New Roman" w:cs="Times New Roman"/>
        </w:rPr>
        <w:t>0.1</w:t>
      </w:r>
      <w:r w:rsidR="1FA1BFA8" w:rsidRPr="3EBF6BBB">
        <w:rPr>
          <w:rFonts w:ascii="Times New Roman" w:eastAsia="Times New Roman" w:hAnsi="Times New Roman" w:cs="Times New Roman"/>
        </w:rPr>
        <w:t>.</w:t>
      </w:r>
    </w:p>
    <w:p w14:paraId="584F8125" w14:textId="77777777" w:rsidR="00ED183D" w:rsidRDefault="00ED183D" w:rsidP="3EBF6BBB">
      <w:pPr>
        <w:rPr>
          <w:rFonts w:ascii="Times New Roman" w:eastAsia="Times New Roman" w:hAnsi="Times New Roman" w:cs="Times New Roman"/>
          <w:b/>
          <w:bCs/>
        </w:rPr>
      </w:pPr>
    </w:p>
    <w:p w14:paraId="7D1A41E7" w14:textId="77777777" w:rsidR="00872997" w:rsidRPr="00872997" w:rsidRDefault="00000000" w:rsidP="3EBF6BBB">
      <w:pPr>
        <w:rPr>
          <w:rFonts w:ascii="Times New Roman" w:eastAsia="Times New Roman" w:hAnsi="Times New Roman" w:cs="Times New Roman"/>
          <w:b/>
          <w:bCs/>
        </w:rPr>
      </w:pPr>
      <w:r w:rsidRPr="3EBF6BBB">
        <w:rPr>
          <w:rFonts w:ascii="Times New Roman" w:eastAsia="Times New Roman" w:hAnsi="Times New Roman" w:cs="Times New Roman"/>
          <w:b/>
          <w:bCs/>
        </w:rPr>
        <w:t>Performance Insights</w:t>
      </w:r>
    </w:p>
    <w:p w14:paraId="735F3679" w14:textId="77777777" w:rsidR="00AA11D9" w:rsidRPr="006F1CC1" w:rsidRDefault="00000000" w:rsidP="3EBF6BBB">
      <w:pPr>
        <w:rPr>
          <w:rFonts w:ascii="Times New Roman" w:eastAsia="Times New Roman" w:hAnsi="Times New Roman" w:cs="Times New Roman"/>
        </w:rPr>
      </w:pPr>
      <w:r w:rsidRPr="3EBF6BBB">
        <w:rPr>
          <w:rFonts w:ascii="Times New Roman" w:eastAsia="Times New Roman" w:hAnsi="Times New Roman" w:cs="Times New Roman"/>
        </w:rPr>
        <w:t xml:space="preserve">The overall accuracy of the pruned decision tree model on the test set was 73.37%, with a sensitivity of 61.70%, meaning it accurately predicted 29 out of the 47 employees </w:t>
      </w:r>
      <w:r w:rsidR="00DF6F3E">
        <w:rPr>
          <w:rFonts w:ascii="Times New Roman" w:eastAsia="Times New Roman" w:hAnsi="Times New Roman" w:cs="Times New Roman"/>
        </w:rPr>
        <w:t>who</w:t>
      </w:r>
      <w:r w:rsidRPr="3EBF6BBB">
        <w:rPr>
          <w:rFonts w:ascii="Times New Roman" w:eastAsia="Times New Roman" w:hAnsi="Times New Roman" w:cs="Times New Roman"/>
        </w:rPr>
        <w:t xml:space="preserve"> left the </w:t>
      </w:r>
      <w:r w:rsidRPr="3EBF6BBB">
        <w:rPr>
          <w:rFonts w:ascii="Times New Roman" w:eastAsia="Times New Roman" w:hAnsi="Times New Roman" w:cs="Times New Roman"/>
        </w:rPr>
        <w:lastRenderedPageBreak/>
        <w:t xml:space="preserve">organization. The model's performance metrics highlight its utility in accurately predicting employee attrition. These findings underscore the model's predictive strength and </w:t>
      </w:r>
      <w:r w:rsidR="00DF6F3E">
        <w:rPr>
          <w:rFonts w:ascii="Times New Roman" w:eastAsia="Times New Roman" w:hAnsi="Times New Roman" w:cs="Times New Roman"/>
        </w:rPr>
        <w:t>potential to serve as a reliable tool for</w:t>
      </w:r>
      <w:r w:rsidRPr="3EBF6BBB">
        <w:rPr>
          <w:rFonts w:ascii="Times New Roman" w:eastAsia="Times New Roman" w:hAnsi="Times New Roman" w:cs="Times New Roman"/>
        </w:rPr>
        <w:t xml:space="preserve"> identifying at-risk employees. Further details and specific figures are presented in Table XX, which outlines the model's performance across different metrics.</w:t>
      </w:r>
    </w:p>
    <w:p w14:paraId="26B9AE07" w14:textId="77777777" w:rsidR="36704E9D" w:rsidRDefault="36704E9D" w:rsidP="3EBF6BBB">
      <w:pPr>
        <w:rPr>
          <w:rFonts w:ascii="Times New Roman" w:eastAsia="Times New Roman" w:hAnsi="Times New Roman" w:cs="Times New Roman"/>
        </w:rPr>
      </w:pPr>
    </w:p>
    <w:p w14:paraId="3C5615F0" w14:textId="77777777" w:rsidR="36704E9D" w:rsidRPr="00B85689" w:rsidRDefault="00000000" w:rsidP="00B85689">
      <w:pPr>
        <w:pStyle w:val="Heading1"/>
        <w:rPr>
          <w:rFonts w:ascii="Times New Roman" w:hAnsi="Times New Roman" w:cs="Times New Roman"/>
        </w:rPr>
      </w:pPr>
      <w:bookmarkStart w:id="6" w:name="_Ref173514552"/>
      <w:r w:rsidRPr="00B85689">
        <w:rPr>
          <w:rFonts w:ascii="Times New Roman" w:hAnsi="Times New Roman" w:cs="Times New Roman"/>
        </w:rPr>
        <w:t>Model Performance and Selection</w:t>
      </w:r>
      <w:bookmarkEnd w:id="6"/>
    </w:p>
    <w:p w14:paraId="4D947865" w14:textId="77777777" w:rsidR="00B85689" w:rsidRDefault="00B85689" w:rsidP="36704E9D"/>
    <w:p w14:paraId="53DB9D39" w14:textId="77777777" w:rsidR="00364149" w:rsidRPr="00E05E02" w:rsidRDefault="00000000" w:rsidP="36704E9D">
      <w:pPr>
        <w:rPr>
          <w:rFonts w:ascii="Times New Roman" w:hAnsi="Times New Roman" w:cs="Times New Roman"/>
        </w:rPr>
      </w:pPr>
      <w:r w:rsidRPr="00E05E02">
        <w:rPr>
          <w:rFonts w:ascii="Times New Roman" w:hAnsi="Times New Roman" w:cs="Times New Roman"/>
        </w:rPr>
        <w:t>As previously discussed</w:t>
      </w:r>
      <w:r w:rsidR="006F00C6" w:rsidRPr="00E05E02">
        <w:rPr>
          <w:rFonts w:ascii="Times New Roman" w:hAnsi="Times New Roman" w:cs="Times New Roman"/>
        </w:rPr>
        <w:t>, b</w:t>
      </w:r>
      <w:r w:rsidR="00954680" w:rsidRPr="00E05E02">
        <w:rPr>
          <w:rFonts w:ascii="Times New Roman" w:hAnsi="Times New Roman" w:cs="Times New Roman"/>
        </w:rPr>
        <w:t>oth models</w:t>
      </w:r>
      <w:r w:rsidR="006F00C6" w:rsidRPr="00E05E02">
        <w:rPr>
          <w:rFonts w:ascii="Times New Roman" w:hAnsi="Times New Roman" w:cs="Times New Roman"/>
        </w:rPr>
        <w:t xml:space="preserve"> had </w:t>
      </w:r>
      <w:r w:rsidR="00005E10" w:rsidRPr="00E05E02">
        <w:rPr>
          <w:rFonts w:ascii="Times New Roman" w:hAnsi="Times New Roman" w:cs="Times New Roman"/>
        </w:rPr>
        <w:t>similar overall</w:t>
      </w:r>
      <w:r w:rsidR="006F00C6" w:rsidRPr="00E05E02">
        <w:rPr>
          <w:rFonts w:ascii="Times New Roman" w:hAnsi="Times New Roman" w:cs="Times New Roman"/>
        </w:rPr>
        <w:t xml:space="preserve"> accuracy ratings</w:t>
      </w:r>
      <w:r w:rsidR="00D33FC7" w:rsidRPr="00E05E02">
        <w:rPr>
          <w:rFonts w:ascii="Times New Roman" w:hAnsi="Times New Roman" w:cs="Times New Roman"/>
        </w:rPr>
        <w:t>.</w:t>
      </w:r>
      <w:r w:rsidR="004B61B9" w:rsidRPr="00E05E02">
        <w:rPr>
          <w:rFonts w:ascii="Times New Roman" w:hAnsi="Times New Roman" w:cs="Times New Roman"/>
        </w:rPr>
        <w:t xml:space="preserve"> </w:t>
      </w:r>
      <w:r w:rsidR="00E022A6" w:rsidRPr="00E05E02">
        <w:rPr>
          <w:rFonts w:ascii="Times New Roman" w:hAnsi="Times New Roman" w:cs="Times New Roman"/>
        </w:rPr>
        <w:t>Key p</w:t>
      </w:r>
      <w:r w:rsidR="004B61B9" w:rsidRPr="00E05E02">
        <w:rPr>
          <w:rFonts w:ascii="Times New Roman" w:hAnsi="Times New Roman" w:cs="Times New Roman"/>
        </w:rPr>
        <w:t xml:space="preserve">erformance metrics for both models are shown in </w:t>
      </w:r>
      <w:r w:rsidR="004B61B9" w:rsidRPr="00E05E02">
        <w:rPr>
          <w:rFonts w:ascii="Times New Roman" w:hAnsi="Times New Roman" w:cs="Times New Roman"/>
        </w:rPr>
        <w:fldChar w:fldCharType="begin"/>
      </w:r>
      <w:r w:rsidR="004B61B9" w:rsidRPr="00E05E02">
        <w:rPr>
          <w:rFonts w:ascii="Times New Roman" w:hAnsi="Times New Roman" w:cs="Times New Roman"/>
        </w:rPr>
        <w:instrText xml:space="preserve"> REF _Ref173511123 \h </w:instrText>
      </w:r>
      <w:r w:rsidR="00E05E02">
        <w:rPr>
          <w:rFonts w:ascii="Times New Roman" w:hAnsi="Times New Roman" w:cs="Times New Roman"/>
        </w:rPr>
        <w:instrText xml:space="preserve"> \* MERGEFORMAT </w:instrText>
      </w:r>
      <w:r w:rsidR="004B61B9" w:rsidRPr="00E05E02">
        <w:rPr>
          <w:rFonts w:ascii="Times New Roman" w:hAnsi="Times New Roman" w:cs="Times New Roman"/>
        </w:rPr>
      </w:r>
      <w:r w:rsidR="004B61B9" w:rsidRPr="00E05E02">
        <w:rPr>
          <w:rFonts w:ascii="Times New Roman" w:hAnsi="Times New Roman" w:cs="Times New Roman"/>
        </w:rPr>
        <w:fldChar w:fldCharType="separate"/>
      </w:r>
      <w:r w:rsidR="004B61B9" w:rsidRPr="00E05E02">
        <w:rPr>
          <w:rFonts w:ascii="Times New Roman" w:hAnsi="Times New Roman" w:cs="Times New Roman"/>
        </w:rPr>
        <w:t>Figure 3</w:t>
      </w:r>
      <w:r w:rsidR="004B61B9" w:rsidRPr="00E05E02">
        <w:rPr>
          <w:rFonts w:ascii="Times New Roman" w:hAnsi="Times New Roman" w:cs="Times New Roman"/>
        </w:rPr>
        <w:fldChar w:fldCharType="end"/>
      </w:r>
      <w:r w:rsidR="00E022A6" w:rsidRPr="00E05E02">
        <w:rPr>
          <w:rFonts w:ascii="Times New Roman" w:hAnsi="Times New Roman" w:cs="Times New Roman"/>
        </w:rPr>
        <w:t xml:space="preserve"> for comparison</w:t>
      </w:r>
      <w:r w:rsidR="004B61B9" w:rsidRPr="00E05E02">
        <w:rPr>
          <w:rFonts w:ascii="Times New Roman" w:hAnsi="Times New Roman" w:cs="Times New Roman"/>
        </w:rPr>
        <w:t>.</w:t>
      </w:r>
    </w:p>
    <w:p w14:paraId="2B2B6814" w14:textId="77777777" w:rsidR="00364149" w:rsidRDefault="00364149" w:rsidP="36704E9D"/>
    <w:p w14:paraId="3B448EF9" w14:textId="77777777" w:rsidR="004B61B9" w:rsidRDefault="00000000" w:rsidP="004B61B9">
      <w:pPr>
        <w:keepNext/>
      </w:pPr>
      <w:r w:rsidRPr="004B61B9">
        <w:rPr>
          <w:noProof/>
        </w:rPr>
        <w:drawing>
          <wp:inline distT="0" distB="0" distL="0" distR="0" wp14:anchorId="501F500D" wp14:editId="5C4EEBD8">
            <wp:extent cx="2895600" cy="2717409"/>
            <wp:effectExtent l="0" t="0" r="0" b="6985"/>
            <wp:docPr id="1518789481" name="Picture 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89481" name="Picture 7" descr="A graph of different colored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95600" cy="2717409"/>
                    </a:xfrm>
                    <a:prstGeom prst="rect">
                      <a:avLst/>
                    </a:prstGeom>
                    <a:noFill/>
                    <a:ln>
                      <a:noFill/>
                    </a:ln>
                  </pic:spPr>
                </pic:pic>
              </a:graphicData>
            </a:graphic>
          </wp:inline>
        </w:drawing>
      </w:r>
    </w:p>
    <w:p w14:paraId="502DB9C7" w14:textId="77777777" w:rsidR="004B61B9" w:rsidRPr="004B61B9" w:rsidRDefault="00000000" w:rsidP="004B61B9">
      <w:pPr>
        <w:pStyle w:val="Caption"/>
      </w:pPr>
      <w:bookmarkStart w:id="7" w:name="_Ref173511123"/>
      <w:r>
        <w:t xml:space="preserve">Figure </w:t>
      </w:r>
      <w:r>
        <w:fldChar w:fldCharType="begin"/>
      </w:r>
      <w:r>
        <w:instrText xml:space="preserve"> SEQ Figure \* ARABIC </w:instrText>
      </w:r>
      <w:r>
        <w:fldChar w:fldCharType="separate"/>
      </w:r>
      <w:r w:rsidR="00EA5E5E">
        <w:rPr>
          <w:noProof/>
        </w:rPr>
        <w:t>5</w:t>
      </w:r>
      <w:r>
        <w:fldChar w:fldCharType="end"/>
      </w:r>
      <w:bookmarkEnd w:id="7"/>
      <w:r>
        <w:t>. Model Performance Comparison</w:t>
      </w:r>
    </w:p>
    <w:p w14:paraId="053CE089" w14:textId="77777777" w:rsidR="004B61B9" w:rsidRDefault="004B61B9" w:rsidP="36704E9D"/>
    <w:p w14:paraId="0B7EA810" w14:textId="77777777" w:rsidR="002D6ADD" w:rsidRDefault="00000000" w:rsidP="36704E9D">
      <w:r w:rsidRPr="00E05E02">
        <w:rPr>
          <w:rFonts w:ascii="Times New Roman" w:hAnsi="Times New Roman" w:cs="Times New Roman"/>
        </w:rPr>
        <w:t xml:space="preserve">As seen </w:t>
      </w:r>
      <w:r w:rsidRPr="0033727F">
        <w:rPr>
          <w:rFonts w:ascii="Times New Roman" w:hAnsi="Times New Roman" w:cs="Times New Roman"/>
        </w:rPr>
        <w:t>in</w:t>
      </w:r>
      <w:r w:rsidR="005853B3" w:rsidRPr="0033727F">
        <w:rPr>
          <w:rFonts w:ascii="Times New Roman" w:hAnsi="Times New Roman" w:cs="Times New Roman"/>
        </w:rPr>
        <w:t xml:space="preserve"> </w:t>
      </w:r>
      <w:r w:rsidR="006346B9" w:rsidRPr="0033727F">
        <w:rPr>
          <w:rFonts w:ascii="Times New Roman" w:hAnsi="Times New Roman" w:cs="Times New Roman"/>
        </w:rPr>
        <w:fldChar w:fldCharType="begin"/>
      </w:r>
      <w:r w:rsidR="006346B9" w:rsidRPr="0033727F">
        <w:rPr>
          <w:rFonts w:ascii="Times New Roman" w:hAnsi="Times New Roman" w:cs="Times New Roman"/>
        </w:rPr>
        <w:instrText xml:space="preserve"> REF _Ref173511123 \h </w:instrText>
      </w:r>
      <w:r w:rsidR="0033727F">
        <w:rPr>
          <w:rFonts w:ascii="Times New Roman" w:hAnsi="Times New Roman" w:cs="Times New Roman"/>
        </w:rPr>
        <w:instrText xml:space="preserve"> \* MERGEFORMAT </w:instrText>
      </w:r>
      <w:r w:rsidR="006346B9" w:rsidRPr="0033727F">
        <w:rPr>
          <w:rFonts w:ascii="Times New Roman" w:hAnsi="Times New Roman" w:cs="Times New Roman"/>
        </w:rPr>
      </w:r>
      <w:r w:rsidR="006346B9" w:rsidRPr="0033727F">
        <w:rPr>
          <w:rFonts w:ascii="Times New Roman" w:hAnsi="Times New Roman" w:cs="Times New Roman"/>
        </w:rPr>
        <w:fldChar w:fldCharType="separate"/>
      </w:r>
      <w:r w:rsidR="006346B9" w:rsidRPr="00D00F42">
        <w:rPr>
          <w:rFonts w:ascii="Times New Roman" w:hAnsi="Times New Roman" w:cs="Times New Roman"/>
        </w:rPr>
        <w:t xml:space="preserve">Figure </w:t>
      </w:r>
      <w:r w:rsidR="006346B9" w:rsidRPr="00D00F42">
        <w:rPr>
          <w:rFonts w:ascii="Times New Roman" w:hAnsi="Times New Roman" w:cs="Times New Roman"/>
          <w:noProof/>
        </w:rPr>
        <w:t>5</w:t>
      </w:r>
      <w:r w:rsidR="006346B9" w:rsidRPr="0033727F">
        <w:rPr>
          <w:rFonts w:ascii="Times New Roman" w:hAnsi="Times New Roman" w:cs="Times New Roman"/>
        </w:rPr>
        <w:fldChar w:fldCharType="end"/>
      </w:r>
      <w:r w:rsidR="0033727F">
        <w:rPr>
          <w:rFonts w:ascii="Times New Roman" w:hAnsi="Times New Roman" w:cs="Times New Roman"/>
        </w:rPr>
        <w:t xml:space="preserve">, </w:t>
      </w:r>
      <w:r w:rsidR="003A1EFF" w:rsidRPr="00E05E02">
        <w:rPr>
          <w:rFonts w:ascii="Times New Roman" w:hAnsi="Times New Roman" w:cs="Times New Roman"/>
        </w:rPr>
        <w:t>Model 2</w:t>
      </w:r>
      <w:r w:rsidR="00BF7F11" w:rsidRPr="00E05E02">
        <w:rPr>
          <w:rFonts w:ascii="Times New Roman" w:hAnsi="Times New Roman" w:cs="Times New Roman"/>
        </w:rPr>
        <w:t>’s</w:t>
      </w:r>
      <w:r w:rsidR="00E776BE" w:rsidRPr="00E05E02">
        <w:rPr>
          <w:rFonts w:ascii="Times New Roman" w:hAnsi="Times New Roman" w:cs="Times New Roman"/>
        </w:rPr>
        <w:t xml:space="preserve"> </w:t>
      </w:r>
      <w:r w:rsidR="00E022A6" w:rsidRPr="00E05E02">
        <w:rPr>
          <w:rFonts w:ascii="Times New Roman" w:hAnsi="Times New Roman" w:cs="Times New Roman"/>
        </w:rPr>
        <w:t>accuracy</w:t>
      </w:r>
      <w:r w:rsidR="00E13400" w:rsidRPr="00E05E02">
        <w:rPr>
          <w:rFonts w:ascii="Times New Roman" w:hAnsi="Times New Roman" w:cs="Times New Roman"/>
        </w:rPr>
        <w:t xml:space="preserve"> and specificity</w:t>
      </w:r>
      <w:r w:rsidR="00E022A6" w:rsidRPr="00E05E02">
        <w:rPr>
          <w:rFonts w:ascii="Times New Roman" w:hAnsi="Times New Roman" w:cs="Times New Roman"/>
        </w:rPr>
        <w:t xml:space="preserve"> </w:t>
      </w:r>
      <w:r w:rsidR="00BD230C" w:rsidRPr="00E05E02">
        <w:rPr>
          <w:rFonts w:ascii="Times New Roman" w:hAnsi="Times New Roman" w:cs="Times New Roman"/>
        </w:rPr>
        <w:t xml:space="preserve">performed </w:t>
      </w:r>
      <w:r w:rsidR="00E13400" w:rsidRPr="00E05E02">
        <w:rPr>
          <w:rFonts w:ascii="Times New Roman" w:hAnsi="Times New Roman" w:cs="Times New Roman"/>
        </w:rPr>
        <w:t xml:space="preserve">marginally </w:t>
      </w:r>
      <w:r w:rsidR="00BD230C" w:rsidRPr="00E05E02">
        <w:rPr>
          <w:rFonts w:ascii="Times New Roman" w:hAnsi="Times New Roman" w:cs="Times New Roman"/>
        </w:rPr>
        <w:t>better</w:t>
      </w:r>
      <w:r w:rsidRPr="00E05E02">
        <w:rPr>
          <w:rFonts w:ascii="Times New Roman" w:hAnsi="Times New Roman" w:cs="Times New Roman"/>
        </w:rPr>
        <w:t xml:space="preserve"> </w:t>
      </w:r>
      <w:r w:rsidR="00E022A6" w:rsidRPr="00E05E02">
        <w:rPr>
          <w:rFonts w:ascii="Times New Roman" w:hAnsi="Times New Roman" w:cs="Times New Roman"/>
        </w:rPr>
        <w:t xml:space="preserve">than </w:t>
      </w:r>
      <w:r w:rsidR="003A1EFF" w:rsidRPr="00E05E02">
        <w:rPr>
          <w:rFonts w:ascii="Times New Roman" w:hAnsi="Times New Roman" w:cs="Times New Roman"/>
        </w:rPr>
        <w:t>Model 1</w:t>
      </w:r>
      <w:r w:rsidR="004E411C" w:rsidRPr="00E05E02">
        <w:rPr>
          <w:rFonts w:ascii="Times New Roman" w:hAnsi="Times New Roman" w:cs="Times New Roman"/>
        </w:rPr>
        <w:t xml:space="preserve">, but </w:t>
      </w:r>
      <w:r w:rsidR="003F7D5F" w:rsidRPr="00E05E02">
        <w:rPr>
          <w:rFonts w:ascii="Times New Roman" w:hAnsi="Times New Roman" w:cs="Times New Roman"/>
        </w:rPr>
        <w:t>Model 1</w:t>
      </w:r>
      <w:r w:rsidR="00BF7F11" w:rsidRPr="00E05E02">
        <w:rPr>
          <w:rFonts w:ascii="Times New Roman" w:hAnsi="Times New Roman" w:cs="Times New Roman"/>
        </w:rPr>
        <w:t xml:space="preserve">’s balanced accuracy </w:t>
      </w:r>
      <w:r w:rsidR="00F355D3" w:rsidRPr="00E05E02">
        <w:rPr>
          <w:rFonts w:ascii="Times New Roman" w:hAnsi="Times New Roman" w:cs="Times New Roman"/>
        </w:rPr>
        <w:t>was higher</w:t>
      </w:r>
      <w:r w:rsidR="00E13400" w:rsidRPr="00E05E02">
        <w:rPr>
          <w:rFonts w:ascii="Times New Roman" w:hAnsi="Times New Roman" w:cs="Times New Roman"/>
        </w:rPr>
        <w:t xml:space="preserve"> due to its superior </w:t>
      </w:r>
      <w:r w:rsidR="00294542" w:rsidRPr="00E05E02">
        <w:rPr>
          <w:rFonts w:ascii="Times New Roman" w:hAnsi="Times New Roman" w:cs="Times New Roman"/>
        </w:rPr>
        <w:t>sensitivity</w:t>
      </w:r>
      <w:r w:rsidR="009244F0" w:rsidRPr="00E05E02">
        <w:rPr>
          <w:rFonts w:ascii="Times New Roman" w:hAnsi="Times New Roman" w:cs="Times New Roman"/>
        </w:rPr>
        <w:t xml:space="preserve">. </w:t>
      </w:r>
      <w:r w:rsidR="0035104E" w:rsidRPr="00E05E02">
        <w:rPr>
          <w:rFonts w:ascii="Times New Roman" w:hAnsi="Times New Roman" w:cs="Times New Roman"/>
        </w:rPr>
        <w:t xml:space="preserve">To ensure the cut-off scores were </w:t>
      </w:r>
      <w:r w:rsidR="00E825C9" w:rsidRPr="00E05E02">
        <w:rPr>
          <w:rFonts w:ascii="Times New Roman" w:hAnsi="Times New Roman" w:cs="Times New Roman"/>
        </w:rPr>
        <w:t>optimized</w:t>
      </w:r>
      <w:r w:rsidR="007D72BD" w:rsidRPr="00E05E02">
        <w:rPr>
          <w:rFonts w:ascii="Times New Roman" w:hAnsi="Times New Roman" w:cs="Times New Roman"/>
        </w:rPr>
        <w:t xml:space="preserve"> as intended</w:t>
      </w:r>
      <w:r w:rsidR="00E825C9" w:rsidRPr="00E05E02">
        <w:rPr>
          <w:rFonts w:ascii="Times New Roman" w:hAnsi="Times New Roman" w:cs="Times New Roman"/>
        </w:rPr>
        <w:t xml:space="preserve">, the cost savings for </w:t>
      </w:r>
      <w:r w:rsidR="00294542" w:rsidRPr="00E05E02">
        <w:rPr>
          <w:rFonts w:ascii="Times New Roman" w:hAnsi="Times New Roman" w:cs="Times New Roman"/>
        </w:rPr>
        <w:t xml:space="preserve">each </w:t>
      </w:r>
      <w:r w:rsidR="00E05E02" w:rsidRPr="00E05E02">
        <w:rPr>
          <w:rFonts w:ascii="Times New Roman" w:hAnsi="Times New Roman" w:cs="Times New Roman"/>
        </w:rPr>
        <w:t>model</w:t>
      </w:r>
      <w:r w:rsidR="00E825C9" w:rsidRPr="00E05E02">
        <w:rPr>
          <w:rFonts w:ascii="Times New Roman" w:hAnsi="Times New Roman" w:cs="Times New Roman"/>
        </w:rPr>
        <w:t xml:space="preserve"> </w:t>
      </w:r>
      <w:r w:rsidR="009D7114" w:rsidRPr="00E05E02">
        <w:rPr>
          <w:rFonts w:ascii="Times New Roman" w:hAnsi="Times New Roman" w:cs="Times New Roman"/>
        </w:rPr>
        <w:t xml:space="preserve">were </w:t>
      </w:r>
      <w:r w:rsidR="00E825C9" w:rsidRPr="00E05E02">
        <w:rPr>
          <w:rFonts w:ascii="Times New Roman" w:hAnsi="Times New Roman" w:cs="Times New Roman"/>
        </w:rPr>
        <w:t>estimated using the employee salary data</w:t>
      </w:r>
      <w:r w:rsidR="009D7114" w:rsidRPr="00E05E02">
        <w:rPr>
          <w:rFonts w:ascii="Times New Roman" w:hAnsi="Times New Roman" w:cs="Times New Roman"/>
        </w:rPr>
        <w:t xml:space="preserve"> and an assumed </w:t>
      </w:r>
      <w:r w:rsidR="0098090B" w:rsidRPr="00E05E02">
        <w:rPr>
          <w:rFonts w:ascii="Times New Roman" w:hAnsi="Times New Roman" w:cs="Times New Roman"/>
        </w:rPr>
        <w:t>attrition</w:t>
      </w:r>
      <w:r w:rsidR="00054F65" w:rsidRPr="00E05E02">
        <w:rPr>
          <w:rFonts w:ascii="Times New Roman" w:hAnsi="Times New Roman" w:cs="Times New Roman"/>
        </w:rPr>
        <w:t xml:space="preserve">-to-retention </w:t>
      </w:r>
      <w:r w:rsidR="009D7114" w:rsidRPr="00E05E02">
        <w:rPr>
          <w:rFonts w:ascii="Times New Roman" w:hAnsi="Times New Roman" w:cs="Times New Roman"/>
        </w:rPr>
        <w:t>cost</w:t>
      </w:r>
      <w:r w:rsidR="00054F65" w:rsidRPr="00E05E02">
        <w:rPr>
          <w:rFonts w:ascii="Times New Roman" w:hAnsi="Times New Roman" w:cs="Times New Roman"/>
        </w:rPr>
        <w:t xml:space="preserve"> ratio of 15:1</w:t>
      </w:r>
      <w:r w:rsidR="00CC453D" w:rsidRPr="00E05E02">
        <w:rPr>
          <w:rFonts w:ascii="Times New Roman" w:hAnsi="Times New Roman" w:cs="Times New Roman"/>
        </w:rPr>
        <w:t xml:space="preserve">. </w:t>
      </w:r>
      <w:r w:rsidR="009D7114" w:rsidRPr="00E05E02">
        <w:rPr>
          <w:rFonts w:ascii="Times New Roman" w:hAnsi="Times New Roman" w:cs="Times New Roman"/>
        </w:rPr>
        <w:t xml:space="preserve">The </w:t>
      </w:r>
      <w:r w:rsidR="00F803A3" w:rsidRPr="00E05E02">
        <w:rPr>
          <w:rFonts w:ascii="Times New Roman" w:hAnsi="Times New Roman" w:cs="Times New Roman"/>
        </w:rPr>
        <w:t>results from the</w:t>
      </w:r>
      <w:r w:rsidR="002B2C35" w:rsidRPr="00E05E02">
        <w:rPr>
          <w:rFonts w:ascii="Times New Roman" w:hAnsi="Times New Roman" w:cs="Times New Roman"/>
        </w:rPr>
        <w:t xml:space="preserve"> </w:t>
      </w:r>
      <w:r w:rsidR="00A7684C" w:rsidRPr="00E05E02">
        <w:rPr>
          <w:rFonts w:ascii="Times New Roman" w:hAnsi="Times New Roman" w:cs="Times New Roman"/>
        </w:rPr>
        <w:t xml:space="preserve">net savings </w:t>
      </w:r>
      <w:r w:rsidR="00F803A3" w:rsidRPr="00E05E02">
        <w:rPr>
          <w:rFonts w:ascii="Times New Roman" w:hAnsi="Times New Roman" w:cs="Times New Roman"/>
        </w:rPr>
        <w:t xml:space="preserve">analysis </w:t>
      </w:r>
      <w:r w:rsidR="000F5179" w:rsidRPr="00E05E02">
        <w:rPr>
          <w:rFonts w:ascii="Times New Roman" w:hAnsi="Times New Roman" w:cs="Times New Roman"/>
        </w:rPr>
        <w:t xml:space="preserve">for Model 1 </w:t>
      </w:r>
      <w:r w:rsidR="00F803A3" w:rsidRPr="00E05E02">
        <w:rPr>
          <w:rFonts w:ascii="Times New Roman" w:hAnsi="Times New Roman" w:cs="Times New Roman"/>
        </w:rPr>
        <w:t xml:space="preserve">are shown in </w:t>
      </w:r>
      <w:r w:rsidR="00F3621D" w:rsidRPr="00E05E02">
        <w:rPr>
          <w:rFonts w:ascii="Times New Roman" w:hAnsi="Times New Roman" w:cs="Times New Roman"/>
        </w:rPr>
        <w:fldChar w:fldCharType="begin"/>
      </w:r>
      <w:r w:rsidR="00F3621D" w:rsidRPr="00E05E02">
        <w:rPr>
          <w:rFonts w:ascii="Times New Roman" w:hAnsi="Times New Roman" w:cs="Times New Roman"/>
        </w:rPr>
        <w:instrText xml:space="preserve"> REF _Ref173511893 \h </w:instrText>
      </w:r>
      <w:r w:rsidR="00F3621D" w:rsidRPr="00E05E02">
        <w:rPr>
          <w:rFonts w:ascii="Times New Roman" w:hAnsi="Times New Roman" w:cs="Times New Roman"/>
        </w:rPr>
      </w:r>
      <w:r w:rsidR="00F3621D" w:rsidRPr="00E05E02">
        <w:rPr>
          <w:rFonts w:ascii="Times New Roman" w:hAnsi="Times New Roman" w:cs="Times New Roman"/>
        </w:rPr>
        <w:fldChar w:fldCharType="separate"/>
      </w:r>
      <w:r w:rsidR="00F3621D" w:rsidRPr="00E05E02">
        <w:rPr>
          <w:rFonts w:ascii="Times New Roman" w:hAnsi="Times New Roman" w:cs="Times New Roman"/>
        </w:rPr>
        <w:t>Figure 4</w:t>
      </w:r>
      <w:r w:rsidR="00F3621D" w:rsidRPr="00E05E02">
        <w:rPr>
          <w:rFonts w:ascii="Times New Roman" w:hAnsi="Times New Roman" w:cs="Times New Roman"/>
        </w:rPr>
        <w:fldChar w:fldCharType="end"/>
      </w:r>
      <w:r w:rsidR="00F803A3" w:rsidRPr="00E05E02">
        <w:rPr>
          <w:rFonts w:ascii="Times New Roman" w:hAnsi="Times New Roman" w:cs="Times New Roman"/>
        </w:rPr>
        <w:t>.</w:t>
      </w:r>
      <w:r w:rsidR="00F803A3">
        <w:t xml:space="preserve"> </w:t>
      </w:r>
    </w:p>
    <w:p w14:paraId="15021B72" w14:textId="77777777" w:rsidR="00FE1DC2" w:rsidRDefault="00FE1DC2" w:rsidP="36704E9D"/>
    <w:p w14:paraId="0CE3AFA5" w14:textId="77777777" w:rsidR="00FE1DC2" w:rsidRDefault="00000000" w:rsidP="00FE1DC2">
      <w:pPr>
        <w:keepNext/>
      </w:pPr>
      <w:r w:rsidRPr="002D6ADD">
        <w:rPr>
          <w:noProof/>
        </w:rPr>
        <w:lastRenderedPageBreak/>
        <w:drawing>
          <wp:inline distT="0" distB="0" distL="0" distR="0" wp14:anchorId="5ABAB79A" wp14:editId="48226BA2">
            <wp:extent cx="3267456" cy="2603842"/>
            <wp:effectExtent l="0" t="0" r="0" b="6350"/>
            <wp:docPr id="585309020" name="Picture 5" descr="A graph showing different types of threshol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09020" name="Picture 5" descr="A graph showing different types of threshold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84099" cy="2617105"/>
                    </a:xfrm>
                    <a:prstGeom prst="rect">
                      <a:avLst/>
                    </a:prstGeom>
                    <a:noFill/>
                    <a:ln>
                      <a:noFill/>
                    </a:ln>
                  </pic:spPr>
                </pic:pic>
              </a:graphicData>
            </a:graphic>
          </wp:inline>
        </w:drawing>
      </w:r>
    </w:p>
    <w:p w14:paraId="15D60E82" w14:textId="77777777" w:rsidR="002D6ADD" w:rsidRPr="002D6ADD" w:rsidRDefault="00000000" w:rsidP="00FE1DC2">
      <w:pPr>
        <w:pStyle w:val="Caption"/>
      </w:pPr>
      <w:bookmarkStart w:id="8" w:name="_Ref173511893"/>
      <w:r>
        <w:t xml:space="preserve">Figure </w:t>
      </w:r>
      <w:r>
        <w:fldChar w:fldCharType="begin"/>
      </w:r>
      <w:r>
        <w:instrText xml:space="preserve"> SEQ Figure \* ARABIC </w:instrText>
      </w:r>
      <w:r>
        <w:fldChar w:fldCharType="separate"/>
      </w:r>
      <w:r w:rsidR="00EA5E5E">
        <w:rPr>
          <w:noProof/>
        </w:rPr>
        <w:t>6</w:t>
      </w:r>
      <w:r>
        <w:fldChar w:fldCharType="end"/>
      </w:r>
      <w:bookmarkEnd w:id="8"/>
      <w:r>
        <w:t xml:space="preserve">. </w:t>
      </w:r>
      <w:r w:rsidR="00FD11F2">
        <w:t>Net Cost Savings vs. Cut-off Scores for Model 1.</w:t>
      </w:r>
    </w:p>
    <w:p w14:paraId="4FF7423B" w14:textId="77777777" w:rsidR="000F5179" w:rsidRPr="00E05E02" w:rsidRDefault="00000000" w:rsidP="36704E9D">
      <w:pPr>
        <w:rPr>
          <w:rFonts w:ascii="Times New Roman" w:hAnsi="Times New Roman" w:cs="Times New Roman"/>
        </w:rPr>
      </w:pPr>
      <w:r w:rsidRPr="00E05E02">
        <w:rPr>
          <w:rFonts w:ascii="Times New Roman" w:hAnsi="Times New Roman" w:cs="Times New Roman"/>
        </w:rPr>
        <w:t xml:space="preserve">As shown </w:t>
      </w:r>
      <w:r w:rsidRPr="00485AB0">
        <w:rPr>
          <w:rFonts w:ascii="Times New Roman" w:hAnsi="Times New Roman" w:cs="Times New Roman"/>
        </w:rPr>
        <w:t>in</w:t>
      </w:r>
      <w:r w:rsidR="00485AB0" w:rsidRPr="00485AB0">
        <w:rPr>
          <w:rFonts w:ascii="Times New Roman" w:hAnsi="Times New Roman" w:cs="Times New Roman"/>
        </w:rPr>
        <w:t xml:space="preserve"> </w:t>
      </w:r>
      <w:r w:rsidR="00485AB0" w:rsidRPr="00485AB0">
        <w:rPr>
          <w:rFonts w:ascii="Times New Roman" w:hAnsi="Times New Roman" w:cs="Times New Roman"/>
        </w:rPr>
        <w:fldChar w:fldCharType="begin"/>
      </w:r>
      <w:r w:rsidR="00485AB0" w:rsidRPr="00485AB0">
        <w:rPr>
          <w:rFonts w:ascii="Times New Roman" w:hAnsi="Times New Roman" w:cs="Times New Roman"/>
        </w:rPr>
        <w:instrText xml:space="preserve"> REF _Ref173511893 \h </w:instrText>
      </w:r>
      <w:r w:rsidR="00485AB0">
        <w:rPr>
          <w:rFonts w:ascii="Times New Roman" w:hAnsi="Times New Roman" w:cs="Times New Roman"/>
        </w:rPr>
        <w:instrText xml:space="preserve"> \* MERGEFORMAT </w:instrText>
      </w:r>
      <w:r w:rsidR="00485AB0" w:rsidRPr="00485AB0">
        <w:rPr>
          <w:rFonts w:ascii="Times New Roman" w:hAnsi="Times New Roman" w:cs="Times New Roman"/>
        </w:rPr>
      </w:r>
      <w:r w:rsidR="00485AB0" w:rsidRPr="00485AB0">
        <w:rPr>
          <w:rFonts w:ascii="Times New Roman" w:hAnsi="Times New Roman" w:cs="Times New Roman"/>
        </w:rPr>
        <w:fldChar w:fldCharType="separate"/>
      </w:r>
      <w:r w:rsidR="00485AB0" w:rsidRPr="00D00F42">
        <w:rPr>
          <w:rFonts w:ascii="Times New Roman" w:hAnsi="Times New Roman" w:cs="Times New Roman"/>
        </w:rPr>
        <w:t xml:space="preserve">Figure </w:t>
      </w:r>
      <w:r w:rsidR="00485AB0" w:rsidRPr="00D00F42">
        <w:rPr>
          <w:rFonts w:ascii="Times New Roman" w:hAnsi="Times New Roman" w:cs="Times New Roman"/>
          <w:noProof/>
        </w:rPr>
        <w:t>6</w:t>
      </w:r>
      <w:r w:rsidR="00485AB0" w:rsidRPr="00485AB0">
        <w:rPr>
          <w:rFonts w:ascii="Times New Roman" w:hAnsi="Times New Roman" w:cs="Times New Roman"/>
        </w:rPr>
        <w:fldChar w:fldCharType="end"/>
      </w:r>
      <w:r w:rsidRPr="00485AB0">
        <w:rPr>
          <w:rFonts w:ascii="Times New Roman" w:hAnsi="Times New Roman" w:cs="Times New Roman"/>
        </w:rPr>
        <w:t>,</w:t>
      </w:r>
      <w:r w:rsidRPr="00E05E02">
        <w:rPr>
          <w:rFonts w:ascii="Times New Roman" w:hAnsi="Times New Roman" w:cs="Times New Roman"/>
        </w:rPr>
        <w:t xml:space="preserve"> the </w:t>
      </w:r>
      <w:r w:rsidR="004726CE" w:rsidRPr="00E05E02">
        <w:rPr>
          <w:rFonts w:ascii="Times New Roman" w:hAnsi="Times New Roman" w:cs="Times New Roman"/>
        </w:rPr>
        <w:t>cut-off score</w:t>
      </w:r>
      <w:r w:rsidR="009078AF" w:rsidRPr="00E05E02">
        <w:rPr>
          <w:rFonts w:ascii="Times New Roman" w:hAnsi="Times New Roman" w:cs="Times New Roman"/>
        </w:rPr>
        <w:t xml:space="preserve"> used in the final model, 0.10, </w:t>
      </w:r>
      <w:r w:rsidR="004726CE" w:rsidRPr="00E05E02">
        <w:rPr>
          <w:rFonts w:ascii="Times New Roman" w:hAnsi="Times New Roman" w:cs="Times New Roman"/>
        </w:rPr>
        <w:t xml:space="preserve">maximized the </w:t>
      </w:r>
      <w:r w:rsidR="003B2263" w:rsidRPr="00E05E02">
        <w:rPr>
          <w:rFonts w:ascii="Times New Roman" w:hAnsi="Times New Roman" w:cs="Times New Roman"/>
        </w:rPr>
        <w:t xml:space="preserve">net </w:t>
      </w:r>
      <w:r w:rsidR="004726CE" w:rsidRPr="00E05E02">
        <w:rPr>
          <w:rFonts w:ascii="Times New Roman" w:hAnsi="Times New Roman" w:cs="Times New Roman"/>
        </w:rPr>
        <w:t>cost savings</w:t>
      </w:r>
      <w:r w:rsidR="003B2263" w:rsidRPr="00E05E02">
        <w:rPr>
          <w:rFonts w:ascii="Times New Roman" w:hAnsi="Times New Roman" w:cs="Times New Roman"/>
        </w:rPr>
        <w:t xml:space="preserve">. The </w:t>
      </w:r>
      <w:r w:rsidR="009F52C7">
        <w:rPr>
          <w:rFonts w:ascii="Times New Roman" w:hAnsi="Times New Roman" w:cs="Times New Roman"/>
        </w:rPr>
        <w:t>net</w:t>
      </w:r>
      <w:r w:rsidR="003B2263" w:rsidRPr="00E05E02">
        <w:rPr>
          <w:rFonts w:ascii="Times New Roman" w:hAnsi="Times New Roman" w:cs="Times New Roman"/>
        </w:rPr>
        <w:t xml:space="preserve"> estimated cost savings from Model 1 was $4,096,838. </w:t>
      </w:r>
      <w:r w:rsidR="001225B1" w:rsidRPr="00E05E02">
        <w:rPr>
          <w:rFonts w:ascii="Times New Roman" w:hAnsi="Times New Roman" w:cs="Times New Roman"/>
        </w:rPr>
        <w:t>For comparison, t</w:t>
      </w:r>
      <w:r w:rsidRPr="00E05E02">
        <w:rPr>
          <w:rFonts w:ascii="Times New Roman" w:hAnsi="Times New Roman" w:cs="Times New Roman"/>
        </w:rPr>
        <w:t xml:space="preserve">he results from the net savings analysis for Model 2 are shown in </w:t>
      </w:r>
      <w:r w:rsidRPr="00E05E02">
        <w:rPr>
          <w:rFonts w:ascii="Times New Roman" w:hAnsi="Times New Roman" w:cs="Times New Roman"/>
        </w:rPr>
        <w:fldChar w:fldCharType="begin"/>
      </w:r>
      <w:r w:rsidRPr="00E05E02">
        <w:rPr>
          <w:rFonts w:ascii="Times New Roman" w:hAnsi="Times New Roman" w:cs="Times New Roman"/>
        </w:rPr>
        <w:instrText xml:space="preserve"> REF _Ref173511895 \h </w:instrText>
      </w:r>
      <w:r w:rsidR="00E05E02">
        <w:rPr>
          <w:rFonts w:ascii="Times New Roman" w:hAnsi="Times New Roman" w:cs="Times New Roman"/>
        </w:rPr>
        <w:instrText xml:space="preserve"> \* MERGEFORMAT </w:instrText>
      </w:r>
      <w:r w:rsidRPr="00E05E02">
        <w:rPr>
          <w:rFonts w:ascii="Times New Roman" w:hAnsi="Times New Roman" w:cs="Times New Roman"/>
        </w:rPr>
      </w:r>
      <w:r w:rsidRPr="00E05E02">
        <w:rPr>
          <w:rFonts w:ascii="Times New Roman" w:hAnsi="Times New Roman" w:cs="Times New Roman"/>
        </w:rPr>
        <w:fldChar w:fldCharType="separate"/>
      </w:r>
      <w:r w:rsidRPr="00E05E02">
        <w:rPr>
          <w:rFonts w:ascii="Times New Roman" w:hAnsi="Times New Roman" w:cs="Times New Roman"/>
        </w:rPr>
        <w:t>Figure 5</w:t>
      </w:r>
      <w:r w:rsidRPr="00E05E02">
        <w:rPr>
          <w:rFonts w:ascii="Times New Roman" w:hAnsi="Times New Roman" w:cs="Times New Roman"/>
        </w:rPr>
        <w:fldChar w:fldCharType="end"/>
      </w:r>
      <w:r w:rsidRPr="00E05E02">
        <w:rPr>
          <w:rFonts w:ascii="Times New Roman" w:hAnsi="Times New Roman" w:cs="Times New Roman"/>
        </w:rPr>
        <w:t>.</w:t>
      </w:r>
    </w:p>
    <w:p w14:paraId="5BB4A354" w14:textId="77777777" w:rsidR="0097348C" w:rsidRDefault="0097348C" w:rsidP="36704E9D"/>
    <w:p w14:paraId="3BEABBD0" w14:textId="77777777" w:rsidR="002B2C35" w:rsidRDefault="00000000" w:rsidP="002B2C35">
      <w:pPr>
        <w:keepNext/>
      </w:pPr>
      <w:r w:rsidRPr="002E2020">
        <w:rPr>
          <w:rFonts w:ascii="Times New Roman" w:eastAsia="Times New Roman" w:hAnsi="Times New Roman" w:cs="Times New Roman"/>
          <w:noProof/>
          <w:kern w:val="0"/>
          <w14:ligatures w14:val="none"/>
        </w:rPr>
        <w:drawing>
          <wp:inline distT="0" distB="0" distL="0" distR="0" wp14:anchorId="6B87F3C6" wp14:editId="599FEF89">
            <wp:extent cx="4413504" cy="2323352"/>
            <wp:effectExtent l="0" t="0" r="6350" b="1270"/>
            <wp:docPr id="3"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graph with a line graph&#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440889" cy="2337768"/>
                    </a:xfrm>
                    <a:prstGeom prst="rect">
                      <a:avLst/>
                    </a:prstGeom>
                    <a:noFill/>
                    <a:ln>
                      <a:noFill/>
                    </a:ln>
                  </pic:spPr>
                </pic:pic>
              </a:graphicData>
            </a:graphic>
          </wp:inline>
        </w:drawing>
      </w:r>
    </w:p>
    <w:p w14:paraId="3733DC6D" w14:textId="77777777" w:rsidR="002E2020" w:rsidRPr="002E2020" w:rsidRDefault="00000000" w:rsidP="002B2C35">
      <w:pPr>
        <w:pStyle w:val="Caption"/>
        <w:rPr>
          <w:rFonts w:ascii="Times New Roman" w:eastAsia="Times New Roman" w:hAnsi="Times New Roman" w:cs="Times New Roman"/>
          <w:kern w:val="0"/>
          <w14:ligatures w14:val="none"/>
        </w:rPr>
      </w:pPr>
      <w:bookmarkStart w:id="9" w:name="_Ref173511895"/>
      <w:r>
        <w:t xml:space="preserve">Figure </w:t>
      </w:r>
      <w:r>
        <w:fldChar w:fldCharType="begin"/>
      </w:r>
      <w:r>
        <w:instrText xml:space="preserve"> SEQ Figure \* ARABIC </w:instrText>
      </w:r>
      <w:r>
        <w:fldChar w:fldCharType="separate"/>
      </w:r>
      <w:r w:rsidR="00EA5E5E">
        <w:rPr>
          <w:noProof/>
        </w:rPr>
        <w:t>7</w:t>
      </w:r>
      <w:r>
        <w:fldChar w:fldCharType="end"/>
      </w:r>
      <w:bookmarkEnd w:id="9"/>
      <w:r>
        <w:t xml:space="preserve">. Net Cost Savings </w:t>
      </w:r>
      <w:r w:rsidR="001C74B3">
        <w:t>vs.</w:t>
      </w:r>
      <w:r>
        <w:t xml:space="preserve"> Cut-off Scores</w:t>
      </w:r>
      <w:r w:rsidR="001C74B3">
        <w:t xml:space="preserve"> for </w:t>
      </w:r>
      <w:r w:rsidR="00A16558">
        <w:t>Model 2</w:t>
      </w:r>
      <w:r w:rsidR="00FD11F2">
        <w:t>.</w:t>
      </w:r>
    </w:p>
    <w:p w14:paraId="5B9C0E79" w14:textId="77777777" w:rsidR="00B07B97" w:rsidRDefault="00B07B97" w:rsidP="36704E9D"/>
    <w:p w14:paraId="0CE41FBC" w14:textId="77777777" w:rsidR="36704E9D" w:rsidRPr="00E05E02" w:rsidRDefault="00000000" w:rsidP="36704E9D">
      <w:pPr>
        <w:rPr>
          <w:rFonts w:ascii="Times New Roman" w:hAnsi="Times New Roman" w:cs="Times New Roman"/>
        </w:rPr>
      </w:pPr>
      <w:r w:rsidRPr="00E05E02">
        <w:rPr>
          <w:rFonts w:ascii="Times New Roman" w:hAnsi="Times New Roman" w:cs="Times New Roman"/>
        </w:rPr>
        <w:t xml:space="preserve">As shown </w:t>
      </w:r>
      <w:r w:rsidRPr="00880F02">
        <w:rPr>
          <w:rFonts w:ascii="Times New Roman" w:hAnsi="Times New Roman" w:cs="Times New Roman"/>
        </w:rPr>
        <w:t xml:space="preserve">in </w:t>
      </w:r>
      <w:r w:rsidR="00880F02" w:rsidRPr="00880F02">
        <w:rPr>
          <w:rFonts w:ascii="Times New Roman" w:hAnsi="Times New Roman" w:cs="Times New Roman"/>
        </w:rPr>
        <w:fldChar w:fldCharType="begin"/>
      </w:r>
      <w:r w:rsidR="00880F02" w:rsidRPr="00880F02">
        <w:rPr>
          <w:rFonts w:ascii="Times New Roman" w:hAnsi="Times New Roman" w:cs="Times New Roman"/>
        </w:rPr>
        <w:instrText xml:space="preserve"> REF _Ref173511895 \h </w:instrText>
      </w:r>
      <w:r w:rsidR="00880F02">
        <w:rPr>
          <w:rFonts w:ascii="Times New Roman" w:hAnsi="Times New Roman" w:cs="Times New Roman"/>
        </w:rPr>
        <w:instrText xml:space="preserve"> \* MERGEFORMAT </w:instrText>
      </w:r>
      <w:r w:rsidR="00880F02" w:rsidRPr="00880F02">
        <w:rPr>
          <w:rFonts w:ascii="Times New Roman" w:hAnsi="Times New Roman" w:cs="Times New Roman"/>
        </w:rPr>
      </w:r>
      <w:r w:rsidR="00880F02" w:rsidRPr="00880F02">
        <w:rPr>
          <w:rFonts w:ascii="Times New Roman" w:hAnsi="Times New Roman" w:cs="Times New Roman"/>
        </w:rPr>
        <w:fldChar w:fldCharType="separate"/>
      </w:r>
      <w:r w:rsidR="00880F02" w:rsidRPr="00D00F42">
        <w:rPr>
          <w:rFonts w:ascii="Times New Roman" w:hAnsi="Times New Roman" w:cs="Times New Roman"/>
        </w:rPr>
        <w:t xml:space="preserve">Figure </w:t>
      </w:r>
      <w:r w:rsidR="00880F02" w:rsidRPr="00D00F42">
        <w:rPr>
          <w:rFonts w:ascii="Times New Roman" w:hAnsi="Times New Roman" w:cs="Times New Roman"/>
          <w:noProof/>
        </w:rPr>
        <w:t>7</w:t>
      </w:r>
      <w:r w:rsidR="00880F02" w:rsidRPr="00880F02">
        <w:rPr>
          <w:rFonts w:ascii="Times New Roman" w:hAnsi="Times New Roman" w:cs="Times New Roman"/>
        </w:rPr>
        <w:fldChar w:fldCharType="end"/>
      </w:r>
      <w:r w:rsidRPr="00E05E02">
        <w:rPr>
          <w:rFonts w:ascii="Times New Roman" w:hAnsi="Times New Roman" w:cs="Times New Roman"/>
        </w:rPr>
        <w:t xml:space="preserve">, </w:t>
      </w:r>
      <w:r w:rsidR="00E05E02" w:rsidRPr="00E05E02">
        <w:rPr>
          <w:rFonts w:ascii="Times New Roman" w:hAnsi="Times New Roman" w:cs="Times New Roman"/>
        </w:rPr>
        <w:t xml:space="preserve">the cut-off score used in the final model, 0.10, maximized the net cost savings. </w:t>
      </w:r>
      <w:r w:rsidR="0023407E" w:rsidRPr="00E05E02">
        <w:rPr>
          <w:rFonts w:ascii="Times New Roman" w:hAnsi="Times New Roman" w:cs="Times New Roman"/>
        </w:rPr>
        <w:t xml:space="preserve">The </w:t>
      </w:r>
      <w:r w:rsidR="009F52C7">
        <w:rPr>
          <w:rFonts w:ascii="Times New Roman" w:hAnsi="Times New Roman" w:cs="Times New Roman"/>
        </w:rPr>
        <w:t>net estimated</w:t>
      </w:r>
      <w:r w:rsidR="0023407E" w:rsidRPr="00E05E02">
        <w:rPr>
          <w:rFonts w:ascii="Times New Roman" w:hAnsi="Times New Roman" w:cs="Times New Roman"/>
        </w:rPr>
        <w:t xml:space="preserve"> </w:t>
      </w:r>
      <w:r w:rsidR="000103E4" w:rsidRPr="00E05E02">
        <w:rPr>
          <w:rFonts w:ascii="Times New Roman" w:hAnsi="Times New Roman" w:cs="Times New Roman"/>
        </w:rPr>
        <w:t xml:space="preserve">cost savings </w:t>
      </w:r>
      <w:r w:rsidR="00406D39" w:rsidRPr="00E05E02">
        <w:rPr>
          <w:rFonts w:ascii="Times New Roman" w:hAnsi="Times New Roman" w:cs="Times New Roman"/>
        </w:rPr>
        <w:t xml:space="preserve">for Model </w:t>
      </w:r>
      <w:r w:rsidR="009F52C7">
        <w:rPr>
          <w:rFonts w:ascii="Times New Roman" w:hAnsi="Times New Roman" w:cs="Times New Roman"/>
        </w:rPr>
        <w:t>2</w:t>
      </w:r>
      <w:r w:rsidR="00406D39" w:rsidRPr="00E05E02">
        <w:rPr>
          <w:rFonts w:ascii="Times New Roman" w:hAnsi="Times New Roman" w:cs="Times New Roman"/>
        </w:rPr>
        <w:t xml:space="preserve"> was </w:t>
      </w:r>
      <w:r w:rsidR="00E05E02" w:rsidRPr="00E05E02">
        <w:rPr>
          <w:rFonts w:ascii="Times New Roman" w:hAnsi="Times New Roman" w:cs="Times New Roman"/>
        </w:rPr>
        <w:t>$2,926,312.</w:t>
      </w:r>
    </w:p>
    <w:p w14:paraId="26A238BA" w14:textId="77777777" w:rsidR="36704E9D" w:rsidRDefault="36704E9D" w:rsidP="36704E9D"/>
    <w:p w14:paraId="386711B6" w14:textId="77777777" w:rsidR="00E05E02" w:rsidRPr="00E05E02" w:rsidRDefault="00000000" w:rsidP="00E05E02">
      <w:pPr>
        <w:pStyle w:val="Heading1"/>
        <w:rPr>
          <w:rFonts w:ascii="Times New Roman" w:hAnsi="Times New Roman" w:cs="Times New Roman"/>
        </w:rPr>
      </w:pPr>
      <w:r w:rsidRPr="00E05E02">
        <w:rPr>
          <w:rFonts w:ascii="Times New Roman" w:hAnsi="Times New Roman" w:cs="Times New Roman"/>
        </w:rPr>
        <w:t>Conclusion</w:t>
      </w:r>
    </w:p>
    <w:p w14:paraId="651F3A4C" w14:textId="77777777" w:rsidR="36704E9D" w:rsidRPr="00C1575F" w:rsidRDefault="00000000" w:rsidP="36704E9D">
      <w:pPr>
        <w:rPr>
          <w:rFonts w:ascii="Times New Roman" w:hAnsi="Times New Roman" w:cs="Times New Roman"/>
        </w:rPr>
      </w:pPr>
      <w:r w:rsidRPr="00C1575F">
        <w:rPr>
          <w:rFonts w:ascii="Times New Roman" w:hAnsi="Times New Roman" w:cs="Times New Roman"/>
        </w:rPr>
        <w:t>As demonstrated by this analysis</w:t>
      </w:r>
      <w:r w:rsidR="31DB1793" w:rsidRPr="00C1575F">
        <w:rPr>
          <w:rFonts w:ascii="Times New Roman" w:hAnsi="Times New Roman" w:cs="Times New Roman"/>
        </w:rPr>
        <w:t xml:space="preserve">, predicting </w:t>
      </w:r>
      <w:r w:rsidR="50AC6C65" w:rsidRPr="00C1575F">
        <w:rPr>
          <w:rFonts w:ascii="Times New Roman" w:hAnsi="Times New Roman" w:cs="Times New Roman"/>
        </w:rPr>
        <w:t xml:space="preserve">employees </w:t>
      </w:r>
      <w:r w:rsidR="632C420E" w:rsidRPr="00C1575F">
        <w:rPr>
          <w:rFonts w:ascii="Times New Roman" w:hAnsi="Times New Roman" w:cs="Times New Roman"/>
        </w:rPr>
        <w:t xml:space="preserve">who are leaving before they </w:t>
      </w:r>
      <w:r w:rsidR="7B7942ED" w:rsidRPr="00C1575F">
        <w:rPr>
          <w:rFonts w:ascii="Times New Roman" w:hAnsi="Times New Roman" w:cs="Times New Roman"/>
        </w:rPr>
        <w:t>leave</w:t>
      </w:r>
      <w:r w:rsidR="7923D959" w:rsidRPr="00C1575F">
        <w:rPr>
          <w:rFonts w:ascii="Times New Roman" w:hAnsi="Times New Roman" w:cs="Times New Roman"/>
        </w:rPr>
        <w:t xml:space="preserve"> can lead to substantial cost savings for a company</w:t>
      </w:r>
      <w:r w:rsidR="7E17A3B4" w:rsidRPr="00C1575F">
        <w:rPr>
          <w:rFonts w:ascii="Times New Roman" w:hAnsi="Times New Roman" w:cs="Times New Roman"/>
        </w:rPr>
        <w:t>.</w:t>
      </w:r>
      <w:r w:rsidR="599A4ECA" w:rsidRPr="00C1575F">
        <w:rPr>
          <w:rFonts w:ascii="Times New Roman" w:hAnsi="Times New Roman" w:cs="Times New Roman"/>
        </w:rPr>
        <w:t xml:space="preserve"> </w:t>
      </w:r>
      <w:r w:rsidR="54A9205C" w:rsidRPr="00C1575F">
        <w:rPr>
          <w:rFonts w:ascii="Times New Roman" w:hAnsi="Times New Roman" w:cs="Times New Roman"/>
        </w:rPr>
        <w:t xml:space="preserve">Although implementing either model would save </w:t>
      </w:r>
      <w:r w:rsidR="4B9B0BDE" w:rsidRPr="00C1575F">
        <w:rPr>
          <w:rFonts w:ascii="Times New Roman" w:hAnsi="Times New Roman" w:cs="Times New Roman"/>
        </w:rPr>
        <w:t>this company millions of dollars, t</w:t>
      </w:r>
      <w:r w:rsidR="56639A10" w:rsidRPr="00C1575F">
        <w:rPr>
          <w:rFonts w:ascii="Times New Roman" w:hAnsi="Times New Roman" w:cs="Times New Roman"/>
        </w:rPr>
        <w:t xml:space="preserve">he </w:t>
      </w:r>
      <w:r w:rsidR="007612BE" w:rsidRPr="00C1575F">
        <w:rPr>
          <w:rFonts w:ascii="Times New Roman" w:hAnsi="Times New Roman" w:cs="Times New Roman"/>
        </w:rPr>
        <w:t>logistic regression model was the best-performing one</w:t>
      </w:r>
      <w:r w:rsidR="4C56D312" w:rsidRPr="00C1575F">
        <w:rPr>
          <w:rFonts w:ascii="Times New Roman" w:hAnsi="Times New Roman" w:cs="Times New Roman"/>
        </w:rPr>
        <w:t>. This model</w:t>
      </w:r>
      <w:r w:rsidR="44AF76CA" w:rsidRPr="00C1575F">
        <w:rPr>
          <w:rFonts w:ascii="Times New Roman" w:hAnsi="Times New Roman" w:cs="Times New Roman"/>
        </w:rPr>
        <w:t xml:space="preserve"> accurately </w:t>
      </w:r>
      <w:r w:rsidR="56639A10" w:rsidRPr="00C1575F">
        <w:rPr>
          <w:rFonts w:ascii="Times New Roman" w:hAnsi="Times New Roman" w:cs="Times New Roman"/>
        </w:rPr>
        <w:t>predicted 40 of the 47 employees who left the company</w:t>
      </w:r>
      <w:r w:rsidR="63071F65" w:rsidRPr="00C1575F">
        <w:rPr>
          <w:rFonts w:ascii="Times New Roman" w:hAnsi="Times New Roman" w:cs="Times New Roman"/>
        </w:rPr>
        <w:t xml:space="preserve">, leading to potential </w:t>
      </w:r>
      <w:r w:rsidR="63071F65" w:rsidRPr="00C1575F">
        <w:rPr>
          <w:rFonts w:ascii="Times New Roman" w:hAnsi="Times New Roman" w:cs="Times New Roman"/>
        </w:rPr>
        <w:lastRenderedPageBreak/>
        <w:t>cost savings of $4</w:t>
      </w:r>
      <w:r w:rsidR="18B986C2" w:rsidRPr="00C1575F">
        <w:rPr>
          <w:rFonts w:ascii="Times New Roman" w:hAnsi="Times New Roman" w:cs="Times New Roman"/>
        </w:rPr>
        <w:t>.1</w:t>
      </w:r>
      <w:r w:rsidR="63071F65" w:rsidRPr="00C1575F">
        <w:rPr>
          <w:rFonts w:ascii="Times New Roman" w:hAnsi="Times New Roman" w:cs="Times New Roman"/>
        </w:rPr>
        <w:t xml:space="preserve"> million.</w:t>
      </w:r>
      <w:r w:rsidR="18B986C2" w:rsidRPr="00C1575F">
        <w:rPr>
          <w:rFonts w:ascii="Times New Roman" w:hAnsi="Times New Roman" w:cs="Times New Roman"/>
        </w:rPr>
        <w:t xml:space="preserve"> </w:t>
      </w:r>
      <w:r w:rsidR="0054165E" w:rsidRPr="00C1575F">
        <w:rPr>
          <w:rFonts w:ascii="Times New Roman" w:hAnsi="Times New Roman" w:cs="Times New Roman"/>
        </w:rPr>
        <w:t>The company should</w:t>
      </w:r>
      <w:r w:rsidR="63E99E0B" w:rsidRPr="00C1575F">
        <w:rPr>
          <w:rFonts w:ascii="Times New Roman" w:hAnsi="Times New Roman" w:cs="Times New Roman"/>
        </w:rPr>
        <w:t xml:space="preserve"> adopt this model to help target </w:t>
      </w:r>
      <w:r w:rsidR="00D00F42" w:rsidRPr="00C1575F">
        <w:rPr>
          <w:rFonts w:ascii="Times New Roman" w:hAnsi="Times New Roman" w:cs="Times New Roman"/>
        </w:rPr>
        <w:t>its</w:t>
      </w:r>
      <w:r w:rsidR="63E99E0B" w:rsidRPr="00C1575F">
        <w:rPr>
          <w:rFonts w:ascii="Times New Roman" w:hAnsi="Times New Roman" w:cs="Times New Roman"/>
        </w:rPr>
        <w:t xml:space="preserve"> incentives for its retention program.</w:t>
      </w:r>
      <w:r w:rsidR="18B986C2" w:rsidRPr="00C1575F">
        <w:rPr>
          <w:rFonts w:ascii="Times New Roman" w:hAnsi="Times New Roman" w:cs="Times New Roman"/>
        </w:rPr>
        <w:t xml:space="preserve"> </w:t>
      </w:r>
      <w:r w:rsidR="63071F65" w:rsidRPr="00C1575F">
        <w:rPr>
          <w:rFonts w:ascii="Times New Roman" w:hAnsi="Times New Roman" w:cs="Times New Roman"/>
        </w:rPr>
        <w:t xml:space="preserve"> </w:t>
      </w:r>
    </w:p>
    <w:p w14:paraId="7A0C64E0" w14:textId="77777777" w:rsidR="36704E9D" w:rsidRPr="00C1575F" w:rsidRDefault="36704E9D" w:rsidP="36704E9D">
      <w:pPr>
        <w:rPr>
          <w:rFonts w:ascii="Times New Roman" w:hAnsi="Times New Roman" w:cs="Times New Roman"/>
        </w:rPr>
      </w:pPr>
    </w:p>
    <w:p w14:paraId="4886DB76" w14:textId="77777777" w:rsidR="36704E9D" w:rsidRPr="00C1575F" w:rsidRDefault="36704E9D" w:rsidP="36704E9D">
      <w:pPr>
        <w:rPr>
          <w:rFonts w:ascii="Times New Roman" w:hAnsi="Times New Roman" w:cs="Times New Roman"/>
        </w:rPr>
      </w:pPr>
    </w:p>
    <w:p w14:paraId="789E21E5" w14:textId="77777777" w:rsidR="36704E9D" w:rsidRPr="00C1575F" w:rsidRDefault="36704E9D" w:rsidP="36704E9D">
      <w:pPr>
        <w:rPr>
          <w:rFonts w:ascii="Times New Roman" w:hAnsi="Times New Roman" w:cs="Times New Roman"/>
        </w:rPr>
      </w:pPr>
    </w:p>
    <w:p w14:paraId="65873AD6" w14:textId="77777777" w:rsidR="36704E9D" w:rsidRDefault="36704E9D" w:rsidP="36704E9D"/>
    <w:p w14:paraId="0FE90C1F" w14:textId="77777777" w:rsidR="36704E9D" w:rsidRDefault="36704E9D" w:rsidP="36704E9D"/>
    <w:p w14:paraId="7A82B5B5" w14:textId="77777777" w:rsidR="36704E9D" w:rsidRDefault="36704E9D" w:rsidP="36704E9D"/>
    <w:p w14:paraId="0381E6A8" w14:textId="77777777" w:rsidR="36704E9D" w:rsidRDefault="36704E9D" w:rsidP="36704E9D"/>
    <w:p w14:paraId="297A5EEC" w14:textId="77777777" w:rsidR="36704E9D" w:rsidRDefault="36704E9D" w:rsidP="36704E9D"/>
    <w:p w14:paraId="56985DCC" w14:textId="77777777" w:rsidR="36704E9D" w:rsidRDefault="36704E9D" w:rsidP="36704E9D"/>
    <w:p w14:paraId="2E5341B0" w14:textId="77777777" w:rsidR="36704E9D" w:rsidRDefault="36704E9D" w:rsidP="36704E9D"/>
    <w:p w14:paraId="4B0BC9F7" w14:textId="77777777" w:rsidR="00D00F42" w:rsidRDefault="00D00F42" w:rsidP="36704E9D"/>
    <w:p w14:paraId="1E4FD815" w14:textId="77777777" w:rsidR="00D00F42" w:rsidRDefault="00D00F42" w:rsidP="36704E9D"/>
    <w:p w14:paraId="78215ED0" w14:textId="77777777" w:rsidR="00D00F42" w:rsidRDefault="00D00F42" w:rsidP="36704E9D"/>
    <w:p w14:paraId="333F52D1" w14:textId="77777777" w:rsidR="00D00F42" w:rsidRDefault="00D00F42" w:rsidP="36704E9D"/>
    <w:p w14:paraId="1F58DC24" w14:textId="77777777" w:rsidR="00D00F42" w:rsidRDefault="00D00F42" w:rsidP="36704E9D"/>
    <w:p w14:paraId="2F021E1B" w14:textId="77777777" w:rsidR="00D00F42" w:rsidRDefault="00D00F42" w:rsidP="36704E9D"/>
    <w:p w14:paraId="7F49C127" w14:textId="77777777" w:rsidR="00D00F42" w:rsidRDefault="00D00F42" w:rsidP="36704E9D"/>
    <w:p w14:paraId="4B840315" w14:textId="77777777" w:rsidR="00D00F42" w:rsidRDefault="00D00F42" w:rsidP="36704E9D"/>
    <w:p w14:paraId="22771785" w14:textId="77777777" w:rsidR="00D00F42" w:rsidRDefault="00D00F42" w:rsidP="36704E9D"/>
    <w:p w14:paraId="4DCE0974" w14:textId="77777777" w:rsidR="00D00F42" w:rsidRDefault="00D00F42" w:rsidP="36704E9D"/>
    <w:p w14:paraId="744D938F" w14:textId="77777777" w:rsidR="00D00F42" w:rsidRDefault="00D00F42" w:rsidP="36704E9D"/>
    <w:p w14:paraId="5F22CEC8" w14:textId="77777777" w:rsidR="00D00F42" w:rsidRDefault="00D00F42" w:rsidP="36704E9D"/>
    <w:p w14:paraId="5563B5D5" w14:textId="77777777" w:rsidR="00D00F42" w:rsidRDefault="00D00F42" w:rsidP="36704E9D"/>
    <w:p w14:paraId="6D438AC9" w14:textId="77777777" w:rsidR="00D00F42" w:rsidRDefault="00D00F42" w:rsidP="36704E9D"/>
    <w:p w14:paraId="53303C20" w14:textId="77777777" w:rsidR="00D00F42" w:rsidRDefault="00D00F42" w:rsidP="36704E9D"/>
    <w:p w14:paraId="7C7F823F" w14:textId="77777777" w:rsidR="00D00F42" w:rsidRDefault="00D00F42" w:rsidP="36704E9D"/>
    <w:p w14:paraId="42B496EF" w14:textId="77777777" w:rsidR="00D00F42" w:rsidRDefault="00D00F42" w:rsidP="36704E9D"/>
    <w:p w14:paraId="250F25D1" w14:textId="77777777" w:rsidR="00D00F42" w:rsidRDefault="00D00F42" w:rsidP="36704E9D"/>
    <w:p w14:paraId="512A9858" w14:textId="77777777" w:rsidR="00D00F42" w:rsidRDefault="00D00F42" w:rsidP="36704E9D"/>
    <w:p w14:paraId="6A234481" w14:textId="77777777" w:rsidR="00D00F42" w:rsidRDefault="00D00F42" w:rsidP="36704E9D"/>
    <w:p w14:paraId="6607EF37" w14:textId="77777777" w:rsidR="00D00F42" w:rsidRDefault="00D00F42" w:rsidP="36704E9D"/>
    <w:p w14:paraId="5970EF77" w14:textId="77777777" w:rsidR="00D00F42" w:rsidRDefault="00D00F42" w:rsidP="36704E9D"/>
    <w:p w14:paraId="5C9F83F1" w14:textId="77777777" w:rsidR="00D00F42" w:rsidRDefault="00D00F42" w:rsidP="36704E9D"/>
    <w:p w14:paraId="6E959AFA" w14:textId="77777777" w:rsidR="00D00F42" w:rsidRDefault="00D00F42" w:rsidP="36704E9D"/>
    <w:p w14:paraId="7C674E45" w14:textId="77777777" w:rsidR="00D00F42" w:rsidRDefault="00D00F42" w:rsidP="36704E9D"/>
    <w:p w14:paraId="2232AB06" w14:textId="77777777" w:rsidR="00D00F42" w:rsidRDefault="00D00F42" w:rsidP="36704E9D"/>
    <w:p w14:paraId="0CD7C5B2" w14:textId="77777777" w:rsidR="00D00F42" w:rsidRDefault="00D00F42" w:rsidP="36704E9D"/>
    <w:p w14:paraId="4CC80033" w14:textId="77777777" w:rsidR="00D00F42" w:rsidRDefault="00D00F42" w:rsidP="36704E9D"/>
    <w:p w14:paraId="2FBC89C2" w14:textId="77777777" w:rsidR="00D00F42" w:rsidRDefault="00D00F42" w:rsidP="36704E9D"/>
    <w:p w14:paraId="6EFD9A29" w14:textId="77777777" w:rsidR="00D00F42" w:rsidRDefault="00D00F42" w:rsidP="36704E9D"/>
    <w:p w14:paraId="12100A10" w14:textId="77777777" w:rsidR="36704E9D" w:rsidRDefault="36704E9D" w:rsidP="36704E9D"/>
    <w:p w14:paraId="0C5EC256" w14:textId="77777777" w:rsidR="36704E9D" w:rsidRDefault="36704E9D" w:rsidP="36704E9D"/>
    <w:p w14:paraId="2A520B66" w14:textId="77777777" w:rsidR="405CCE25" w:rsidRPr="00FA0616" w:rsidRDefault="00000000" w:rsidP="552296C9">
      <w:pPr>
        <w:spacing w:line="259" w:lineRule="auto"/>
        <w:rPr>
          <w:rFonts w:ascii="Times New Roman" w:hAnsi="Times New Roman" w:cs="Times New Roman"/>
          <w:b/>
        </w:rPr>
      </w:pPr>
      <w:r w:rsidRPr="00FA0616">
        <w:rPr>
          <w:rFonts w:ascii="Times New Roman" w:hAnsi="Times New Roman" w:cs="Times New Roman"/>
          <w:b/>
        </w:rPr>
        <w:lastRenderedPageBreak/>
        <w:t>References</w:t>
      </w:r>
    </w:p>
    <w:p w14:paraId="288C1DB3" w14:textId="77777777" w:rsidR="02CD490F" w:rsidRPr="00FA0616" w:rsidRDefault="02CD490F" w:rsidP="02CD490F">
      <w:pPr>
        <w:rPr>
          <w:rFonts w:ascii="Times New Roman" w:hAnsi="Times New Roman" w:cs="Times New Roman"/>
        </w:rPr>
      </w:pPr>
    </w:p>
    <w:p w14:paraId="225C271C" w14:textId="77777777" w:rsidR="405CCE25" w:rsidRPr="00FA0616" w:rsidRDefault="00000000" w:rsidP="0C36DCE5">
      <w:pPr>
        <w:ind w:left="480"/>
        <w:rPr>
          <w:rFonts w:ascii="Times New Roman" w:hAnsi="Times New Roman" w:cs="Times New Roman"/>
        </w:rPr>
      </w:pPr>
      <w:r w:rsidRPr="00FA0616">
        <w:rPr>
          <w:rFonts w:ascii="Times New Roman" w:eastAsia="Aptos" w:hAnsi="Times New Roman" w:cs="Times New Roman"/>
        </w:rPr>
        <w:t xml:space="preserve">Bureau of Labor Statistics. (2024, July 5). </w:t>
      </w:r>
      <w:r w:rsidRPr="00FA0616">
        <w:rPr>
          <w:rFonts w:ascii="Times New Roman" w:eastAsia="Aptos" w:hAnsi="Times New Roman" w:cs="Times New Roman"/>
          <w:i/>
          <w:iCs/>
        </w:rPr>
        <w:t>Employment Situation Summary—2024 Q02 Results</w:t>
      </w:r>
      <w:r w:rsidRPr="00FA0616">
        <w:rPr>
          <w:rFonts w:ascii="Times New Roman" w:eastAsia="Aptos" w:hAnsi="Times New Roman" w:cs="Times New Roman"/>
        </w:rPr>
        <w:t xml:space="preserve">. Bureau of Labor Statistics. </w:t>
      </w:r>
      <w:hyperlink r:id="rId16">
        <w:r w:rsidRPr="00FA0616">
          <w:rPr>
            <w:rStyle w:val="Hyperlink"/>
            <w:rFonts w:ascii="Times New Roman" w:eastAsia="Aptos" w:hAnsi="Times New Roman" w:cs="Times New Roman"/>
          </w:rPr>
          <w:t>https://www.bls.gov</w:t>
        </w:r>
      </w:hyperlink>
    </w:p>
    <w:p w14:paraId="445510CC" w14:textId="77777777" w:rsidR="0C36DCE5" w:rsidRPr="00FA0616" w:rsidRDefault="0C36DCE5" w:rsidP="0C36DCE5">
      <w:pPr>
        <w:ind w:left="480"/>
        <w:rPr>
          <w:rFonts w:ascii="Times New Roman" w:eastAsia="Aptos" w:hAnsi="Times New Roman" w:cs="Times New Roman"/>
        </w:rPr>
      </w:pPr>
    </w:p>
    <w:p w14:paraId="0E7241B9" w14:textId="77777777" w:rsidR="405CCE25" w:rsidRPr="00FA0616" w:rsidRDefault="00000000" w:rsidP="02CD490F">
      <w:pPr>
        <w:ind w:left="480"/>
        <w:rPr>
          <w:rFonts w:ascii="Times New Roman" w:hAnsi="Times New Roman" w:cs="Times New Roman"/>
        </w:rPr>
      </w:pPr>
      <w:r w:rsidRPr="00FA0616">
        <w:rPr>
          <w:rFonts w:ascii="Times New Roman" w:eastAsia="Aptos" w:hAnsi="Times New Roman" w:cs="Times New Roman"/>
        </w:rPr>
        <w:t xml:space="preserve">Marsden, T. (2016). What is the true cost of attrition? </w:t>
      </w:r>
      <w:r w:rsidRPr="00FA0616">
        <w:rPr>
          <w:rFonts w:ascii="Times New Roman" w:eastAsia="Aptos" w:hAnsi="Times New Roman" w:cs="Times New Roman"/>
          <w:i/>
          <w:iCs/>
        </w:rPr>
        <w:t>Strategic HR Review</w:t>
      </w:r>
      <w:r w:rsidRPr="00FA0616">
        <w:rPr>
          <w:rFonts w:ascii="Times New Roman" w:eastAsia="Aptos" w:hAnsi="Times New Roman" w:cs="Times New Roman"/>
        </w:rPr>
        <w:t xml:space="preserve">, </w:t>
      </w:r>
      <w:r w:rsidRPr="00FA0616">
        <w:rPr>
          <w:rFonts w:ascii="Times New Roman" w:eastAsia="Aptos" w:hAnsi="Times New Roman" w:cs="Times New Roman"/>
          <w:i/>
          <w:iCs/>
        </w:rPr>
        <w:t>15</w:t>
      </w:r>
      <w:r w:rsidRPr="00FA0616">
        <w:rPr>
          <w:rFonts w:ascii="Times New Roman" w:eastAsia="Aptos" w:hAnsi="Times New Roman" w:cs="Times New Roman"/>
        </w:rPr>
        <w:t xml:space="preserve">(4), 189–190. </w:t>
      </w:r>
      <w:hyperlink r:id="rId17">
        <w:r w:rsidRPr="00FA0616">
          <w:rPr>
            <w:rStyle w:val="Hyperlink"/>
            <w:rFonts w:ascii="Times New Roman" w:eastAsia="Aptos" w:hAnsi="Times New Roman" w:cs="Times New Roman"/>
          </w:rPr>
          <w:t>https://doi.org/10.1108/SHR-05-2016-0039</w:t>
        </w:r>
      </w:hyperlink>
    </w:p>
    <w:p w14:paraId="505000FE" w14:textId="77777777" w:rsidR="00AA11D9" w:rsidRPr="00FA0616" w:rsidRDefault="00AA11D9" w:rsidP="36704E9D">
      <w:pPr>
        <w:rPr>
          <w:rFonts w:ascii="Times New Roman" w:hAnsi="Times New Roman" w:cs="Times New Roman"/>
        </w:rPr>
      </w:pPr>
    </w:p>
    <w:sectPr w:rsidR="00AA11D9" w:rsidRPr="00FA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3251"/>
    <w:multiLevelType w:val="hybridMultilevel"/>
    <w:tmpl w:val="354C2398"/>
    <w:lvl w:ilvl="0" w:tplc="752A4852">
      <w:start w:val="1"/>
      <w:numFmt w:val="bullet"/>
      <w:lvlText w:val=""/>
      <w:lvlJc w:val="left"/>
      <w:pPr>
        <w:ind w:left="720" w:hanging="360"/>
      </w:pPr>
      <w:rPr>
        <w:rFonts w:ascii="Symbol" w:hAnsi="Symbol" w:hint="default"/>
      </w:rPr>
    </w:lvl>
    <w:lvl w:ilvl="1" w:tplc="D9867C78">
      <w:start w:val="1"/>
      <w:numFmt w:val="bullet"/>
      <w:lvlText w:val="o"/>
      <w:lvlJc w:val="left"/>
      <w:pPr>
        <w:ind w:left="1440" w:hanging="360"/>
      </w:pPr>
      <w:rPr>
        <w:rFonts w:ascii="Courier New" w:hAnsi="Courier New" w:cs="Courier New" w:hint="default"/>
      </w:rPr>
    </w:lvl>
    <w:lvl w:ilvl="2" w:tplc="831646A4" w:tentative="1">
      <w:start w:val="1"/>
      <w:numFmt w:val="bullet"/>
      <w:lvlText w:val=""/>
      <w:lvlJc w:val="left"/>
      <w:pPr>
        <w:ind w:left="2160" w:hanging="360"/>
      </w:pPr>
      <w:rPr>
        <w:rFonts w:ascii="Wingdings" w:hAnsi="Wingdings" w:hint="default"/>
      </w:rPr>
    </w:lvl>
    <w:lvl w:ilvl="3" w:tplc="61B4B86C" w:tentative="1">
      <w:start w:val="1"/>
      <w:numFmt w:val="bullet"/>
      <w:lvlText w:val=""/>
      <w:lvlJc w:val="left"/>
      <w:pPr>
        <w:ind w:left="2880" w:hanging="360"/>
      </w:pPr>
      <w:rPr>
        <w:rFonts w:ascii="Symbol" w:hAnsi="Symbol" w:hint="default"/>
      </w:rPr>
    </w:lvl>
    <w:lvl w:ilvl="4" w:tplc="78DC0EEE" w:tentative="1">
      <w:start w:val="1"/>
      <w:numFmt w:val="bullet"/>
      <w:lvlText w:val="o"/>
      <w:lvlJc w:val="left"/>
      <w:pPr>
        <w:ind w:left="3600" w:hanging="360"/>
      </w:pPr>
      <w:rPr>
        <w:rFonts w:ascii="Courier New" w:hAnsi="Courier New" w:cs="Courier New" w:hint="default"/>
      </w:rPr>
    </w:lvl>
    <w:lvl w:ilvl="5" w:tplc="1286F134" w:tentative="1">
      <w:start w:val="1"/>
      <w:numFmt w:val="bullet"/>
      <w:lvlText w:val=""/>
      <w:lvlJc w:val="left"/>
      <w:pPr>
        <w:ind w:left="4320" w:hanging="360"/>
      </w:pPr>
      <w:rPr>
        <w:rFonts w:ascii="Wingdings" w:hAnsi="Wingdings" w:hint="default"/>
      </w:rPr>
    </w:lvl>
    <w:lvl w:ilvl="6" w:tplc="E5269420" w:tentative="1">
      <w:start w:val="1"/>
      <w:numFmt w:val="bullet"/>
      <w:lvlText w:val=""/>
      <w:lvlJc w:val="left"/>
      <w:pPr>
        <w:ind w:left="5040" w:hanging="360"/>
      </w:pPr>
      <w:rPr>
        <w:rFonts w:ascii="Symbol" w:hAnsi="Symbol" w:hint="default"/>
      </w:rPr>
    </w:lvl>
    <w:lvl w:ilvl="7" w:tplc="09D0C7E8" w:tentative="1">
      <w:start w:val="1"/>
      <w:numFmt w:val="bullet"/>
      <w:lvlText w:val="o"/>
      <w:lvlJc w:val="left"/>
      <w:pPr>
        <w:ind w:left="5760" w:hanging="360"/>
      </w:pPr>
      <w:rPr>
        <w:rFonts w:ascii="Courier New" w:hAnsi="Courier New" w:cs="Courier New" w:hint="default"/>
      </w:rPr>
    </w:lvl>
    <w:lvl w:ilvl="8" w:tplc="9724EC34" w:tentative="1">
      <w:start w:val="1"/>
      <w:numFmt w:val="bullet"/>
      <w:lvlText w:val=""/>
      <w:lvlJc w:val="left"/>
      <w:pPr>
        <w:ind w:left="6480" w:hanging="360"/>
      </w:pPr>
      <w:rPr>
        <w:rFonts w:ascii="Wingdings" w:hAnsi="Wingdings" w:hint="default"/>
      </w:rPr>
    </w:lvl>
  </w:abstractNum>
  <w:num w:numId="1" w16cid:durableId="180153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C1"/>
    <w:rsid w:val="00002160"/>
    <w:rsid w:val="00003330"/>
    <w:rsid w:val="00005E10"/>
    <w:rsid w:val="000103E4"/>
    <w:rsid w:val="000136D5"/>
    <w:rsid w:val="00020974"/>
    <w:rsid w:val="000233F5"/>
    <w:rsid w:val="00025DE3"/>
    <w:rsid w:val="00030A8B"/>
    <w:rsid w:val="000314DC"/>
    <w:rsid w:val="0003265F"/>
    <w:rsid w:val="00035343"/>
    <w:rsid w:val="00036FF9"/>
    <w:rsid w:val="00043B3E"/>
    <w:rsid w:val="00054F65"/>
    <w:rsid w:val="000629EC"/>
    <w:rsid w:val="0008093E"/>
    <w:rsid w:val="00082D04"/>
    <w:rsid w:val="000831BC"/>
    <w:rsid w:val="00085CDC"/>
    <w:rsid w:val="00090C11"/>
    <w:rsid w:val="00092961"/>
    <w:rsid w:val="00097A1D"/>
    <w:rsid w:val="000A76E6"/>
    <w:rsid w:val="000B21C5"/>
    <w:rsid w:val="000B22EC"/>
    <w:rsid w:val="000B421F"/>
    <w:rsid w:val="000B5C98"/>
    <w:rsid w:val="000C498C"/>
    <w:rsid w:val="000C57F8"/>
    <w:rsid w:val="000D05AE"/>
    <w:rsid w:val="000D2FA6"/>
    <w:rsid w:val="000D704D"/>
    <w:rsid w:val="000E2290"/>
    <w:rsid w:val="000E6838"/>
    <w:rsid w:val="000F033A"/>
    <w:rsid w:val="000F115C"/>
    <w:rsid w:val="000F5179"/>
    <w:rsid w:val="000F70E6"/>
    <w:rsid w:val="00102458"/>
    <w:rsid w:val="00105012"/>
    <w:rsid w:val="0010727F"/>
    <w:rsid w:val="0011411C"/>
    <w:rsid w:val="001225B1"/>
    <w:rsid w:val="00122CDF"/>
    <w:rsid w:val="00124D29"/>
    <w:rsid w:val="00127A3A"/>
    <w:rsid w:val="00127D01"/>
    <w:rsid w:val="0013003E"/>
    <w:rsid w:val="00132CDF"/>
    <w:rsid w:val="00133D21"/>
    <w:rsid w:val="00140544"/>
    <w:rsid w:val="00142BE1"/>
    <w:rsid w:val="00143C79"/>
    <w:rsid w:val="001456B6"/>
    <w:rsid w:val="00145E18"/>
    <w:rsid w:val="0015087B"/>
    <w:rsid w:val="0015386B"/>
    <w:rsid w:val="00161C3D"/>
    <w:rsid w:val="0017438C"/>
    <w:rsid w:val="00175B60"/>
    <w:rsid w:val="00175DA6"/>
    <w:rsid w:val="00180102"/>
    <w:rsid w:val="00186265"/>
    <w:rsid w:val="00190E82"/>
    <w:rsid w:val="001917D3"/>
    <w:rsid w:val="001968D3"/>
    <w:rsid w:val="0019787B"/>
    <w:rsid w:val="001A4102"/>
    <w:rsid w:val="001A5CD8"/>
    <w:rsid w:val="001A643E"/>
    <w:rsid w:val="001B048B"/>
    <w:rsid w:val="001B56AF"/>
    <w:rsid w:val="001C74B3"/>
    <w:rsid w:val="001D002E"/>
    <w:rsid w:val="001E28F7"/>
    <w:rsid w:val="00200660"/>
    <w:rsid w:val="00215F82"/>
    <w:rsid w:val="00216552"/>
    <w:rsid w:val="00221D47"/>
    <w:rsid w:val="0023407E"/>
    <w:rsid w:val="00242CE5"/>
    <w:rsid w:val="00254949"/>
    <w:rsid w:val="0026375F"/>
    <w:rsid w:val="002730EA"/>
    <w:rsid w:val="00280F1A"/>
    <w:rsid w:val="00285D4C"/>
    <w:rsid w:val="00290E71"/>
    <w:rsid w:val="0029312F"/>
    <w:rsid w:val="00294542"/>
    <w:rsid w:val="002A0341"/>
    <w:rsid w:val="002A1431"/>
    <w:rsid w:val="002A6D56"/>
    <w:rsid w:val="002B16F4"/>
    <w:rsid w:val="002B2C35"/>
    <w:rsid w:val="002B7653"/>
    <w:rsid w:val="002C2D19"/>
    <w:rsid w:val="002C7BB8"/>
    <w:rsid w:val="002D3214"/>
    <w:rsid w:val="002D6ADD"/>
    <w:rsid w:val="002E0495"/>
    <w:rsid w:val="002E2020"/>
    <w:rsid w:val="002E577E"/>
    <w:rsid w:val="002F07BA"/>
    <w:rsid w:val="002F15D9"/>
    <w:rsid w:val="002F44EC"/>
    <w:rsid w:val="002F6C2A"/>
    <w:rsid w:val="002F7BC9"/>
    <w:rsid w:val="00303E83"/>
    <w:rsid w:val="00304A65"/>
    <w:rsid w:val="00305EA7"/>
    <w:rsid w:val="003171F2"/>
    <w:rsid w:val="00317BE7"/>
    <w:rsid w:val="0032247E"/>
    <w:rsid w:val="00324095"/>
    <w:rsid w:val="00331333"/>
    <w:rsid w:val="00331AF1"/>
    <w:rsid w:val="00333FF6"/>
    <w:rsid w:val="00335A1F"/>
    <w:rsid w:val="0033727F"/>
    <w:rsid w:val="0034337F"/>
    <w:rsid w:val="00344AB9"/>
    <w:rsid w:val="00347598"/>
    <w:rsid w:val="0035104E"/>
    <w:rsid w:val="003519F9"/>
    <w:rsid w:val="00351C6D"/>
    <w:rsid w:val="00352916"/>
    <w:rsid w:val="00363EDD"/>
    <w:rsid w:val="00364149"/>
    <w:rsid w:val="00375856"/>
    <w:rsid w:val="00377156"/>
    <w:rsid w:val="003772E4"/>
    <w:rsid w:val="00384721"/>
    <w:rsid w:val="00385E7B"/>
    <w:rsid w:val="00387818"/>
    <w:rsid w:val="003930C2"/>
    <w:rsid w:val="00394CDD"/>
    <w:rsid w:val="00395268"/>
    <w:rsid w:val="003972EC"/>
    <w:rsid w:val="003978C1"/>
    <w:rsid w:val="003A1EFF"/>
    <w:rsid w:val="003A2032"/>
    <w:rsid w:val="003A5B06"/>
    <w:rsid w:val="003B1796"/>
    <w:rsid w:val="003B2263"/>
    <w:rsid w:val="003C5208"/>
    <w:rsid w:val="003C7514"/>
    <w:rsid w:val="003D33D2"/>
    <w:rsid w:val="003D5498"/>
    <w:rsid w:val="003E1763"/>
    <w:rsid w:val="003E5A6B"/>
    <w:rsid w:val="003F2D42"/>
    <w:rsid w:val="003F4A89"/>
    <w:rsid w:val="003F5FF2"/>
    <w:rsid w:val="003F63D8"/>
    <w:rsid w:val="003F7D5F"/>
    <w:rsid w:val="00401C85"/>
    <w:rsid w:val="00404150"/>
    <w:rsid w:val="00406BF1"/>
    <w:rsid w:val="00406D39"/>
    <w:rsid w:val="004139F7"/>
    <w:rsid w:val="00416915"/>
    <w:rsid w:val="004212E2"/>
    <w:rsid w:val="00433194"/>
    <w:rsid w:val="004419D0"/>
    <w:rsid w:val="0044408E"/>
    <w:rsid w:val="00454AAA"/>
    <w:rsid w:val="00455BE5"/>
    <w:rsid w:val="00461D1B"/>
    <w:rsid w:val="00462361"/>
    <w:rsid w:val="00463AA7"/>
    <w:rsid w:val="0047248C"/>
    <w:rsid w:val="004726CE"/>
    <w:rsid w:val="004772AC"/>
    <w:rsid w:val="00485289"/>
    <w:rsid w:val="00485AB0"/>
    <w:rsid w:val="004904BE"/>
    <w:rsid w:val="00497498"/>
    <w:rsid w:val="004A158C"/>
    <w:rsid w:val="004B419B"/>
    <w:rsid w:val="004B5FE8"/>
    <w:rsid w:val="004B61B9"/>
    <w:rsid w:val="004C16DE"/>
    <w:rsid w:val="004D0E2E"/>
    <w:rsid w:val="004D41AF"/>
    <w:rsid w:val="004D4EE0"/>
    <w:rsid w:val="004E411C"/>
    <w:rsid w:val="004E4805"/>
    <w:rsid w:val="004E7745"/>
    <w:rsid w:val="004F09B6"/>
    <w:rsid w:val="004F3931"/>
    <w:rsid w:val="00503663"/>
    <w:rsid w:val="00505599"/>
    <w:rsid w:val="00513AB1"/>
    <w:rsid w:val="00521CF1"/>
    <w:rsid w:val="005235E2"/>
    <w:rsid w:val="00527598"/>
    <w:rsid w:val="0054165E"/>
    <w:rsid w:val="00547B7D"/>
    <w:rsid w:val="00547C00"/>
    <w:rsid w:val="00563ED9"/>
    <w:rsid w:val="005730E4"/>
    <w:rsid w:val="00581BA5"/>
    <w:rsid w:val="00581D79"/>
    <w:rsid w:val="0058203A"/>
    <w:rsid w:val="005853B3"/>
    <w:rsid w:val="0058557E"/>
    <w:rsid w:val="00590343"/>
    <w:rsid w:val="005A028D"/>
    <w:rsid w:val="005A5087"/>
    <w:rsid w:val="005B566B"/>
    <w:rsid w:val="005B7DA5"/>
    <w:rsid w:val="005C54BB"/>
    <w:rsid w:val="005C6803"/>
    <w:rsid w:val="005D1EE1"/>
    <w:rsid w:val="005D583B"/>
    <w:rsid w:val="005D6312"/>
    <w:rsid w:val="005E0474"/>
    <w:rsid w:val="005E2355"/>
    <w:rsid w:val="005F16E7"/>
    <w:rsid w:val="00607050"/>
    <w:rsid w:val="00607F3B"/>
    <w:rsid w:val="00610583"/>
    <w:rsid w:val="00612D98"/>
    <w:rsid w:val="0061612D"/>
    <w:rsid w:val="00620F5E"/>
    <w:rsid w:val="0062274C"/>
    <w:rsid w:val="00624A58"/>
    <w:rsid w:val="00626108"/>
    <w:rsid w:val="00627D5F"/>
    <w:rsid w:val="00633AD9"/>
    <w:rsid w:val="006346B9"/>
    <w:rsid w:val="006349EB"/>
    <w:rsid w:val="00636524"/>
    <w:rsid w:val="00641B0C"/>
    <w:rsid w:val="00651B82"/>
    <w:rsid w:val="00684BD8"/>
    <w:rsid w:val="00696F64"/>
    <w:rsid w:val="00697EC2"/>
    <w:rsid w:val="006A34D6"/>
    <w:rsid w:val="006B1701"/>
    <w:rsid w:val="006B5486"/>
    <w:rsid w:val="006C7430"/>
    <w:rsid w:val="006D1D56"/>
    <w:rsid w:val="006D2DC5"/>
    <w:rsid w:val="006D602A"/>
    <w:rsid w:val="006E1135"/>
    <w:rsid w:val="006F00C6"/>
    <w:rsid w:val="006F1CC1"/>
    <w:rsid w:val="006F31CA"/>
    <w:rsid w:val="00701D8C"/>
    <w:rsid w:val="00721D65"/>
    <w:rsid w:val="00727145"/>
    <w:rsid w:val="00731C61"/>
    <w:rsid w:val="007339C4"/>
    <w:rsid w:val="007346BF"/>
    <w:rsid w:val="00740EEA"/>
    <w:rsid w:val="00752C8E"/>
    <w:rsid w:val="007612BE"/>
    <w:rsid w:val="00762669"/>
    <w:rsid w:val="00770120"/>
    <w:rsid w:val="007738AA"/>
    <w:rsid w:val="00775424"/>
    <w:rsid w:val="00775F8A"/>
    <w:rsid w:val="00776492"/>
    <w:rsid w:val="0078348D"/>
    <w:rsid w:val="00792E87"/>
    <w:rsid w:val="00795D89"/>
    <w:rsid w:val="00795F39"/>
    <w:rsid w:val="007A2317"/>
    <w:rsid w:val="007A257C"/>
    <w:rsid w:val="007A5A48"/>
    <w:rsid w:val="007A7B81"/>
    <w:rsid w:val="007C08DA"/>
    <w:rsid w:val="007C19CE"/>
    <w:rsid w:val="007D528A"/>
    <w:rsid w:val="007D6CD4"/>
    <w:rsid w:val="007D72BD"/>
    <w:rsid w:val="007E0DCC"/>
    <w:rsid w:val="007E1DCC"/>
    <w:rsid w:val="007F179B"/>
    <w:rsid w:val="007F3A7D"/>
    <w:rsid w:val="007F65D0"/>
    <w:rsid w:val="00804AB1"/>
    <w:rsid w:val="00804CB9"/>
    <w:rsid w:val="00805564"/>
    <w:rsid w:val="008072B5"/>
    <w:rsid w:val="0080747C"/>
    <w:rsid w:val="00816E4E"/>
    <w:rsid w:val="00821320"/>
    <w:rsid w:val="00821FEB"/>
    <w:rsid w:val="008236E6"/>
    <w:rsid w:val="00827262"/>
    <w:rsid w:val="00830563"/>
    <w:rsid w:val="008308C5"/>
    <w:rsid w:val="008459A1"/>
    <w:rsid w:val="00852BE4"/>
    <w:rsid w:val="00853F6F"/>
    <w:rsid w:val="00855F45"/>
    <w:rsid w:val="008578DA"/>
    <w:rsid w:val="00860850"/>
    <w:rsid w:val="00865A4C"/>
    <w:rsid w:val="00866FC3"/>
    <w:rsid w:val="00872997"/>
    <w:rsid w:val="00880F02"/>
    <w:rsid w:val="00882102"/>
    <w:rsid w:val="00882234"/>
    <w:rsid w:val="00883B36"/>
    <w:rsid w:val="00891E95"/>
    <w:rsid w:val="008962BD"/>
    <w:rsid w:val="00896716"/>
    <w:rsid w:val="008967B9"/>
    <w:rsid w:val="008A523F"/>
    <w:rsid w:val="008B58DC"/>
    <w:rsid w:val="008B7087"/>
    <w:rsid w:val="008C1134"/>
    <w:rsid w:val="008C260A"/>
    <w:rsid w:val="008C3175"/>
    <w:rsid w:val="008C611E"/>
    <w:rsid w:val="008D2444"/>
    <w:rsid w:val="008D34F9"/>
    <w:rsid w:val="008D42D8"/>
    <w:rsid w:val="008D55A8"/>
    <w:rsid w:val="008D55F6"/>
    <w:rsid w:val="008F1F82"/>
    <w:rsid w:val="008F6417"/>
    <w:rsid w:val="008F6CD3"/>
    <w:rsid w:val="00903ECE"/>
    <w:rsid w:val="009078AF"/>
    <w:rsid w:val="009105F7"/>
    <w:rsid w:val="009149F6"/>
    <w:rsid w:val="009244F0"/>
    <w:rsid w:val="009247F0"/>
    <w:rsid w:val="00927F1D"/>
    <w:rsid w:val="00937C08"/>
    <w:rsid w:val="00942BC0"/>
    <w:rsid w:val="00944A4F"/>
    <w:rsid w:val="0095206D"/>
    <w:rsid w:val="00953C63"/>
    <w:rsid w:val="00954680"/>
    <w:rsid w:val="009708B5"/>
    <w:rsid w:val="00972DC2"/>
    <w:rsid w:val="0097348C"/>
    <w:rsid w:val="0098090B"/>
    <w:rsid w:val="00981F9A"/>
    <w:rsid w:val="009945C2"/>
    <w:rsid w:val="009966B7"/>
    <w:rsid w:val="00996F81"/>
    <w:rsid w:val="009A3470"/>
    <w:rsid w:val="009B015F"/>
    <w:rsid w:val="009B6B4E"/>
    <w:rsid w:val="009C1D80"/>
    <w:rsid w:val="009C23E5"/>
    <w:rsid w:val="009C7AE4"/>
    <w:rsid w:val="009C7BDA"/>
    <w:rsid w:val="009D1A40"/>
    <w:rsid w:val="009D5F92"/>
    <w:rsid w:val="009D7114"/>
    <w:rsid w:val="009E08D4"/>
    <w:rsid w:val="009F19DB"/>
    <w:rsid w:val="009F52C7"/>
    <w:rsid w:val="00A013A5"/>
    <w:rsid w:val="00A06419"/>
    <w:rsid w:val="00A10222"/>
    <w:rsid w:val="00A16558"/>
    <w:rsid w:val="00A30D8F"/>
    <w:rsid w:val="00A427CA"/>
    <w:rsid w:val="00A42B4A"/>
    <w:rsid w:val="00A47FCB"/>
    <w:rsid w:val="00A53CF7"/>
    <w:rsid w:val="00A63A1D"/>
    <w:rsid w:val="00A6490C"/>
    <w:rsid w:val="00A65876"/>
    <w:rsid w:val="00A731DF"/>
    <w:rsid w:val="00A73A9F"/>
    <w:rsid w:val="00A7684C"/>
    <w:rsid w:val="00A8191E"/>
    <w:rsid w:val="00A8442C"/>
    <w:rsid w:val="00A872EB"/>
    <w:rsid w:val="00A97E51"/>
    <w:rsid w:val="00AA11D9"/>
    <w:rsid w:val="00AA5705"/>
    <w:rsid w:val="00AA7841"/>
    <w:rsid w:val="00AA7941"/>
    <w:rsid w:val="00AB0FED"/>
    <w:rsid w:val="00AB3B96"/>
    <w:rsid w:val="00AB50F3"/>
    <w:rsid w:val="00AC3E27"/>
    <w:rsid w:val="00AD4560"/>
    <w:rsid w:val="00AE3C4E"/>
    <w:rsid w:val="00AE52BA"/>
    <w:rsid w:val="00AF4B70"/>
    <w:rsid w:val="00AF7C41"/>
    <w:rsid w:val="00B06A5F"/>
    <w:rsid w:val="00B07144"/>
    <w:rsid w:val="00B077D7"/>
    <w:rsid w:val="00B07B97"/>
    <w:rsid w:val="00B1732B"/>
    <w:rsid w:val="00B220D0"/>
    <w:rsid w:val="00B24938"/>
    <w:rsid w:val="00B267AB"/>
    <w:rsid w:val="00B26B72"/>
    <w:rsid w:val="00B33132"/>
    <w:rsid w:val="00B37166"/>
    <w:rsid w:val="00B44D55"/>
    <w:rsid w:val="00B47CF4"/>
    <w:rsid w:val="00B52C43"/>
    <w:rsid w:val="00B63022"/>
    <w:rsid w:val="00B72DB0"/>
    <w:rsid w:val="00B74E47"/>
    <w:rsid w:val="00B75A6C"/>
    <w:rsid w:val="00B85689"/>
    <w:rsid w:val="00B86EF5"/>
    <w:rsid w:val="00B87D73"/>
    <w:rsid w:val="00B910F9"/>
    <w:rsid w:val="00B9631C"/>
    <w:rsid w:val="00BA3BBF"/>
    <w:rsid w:val="00BB4B90"/>
    <w:rsid w:val="00BB662B"/>
    <w:rsid w:val="00BC3570"/>
    <w:rsid w:val="00BC6BB2"/>
    <w:rsid w:val="00BD230C"/>
    <w:rsid w:val="00BD7649"/>
    <w:rsid w:val="00BE38C6"/>
    <w:rsid w:val="00BE61D0"/>
    <w:rsid w:val="00BE6464"/>
    <w:rsid w:val="00BF7833"/>
    <w:rsid w:val="00BF7F11"/>
    <w:rsid w:val="00C006EA"/>
    <w:rsid w:val="00C05AC3"/>
    <w:rsid w:val="00C0632C"/>
    <w:rsid w:val="00C1187B"/>
    <w:rsid w:val="00C1315C"/>
    <w:rsid w:val="00C1411F"/>
    <w:rsid w:val="00C1575F"/>
    <w:rsid w:val="00C159F1"/>
    <w:rsid w:val="00C26F26"/>
    <w:rsid w:val="00C318FE"/>
    <w:rsid w:val="00C35604"/>
    <w:rsid w:val="00C35EC6"/>
    <w:rsid w:val="00C40E0C"/>
    <w:rsid w:val="00C415AF"/>
    <w:rsid w:val="00C54436"/>
    <w:rsid w:val="00C5482D"/>
    <w:rsid w:val="00C554E1"/>
    <w:rsid w:val="00C737F1"/>
    <w:rsid w:val="00C86A2F"/>
    <w:rsid w:val="00C875D1"/>
    <w:rsid w:val="00CA100B"/>
    <w:rsid w:val="00CA128B"/>
    <w:rsid w:val="00CA3DC2"/>
    <w:rsid w:val="00CB4ECE"/>
    <w:rsid w:val="00CB624D"/>
    <w:rsid w:val="00CB7AF7"/>
    <w:rsid w:val="00CC3D83"/>
    <w:rsid w:val="00CC453D"/>
    <w:rsid w:val="00CC7859"/>
    <w:rsid w:val="00CD7184"/>
    <w:rsid w:val="00CE71E4"/>
    <w:rsid w:val="00CE752B"/>
    <w:rsid w:val="00CF1D50"/>
    <w:rsid w:val="00D00F42"/>
    <w:rsid w:val="00D027ED"/>
    <w:rsid w:val="00D05842"/>
    <w:rsid w:val="00D109B4"/>
    <w:rsid w:val="00D16099"/>
    <w:rsid w:val="00D30696"/>
    <w:rsid w:val="00D33FC7"/>
    <w:rsid w:val="00D34BAA"/>
    <w:rsid w:val="00D47D5F"/>
    <w:rsid w:val="00D51060"/>
    <w:rsid w:val="00D64C23"/>
    <w:rsid w:val="00D6768C"/>
    <w:rsid w:val="00D702F6"/>
    <w:rsid w:val="00D729CA"/>
    <w:rsid w:val="00D81A80"/>
    <w:rsid w:val="00D93D1A"/>
    <w:rsid w:val="00D94EF2"/>
    <w:rsid w:val="00D97AD8"/>
    <w:rsid w:val="00DA0680"/>
    <w:rsid w:val="00DA587A"/>
    <w:rsid w:val="00DA5C6C"/>
    <w:rsid w:val="00DC00BE"/>
    <w:rsid w:val="00DC32F0"/>
    <w:rsid w:val="00DC4A2D"/>
    <w:rsid w:val="00DC54E0"/>
    <w:rsid w:val="00DC5AD5"/>
    <w:rsid w:val="00DD7A16"/>
    <w:rsid w:val="00DF6F3E"/>
    <w:rsid w:val="00E022A6"/>
    <w:rsid w:val="00E02590"/>
    <w:rsid w:val="00E05E02"/>
    <w:rsid w:val="00E10F79"/>
    <w:rsid w:val="00E11C7D"/>
    <w:rsid w:val="00E125B0"/>
    <w:rsid w:val="00E13400"/>
    <w:rsid w:val="00E17B4D"/>
    <w:rsid w:val="00E210F5"/>
    <w:rsid w:val="00E214B9"/>
    <w:rsid w:val="00E25B4A"/>
    <w:rsid w:val="00E25B64"/>
    <w:rsid w:val="00E25EF8"/>
    <w:rsid w:val="00E43FAF"/>
    <w:rsid w:val="00E5166D"/>
    <w:rsid w:val="00E56AF7"/>
    <w:rsid w:val="00E57AE8"/>
    <w:rsid w:val="00E61B8B"/>
    <w:rsid w:val="00E775D2"/>
    <w:rsid w:val="00E776BE"/>
    <w:rsid w:val="00E80556"/>
    <w:rsid w:val="00E824F5"/>
    <w:rsid w:val="00E825C9"/>
    <w:rsid w:val="00E82991"/>
    <w:rsid w:val="00E833E4"/>
    <w:rsid w:val="00E87C56"/>
    <w:rsid w:val="00E94053"/>
    <w:rsid w:val="00EA01F3"/>
    <w:rsid w:val="00EA049C"/>
    <w:rsid w:val="00EA5E5E"/>
    <w:rsid w:val="00EB0050"/>
    <w:rsid w:val="00EB320F"/>
    <w:rsid w:val="00EC2348"/>
    <w:rsid w:val="00EC6020"/>
    <w:rsid w:val="00ED129E"/>
    <w:rsid w:val="00ED183D"/>
    <w:rsid w:val="00ED338D"/>
    <w:rsid w:val="00ED4227"/>
    <w:rsid w:val="00ED5193"/>
    <w:rsid w:val="00ED7196"/>
    <w:rsid w:val="00EE5C43"/>
    <w:rsid w:val="00EF39DD"/>
    <w:rsid w:val="00EF7586"/>
    <w:rsid w:val="00F0698D"/>
    <w:rsid w:val="00F24441"/>
    <w:rsid w:val="00F34802"/>
    <w:rsid w:val="00F355D3"/>
    <w:rsid w:val="00F3621D"/>
    <w:rsid w:val="00F413C0"/>
    <w:rsid w:val="00F44B7C"/>
    <w:rsid w:val="00F4DFC6"/>
    <w:rsid w:val="00F51169"/>
    <w:rsid w:val="00F56624"/>
    <w:rsid w:val="00F72DF4"/>
    <w:rsid w:val="00F7526A"/>
    <w:rsid w:val="00F7692D"/>
    <w:rsid w:val="00F803A3"/>
    <w:rsid w:val="00F80673"/>
    <w:rsid w:val="00F81B91"/>
    <w:rsid w:val="00F85088"/>
    <w:rsid w:val="00F90273"/>
    <w:rsid w:val="00F91FD1"/>
    <w:rsid w:val="00FA0460"/>
    <w:rsid w:val="00FA0616"/>
    <w:rsid w:val="00FA3B9E"/>
    <w:rsid w:val="00FA3FB5"/>
    <w:rsid w:val="00FA7726"/>
    <w:rsid w:val="00FB0226"/>
    <w:rsid w:val="00FB3F1F"/>
    <w:rsid w:val="00FB550E"/>
    <w:rsid w:val="00FC085C"/>
    <w:rsid w:val="00FC4572"/>
    <w:rsid w:val="00FC6709"/>
    <w:rsid w:val="00FC7051"/>
    <w:rsid w:val="00FD11F2"/>
    <w:rsid w:val="00FE0060"/>
    <w:rsid w:val="00FE1DC2"/>
    <w:rsid w:val="00FE5FAD"/>
    <w:rsid w:val="00FF42A7"/>
    <w:rsid w:val="00FF5507"/>
    <w:rsid w:val="01335CAD"/>
    <w:rsid w:val="0176574A"/>
    <w:rsid w:val="01790E41"/>
    <w:rsid w:val="01BBA74A"/>
    <w:rsid w:val="0247C43E"/>
    <w:rsid w:val="02CD490F"/>
    <w:rsid w:val="02E33D48"/>
    <w:rsid w:val="034A02EC"/>
    <w:rsid w:val="04FAB9BA"/>
    <w:rsid w:val="051D5C53"/>
    <w:rsid w:val="05882264"/>
    <w:rsid w:val="05B4B3CD"/>
    <w:rsid w:val="06ECC383"/>
    <w:rsid w:val="076CEFDF"/>
    <w:rsid w:val="0929F0F4"/>
    <w:rsid w:val="09A8D979"/>
    <w:rsid w:val="0B77986C"/>
    <w:rsid w:val="0BF13404"/>
    <w:rsid w:val="0C32C463"/>
    <w:rsid w:val="0C36DCE5"/>
    <w:rsid w:val="0CAC9223"/>
    <w:rsid w:val="0D146E55"/>
    <w:rsid w:val="0E8BF0F1"/>
    <w:rsid w:val="0EC16B2E"/>
    <w:rsid w:val="0F64D22D"/>
    <w:rsid w:val="111302AE"/>
    <w:rsid w:val="1124D61F"/>
    <w:rsid w:val="11888392"/>
    <w:rsid w:val="1213EC96"/>
    <w:rsid w:val="1268E91E"/>
    <w:rsid w:val="14170915"/>
    <w:rsid w:val="1462F4BC"/>
    <w:rsid w:val="159DE923"/>
    <w:rsid w:val="15C1A3F7"/>
    <w:rsid w:val="15CBC1F8"/>
    <w:rsid w:val="161482CB"/>
    <w:rsid w:val="16665775"/>
    <w:rsid w:val="1728DAE1"/>
    <w:rsid w:val="17A9833F"/>
    <w:rsid w:val="184478B7"/>
    <w:rsid w:val="18B986C2"/>
    <w:rsid w:val="18D17115"/>
    <w:rsid w:val="18FA9435"/>
    <w:rsid w:val="19FD62D9"/>
    <w:rsid w:val="1A598B10"/>
    <w:rsid w:val="1B36D2D8"/>
    <w:rsid w:val="1B946D04"/>
    <w:rsid w:val="1C1BD6C0"/>
    <w:rsid w:val="1D6F8540"/>
    <w:rsid w:val="1D880063"/>
    <w:rsid w:val="1D933B20"/>
    <w:rsid w:val="1ED81F55"/>
    <w:rsid w:val="1FA1BFA8"/>
    <w:rsid w:val="1FAEC5DD"/>
    <w:rsid w:val="1FC5925A"/>
    <w:rsid w:val="20D4E2A2"/>
    <w:rsid w:val="24DDAA7A"/>
    <w:rsid w:val="259A4CF2"/>
    <w:rsid w:val="25D25A62"/>
    <w:rsid w:val="25E39673"/>
    <w:rsid w:val="25E427BC"/>
    <w:rsid w:val="26A3D592"/>
    <w:rsid w:val="27FFB8E7"/>
    <w:rsid w:val="28420940"/>
    <w:rsid w:val="292C98ED"/>
    <w:rsid w:val="29E67EBA"/>
    <w:rsid w:val="29F198CD"/>
    <w:rsid w:val="2A9C3B95"/>
    <w:rsid w:val="2B16BDEB"/>
    <w:rsid w:val="2D291815"/>
    <w:rsid w:val="2E3BA72B"/>
    <w:rsid w:val="2EA76F21"/>
    <w:rsid w:val="2EB24C26"/>
    <w:rsid w:val="2F20DA19"/>
    <w:rsid w:val="304DDAE6"/>
    <w:rsid w:val="308EBE75"/>
    <w:rsid w:val="31A01EA4"/>
    <w:rsid w:val="31DB1793"/>
    <w:rsid w:val="32C1AD22"/>
    <w:rsid w:val="3466AF87"/>
    <w:rsid w:val="34E698D9"/>
    <w:rsid w:val="357E4646"/>
    <w:rsid w:val="36283B5B"/>
    <w:rsid w:val="36704E9D"/>
    <w:rsid w:val="370AD531"/>
    <w:rsid w:val="37928863"/>
    <w:rsid w:val="3839CC29"/>
    <w:rsid w:val="384453FB"/>
    <w:rsid w:val="3A88B546"/>
    <w:rsid w:val="3B04BBEA"/>
    <w:rsid w:val="3B099EF5"/>
    <w:rsid w:val="3B5FC00E"/>
    <w:rsid w:val="3BBC86EF"/>
    <w:rsid w:val="3DD8F9F8"/>
    <w:rsid w:val="3E2469E6"/>
    <w:rsid w:val="3E40F664"/>
    <w:rsid w:val="3E58297A"/>
    <w:rsid w:val="3EBF6BBB"/>
    <w:rsid w:val="3F82605C"/>
    <w:rsid w:val="3FF41011"/>
    <w:rsid w:val="405CCE25"/>
    <w:rsid w:val="407BEDC2"/>
    <w:rsid w:val="414BE10A"/>
    <w:rsid w:val="41BE76B5"/>
    <w:rsid w:val="41D33B81"/>
    <w:rsid w:val="41E27772"/>
    <w:rsid w:val="4231369E"/>
    <w:rsid w:val="42DB130E"/>
    <w:rsid w:val="445D0407"/>
    <w:rsid w:val="44AF76CA"/>
    <w:rsid w:val="45591CE3"/>
    <w:rsid w:val="45A9EE48"/>
    <w:rsid w:val="472C5F9A"/>
    <w:rsid w:val="476253B2"/>
    <w:rsid w:val="482C74C8"/>
    <w:rsid w:val="4A7BD6A0"/>
    <w:rsid w:val="4AF3BF35"/>
    <w:rsid w:val="4B9B0BDE"/>
    <w:rsid w:val="4C56D312"/>
    <w:rsid w:val="4D181245"/>
    <w:rsid w:val="4D29C549"/>
    <w:rsid w:val="4D4E1B63"/>
    <w:rsid w:val="4D95A71C"/>
    <w:rsid w:val="4E0DB253"/>
    <w:rsid w:val="4ED987C2"/>
    <w:rsid w:val="4F73DE61"/>
    <w:rsid w:val="50AC6C65"/>
    <w:rsid w:val="50CD20E4"/>
    <w:rsid w:val="514EB37A"/>
    <w:rsid w:val="542797C7"/>
    <w:rsid w:val="548B5AD0"/>
    <w:rsid w:val="54997AC0"/>
    <w:rsid w:val="54A9205C"/>
    <w:rsid w:val="55020004"/>
    <w:rsid w:val="552296C9"/>
    <w:rsid w:val="552A3FC8"/>
    <w:rsid w:val="55FAE223"/>
    <w:rsid w:val="56639A10"/>
    <w:rsid w:val="57EF68DE"/>
    <w:rsid w:val="599A4ECA"/>
    <w:rsid w:val="59F5EB06"/>
    <w:rsid w:val="5A0519B9"/>
    <w:rsid w:val="5B315530"/>
    <w:rsid w:val="5BAF5DBF"/>
    <w:rsid w:val="5BB9CC7B"/>
    <w:rsid w:val="5BD5ED25"/>
    <w:rsid w:val="5C1DF46A"/>
    <w:rsid w:val="5C3D918B"/>
    <w:rsid w:val="5C6D338F"/>
    <w:rsid w:val="5D0FD75F"/>
    <w:rsid w:val="5D841AFA"/>
    <w:rsid w:val="5F22872A"/>
    <w:rsid w:val="600835D0"/>
    <w:rsid w:val="6043BED9"/>
    <w:rsid w:val="61ADCDEA"/>
    <w:rsid w:val="63071F65"/>
    <w:rsid w:val="632C420E"/>
    <w:rsid w:val="6330CA86"/>
    <w:rsid w:val="63A57C30"/>
    <w:rsid w:val="63BDE50B"/>
    <w:rsid w:val="63E99E0B"/>
    <w:rsid w:val="641D4B03"/>
    <w:rsid w:val="64636064"/>
    <w:rsid w:val="65B1413D"/>
    <w:rsid w:val="66156DCE"/>
    <w:rsid w:val="66900E03"/>
    <w:rsid w:val="6719C367"/>
    <w:rsid w:val="67CB378E"/>
    <w:rsid w:val="686F8354"/>
    <w:rsid w:val="6925587F"/>
    <w:rsid w:val="695CDABB"/>
    <w:rsid w:val="69C1D305"/>
    <w:rsid w:val="6AE0A3FA"/>
    <w:rsid w:val="6BF60324"/>
    <w:rsid w:val="6BFC2604"/>
    <w:rsid w:val="6C3BBA72"/>
    <w:rsid w:val="6DA4FE9B"/>
    <w:rsid w:val="6DFC832D"/>
    <w:rsid w:val="6E71DB95"/>
    <w:rsid w:val="6EB3138F"/>
    <w:rsid w:val="70DA9FE6"/>
    <w:rsid w:val="71CA2CC7"/>
    <w:rsid w:val="72021843"/>
    <w:rsid w:val="74EA2EC0"/>
    <w:rsid w:val="7648AA54"/>
    <w:rsid w:val="767F34BD"/>
    <w:rsid w:val="76F0AC96"/>
    <w:rsid w:val="7731DBD4"/>
    <w:rsid w:val="780FCCFC"/>
    <w:rsid w:val="785E56C0"/>
    <w:rsid w:val="7902BC30"/>
    <w:rsid w:val="7923D959"/>
    <w:rsid w:val="79640399"/>
    <w:rsid w:val="79773AD8"/>
    <w:rsid w:val="79D49760"/>
    <w:rsid w:val="7AFCBA1B"/>
    <w:rsid w:val="7B415465"/>
    <w:rsid w:val="7B7942ED"/>
    <w:rsid w:val="7BBF1E66"/>
    <w:rsid w:val="7C5BAAF0"/>
    <w:rsid w:val="7D1B31F8"/>
    <w:rsid w:val="7DDB8AF8"/>
    <w:rsid w:val="7E17A3B4"/>
    <w:rsid w:val="7E99E3E9"/>
    <w:rsid w:val="7F61F4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3CEB6C"/>
  <w15:chartTrackingRefBased/>
  <w15:docId w15:val="{E9FE0114-5122-B04E-853E-5A652D59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1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C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C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C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C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C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1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CC1"/>
    <w:rPr>
      <w:rFonts w:eastAsiaTheme="majorEastAsia" w:cstheme="majorBidi"/>
      <w:color w:val="272727" w:themeColor="text1" w:themeTint="D8"/>
    </w:rPr>
  </w:style>
  <w:style w:type="paragraph" w:styleId="Title">
    <w:name w:val="Title"/>
    <w:basedOn w:val="Normal"/>
    <w:next w:val="Normal"/>
    <w:link w:val="TitleChar"/>
    <w:uiPriority w:val="10"/>
    <w:qFormat/>
    <w:rsid w:val="006F1C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C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C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1CC1"/>
    <w:rPr>
      <w:i/>
      <w:iCs/>
      <w:color w:val="404040" w:themeColor="text1" w:themeTint="BF"/>
    </w:rPr>
  </w:style>
  <w:style w:type="paragraph" w:styleId="ListParagraph">
    <w:name w:val="List Paragraph"/>
    <w:basedOn w:val="Normal"/>
    <w:uiPriority w:val="34"/>
    <w:qFormat/>
    <w:rsid w:val="006F1CC1"/>
    <w:pPr>
      <w:ind w:left="720"/>
      <w:contextualSpacing/>
    </w:pPr>
  </w:style>
  <w:style w:type="character" w:styleId="IntenseEmphasis">
    <w:name w:val="Intense Emphasis"/>
    <w:basedOn w:val="DefaultParagraphFont"/>
    <w:uiPriority w:val="21"/>
    <w:qFormat/>
    <w:rsid w:val="006F1CC1"/>
    <w:rPr>
      <w:i/>
      <w:iCs/>
      <w:color w:val="0F4761" w:themeColor="accent1" w:themeShade="BF"/>
    </w:rPr>
  </w:style>
  <w:style w:type="paragraph" w:styleId="IntenseQuote">
    <w:name w:val="Intense Quote"/>
    <w:basedOn w:val="Normal"/>
    <w:next w:val="Normal"/>
    <w:link w:val="IntenseQuoteChar"/>
    <w:uiPriority w:val="30"/>
    <w:qFormat/>
    <w:rsid w:val="006F1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CC1"/>
    <w:rPr>
      <w:i/>
      <w:iCs/>
      <w:color w:val="0F4761" w:themeColor="accent1" w:themeShade="BF"/>
    </w:rPr>
  </w:style>
  <w:style w:type="character" w:styleId="IntenseReference">
    <w:name w:val="Intense Reference"/>
    <w:basedOn w:val="DefaultParagraphFont"/>
    <w:uiPriority w:val="32"/>
    <w:qFormat/>
    <w:rsid w:val="006F1CC1"/>
    <w:rPr>
      <w:b/>
      <w:bCs/>
      <w:smallCaps/>
      <w:color w:val="0F4761" w:themeColor="accent1" w:themeShade="BF"/>
      <w:spacing w:val="5"/>
    </w:rPr>
  </w:style>
  <w:style w:type="character" w:styleId="CommentReference">
    <w:name w:val="annotation reference"/>
    <w:basedOn w:val="DefaultParagraphFont"/>
    <w:uiPriority w:val="99"/>
    <w:semiHidden/>
    <w:unhideWhenUsed/>
    <w:rsid w:val="00216552"/>
    <w:rPr>
      <w:sz w:val="16"/>
      <w:szCs w:val="16"/>
    </w:rPr>
  </w:style>
  <w:style w:type="paragraph" w:styleId="CommentText">
    <w:name w:val="annotation text"/>
    <w:basedOn w:val="Normal"/>
    <w:link w:val="CommentTextChar"/>
    <w:uiPriority w:val="99"/>
    <w:unhideWhenUsed/>
    <w:rsid w:val="00216552"/>
    <w:rPr>
      <w:sz w:val="20"/>
      <w:szCs w:val="20"/>
    </w:rPr>
  </w:style>
  <w:style w:type="character" w:customStyle="1" w:styleId="CommentTextChar">
    <w:name w:val="Comment Text Char"/>
    <w:basedOn w:val="DefaultParagraphFont"/>
    <w:link w:val="CommentText"/>
    <w:uiPriority w:val="99"/>
    <w:rsid w:val="00216552"/>
    <w:rPr>
      <w:sz w:val="20"/>
      <w:szCs w:val="20"/>
    </w:rPr>
  </w:style>
  <w:style w:type="paragraph" w:styleId="CommentSubject">
    <w:name w:val="annotation subject"/>
    <w:basedOn w:val="CommentText"/>
    <w:next w:val="CommentText"/>
    <w:link w:val="CommentSubjectChar"/>
    <w:uiPriority w:val="99"/>
    <w:semiHidden/>
    <w:unhideWhenUsed/>
    <w:rsid w:val="00216552"/>
    <w:rPr>
      <w:b/>
      <w:bCs/>
    </w:rPr>
  </w:style>
  <w:style w:type="character" w:customStyle="1" w:styleId="CommentSubjectChar">
    <w:name w:val="Comment Subject Char"/>
    <w:basedOn w:val="CommentTextChar"/>
    <w:link w:val="CommentSubject"/>
    <w:uiPriority w:val="99"/>
    <w:semiHidden/>
    <w:rsid w:val="00216552"/>
    <w:rPr>
      <w:b/>
      <w:bCs/>
      <w:sz w:val="20"/>
      <w:szCs w:val="20"/>
    </w:rPr>
  </w:style>
  <w:style w:type="paragraph" w:styleId="Revision">
    <w:name w:val="Revision"/>
    <w:hidden/>
    <w:uiPriority w:val="99"/>
    <w:semiHidden/>
    <w:rsid w:val="00B26B72"/>
  </w:style>
  <w:style w:type="paragraph" w:styleId="Caption">
    <w:name w:val="caption"/>
    <w:basedOn w:val="Normal"/>
    <w:next w:val="Normal"/>
    <w:uiPriority w:val="35"/>
    <w:unhideWhenUsed/>
    <w:qFormat/>
    <w:rsid w:val="00DD7A16"/>
    <w:pPr>
      <w:spacing w:after="200"/>
    </w:pPr>
    <w:rPr>
      <w:i/>
      <w:iCs/>
      <w:color w:val="0E2841" w:themeColor="text2"/>
      <w:sz w:val="18"/>
      <w:szCs w:val="18"/>
    </w:rPr>
  </w:style>
  <w:style w:type="character" w:styleId="Hyperlink">
    <w:name w:val="Hyperlink"/>
    <w:basedOn w:val="DefaultParagraphFont"/>
    <w:uiPriority w:val="99"/>
    <w:unhideWhenUsed/>
    <w:rsid w:val="008C260A"/>
    <w:rPr>
      <w:color w:val="467886" w:themeColor="hyperlink"/>
      <w:u w:val="single"/>
    </w:rPr>
  </w:style>
  <w:style w:type="character" w:styleId="Mention">
    <w:name w:val="Mention"/>
    <w:basedOn w:val="DefaultParagraphFont"/>
    <w:uiPriority w:val="99"/>
    <w:unhideWhenUsed/>
    <w:rsid w:val="00610583"/>
    <w:rPr>
      <w:color w:val="2B579A"/>
      <w:shd w:val="clear" w:color="auto" w:fill="E1DFDD"/>
    </w:rPr>
  </w:style>
  <w:style w:type="table" w:styleId="TableGrid">
    <w:name w:val="Table Grid"/>
    <w:basedOn w:val="TableNormal"/>
    <w:uiPriority w:val="39"/>
    <w:rsid w:val="00A42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B566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A8191E"/>
    <w:rPr>
      <w:color w:val="96607D" w:themeColor="followedHyperlink"/>
      <w:u w:val="single"/>
    </w:rPr>
  </w:style>
  <w:style w:type="character" w:customStyle="1" w:styleId="ui-provider">
    <w:name w:val="ui-provider"/>
    <w:basedOn w:val="DefaultParagraphFont"/>
    <w:rsid w:val="002F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108/SHR-05-2016-0039" TargetMode="External"/><Relationship Id="rId2" Type="http://schemas.openxmlformats.org/officeDocument/2006/relationships/customXml" Target="../customXml/item2.xml"/><Relationship Id="rId16" Type="http://schemas.openxmlformats.org/officeDocument/2006/relationships/hyperlink" Target="https://www.bls.gov/news.release/empsit.nr0.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7f99448-512e-4a0d-9492-2ffb2488d7c4">
      <Terms xmlns="http://schemas.microsoft.com/office/infopath/2007/PartnerControls"/>
    </lcf76f155ced4ddcb4097134ff3c332f>
    <TaxCatchAll xmlns="dff20c2b-12bb-4f9f-a994-2e02a07c8f3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6FF6AFD458A84F810D98EB93CD0203" ma:contentTypeVersion="11" ma:contentTypeDescription="Create a new document." ma:contentTypeScope="" ma:versionID="a539fc3812da6b37c67ba84e4483eb7c">
  <xsd:schema xmlns:xsd="http://www.w3.org/2001/XMLSchema" xmlns:xs="http://www.w3.org/2001/XMLSchema" xmlns:p="http://schemas.microsoft.com/office/2006/metadata/properties" xmlns:ns2="b7f99448-512e-4a0d-9492-2ffb2488d7c4" xmlns:ns3="dff20c2b-12bb-4f9f-a994-2e02a07c8f3d" targetNamespace="http://schemas.microsoft.com/office/2006/metadata/properties" ma:root="true" ma:fieldsID="814e317b845c1ca0dafa8213ac29091f" ns2:_="" ns3:_="">
    <xsd:import namespace="b7f99448-512e-4a0d-9492-2ffb2488d7c4"/>
    <xsd:import namespace="dff20c2b-12bb-4f9f-a994-2e02a07c8f3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99448-512e-4a0d-9492-2ffb2488d7c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20c2b-12bb-4f9f-a994-2e02a07c8f3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a01f374-fb74-4d37-bb25-b3200a8bfcea}" ma:internalName="TaxCatchAll" ma:showField="CatchAllData" ma:web="dff20c2b-12bb-4f9f-a994-2e02a07c8f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518CF-E887-4965-9045-EC24D21EA623}">
  <ds:schemaRefs>
    <ds:schemaRef ds:uri="http://schemas.microsoft.com/sharepoint/v3/contenttype/forms"/>
  </ds:schemaRefs>
</ds:datastoreItem>
</file>

<file path=customXml/itemProps2.xml><?xml version="1.0" encoding="utf-8"?>
<ds:datastoreItem xmlns:ds="http://schemas.openxmlformats.org/officeDocument/2006/customXml" ds:itemID="{E12BB6DC-5DE3-45E2-A151-2FF15FD79534}">
  <ds:schemaRefs>
    <ds:schemaRef ds:uri="http://schemas.microsoft.com/office/2006/metadata/properties"/>
    <ds:schemaRef ds:uri="http://schemas.microsoft.com/office/infopath/2007/PartnerControls"/>
    <ds:schemaRef ds:uri="b7f99448-512e-4a0d-9492-2ffb2488d7c4"/>
    <ds:schemaRef ds:uri="dff20c2b-12bb-4f9f-a994-2e02a07c8f3d"/>
  </ds:schemaRefs>
</ds:datastoreItem>
</file>

<file path=customXml/itemProps3.xml><?xml version="1.0" encoding="utf-8"?>
<ds:datastoreItem xmlns:ds="http://schemas.openxmlformats.org/officeDocument/2006/customXml" ds:itemID="{D9EE191D-0106-42D9-86D4-6D6944E10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99448-512e-4a0d-9492-2ffb2488d7c4"/>
    <ds:schemaRef ds:uri="dff20c2b-12bb-4f9f-a994-2e02a07c8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C65796-2E62-43DA-A824-18D7E3F610E9}">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10</Pages>
  <Words>1948</Words>
  <Characters>11106</Characters>
  <Application>Microsoft Office Word</Application>
  <DocSecurity>0</DocSecurity>
  <Lines>92</Lines>
  <Paragraphs>26</Paragraphs>
  <ScaleCrop>false</ScaleCrop>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Berberich</dc:creator>
  <cp:lastModifiedBy>Hunter Berberich</cp:lastModifiedBy>
  <cp:revision>2</cp:revision>
  <dcterms:created xsi:type="dcterms:W3CDTF">2024-08-06T15:46:00Z</dcterms:created>
  <dcterms:modified xsi:type="dcterms:W3CDTF">2024-08-06T15:46:00Z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0x010100E86FF6AFD458A84F810D98EB93CD0203</vt:lpwstr>
  </property>
  <property fmtid="{D5CDD505-2E9C-101B-9397-08002B2CF9AE}" pid="3" name="MediaServiceImageTags">
    <vt:lpwstr/>
  </property>
</Properties>
</file>