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b/>
          <w:i w:val="0"/>
          <w:color w:val="444444"/>
          <w:sz w:val="20"/>
        </w:rPr>
        <w:t xml:space="preserve">To: </w:t>
      </w:r>
      <w:r>
        <w:rPr>
          <w:b w:val="0"/>
          <w:i w:val="0"/>
          <w:color w:val="1A1A2E"/>
          <w:sz w:val="20"/>
        </w:rPr>
        <w:t>[Amazon India POC Name], Business Development — Amazon Pay / Amazon Shopping</w:t>
      </w:r>
    </w:p>
    <w:p>
      <w:pPr>
        <w:spacing w:before="0" w:after="60"/>
        <w:jc w:val="left"/>
      </w:pPr>
      <w:r>
        <w:rPr>
          <w:b/>
          <w:i w:val="0"/>
          <w:color w:val="444444"/>
          <w:sz w:val="20"/>
        </w:rPr>
        <w:t xml:space="preserve">From: </w:t>
      </w:r>
      <w:r>
        <w:rPr>
          <w:b w:val="0"/>
          <w:i w:val="0"/>
          <w:color w:val="1A1A2E"/>
          <w:sz w:val="20"/>
        </w:rPr>
        <w:t>Vantage Circle — Partnerships Team</w:t>
      </w:r>
    </w:p>
    <w:p>
      <w:pPr>
        <w:spacing w:before="0" w:after="60"/>
        <w:jc w:val="left"/>
      </w:pPr>
      <w:r>
        <w:rPr>
          <w:b/>
          <w:i w:val="0"/>
          <w:color w:val="444444"/>
          <w:sz w:val="20"/>
        </w:rPr>
        <w:t xml:space="preserve">Date: </w:t>
      </w:r>
      <w:r>
        <w:rPr>
          <w:b w:val="0"/>
          <w:i w:val="0"/>
          <w:color w:val="1A1A2E"/>
          <w:sz w:val="20"/>
        </w:rPr>
        <w:t>June 2026</w:t>
      </w:r>
    </w:p>
    <w:p>
      <w:pPr>
        <w:spacing w:before="0" w:after="60"/>
        <w:jc w:val="left"/>
      </w:pPr>
      <w:r>
        <w:rPr>
          <w:b/>
          <w:i w:val="0"/>
          <w:color w:val="444444"/>
          <w:sz w:val="20"/>
        </w:rPr>
        <w:t xml:space="preserve">Subject: </w:t>
      </w:r>
      <w:r>
        <w:rPr>
          <w:b/>
          <w:i w:val="0"/>
          <w:color w:val="FF6B00"/>
          <w:sz w:val="21"/>
        </w:rPr>
        <w:t>Vantage Circle × Amazon India — Partnership Proposal: Volumes &amp; Migration Plan</w:t>
      </w:r>
    </w:p>
    <w:p>
      <w:pPr>
        <w:spacing w:before="40" w:after="40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b w:val="0"/>
          <w:i w:val="0"/>
          <w:color w:val="1A1A2E"/>
          <w:sz w:val="22"/>
        </w:rPr>
        <w:t>Dear [Name],</w:t>
      </w:r>
    </w:p>
    <w:p>
      <w:pPr>
        <w:spacing w:before="0" w:after="160"/>
        <w:jc w:val="left"/>
      </w:pPr>
      <w:r>
        <w:rPr>
          <w:b w:val="0"/>
          <w:i w:val="0"/>
          <w:color w:val="1A1A2E"/>
          <w:sz w:val="22"/>
        </w:rPr>
        <w:t>Thank you for the time and the productive conversation around a formal partnership. As discussed, I am sharing our India redemption volumes, client footprint, and a structured three-year migration plan — the inputs you need to build the business case for your leadership. We are keen to move quickly and believe the numbers make a compelling case.</w:t>
      </w:r>
    </w:p>
    <w:p>
      <w:pPr>
        <w:spacing w:before="240" w:after="80"/>
        <w:jc w:val="left"/>
      </w:pPr>
      <w:r>
        <w:rPr>
          <w:b/>
          <w:i w:val="0"/>
          <w:color w:val="FF6B00"/>
          <w:sz w:val="24"/>
        </w:rPr>
        <w:t>1.  Who We Are — India Platform Scale</w:t>
      </w:r>
    </w:p>
    <w:p>
      <w:pPr>
        <w:spacing w:before="0" w:after="120"/>
        <w:jc w:val="left"/>
      </w:pPr>
      <w:r>
        <w:rPr>
          <w:b w:val="0"/>
          <w:i w:val="0"/>
          <w:color w:val="1A1A2E"/>
          <w:sz w:val="22"/>
        </w:rPr>
        <w:t>Vantage Circle is India's leading employee rewards and recognition SaaS platform — helping corporates run recognition programmes, points-based reward systems, and milestone gifting at scale. Our India footprint today:</w:t>
      </w:r>
    </w:p>
    <w:p>
      <w:pPr>
        <w:spacing w:before="0" w:after="60"/>
        <w:ind w:left="454"/>
        <w:jc w:val="left"/>
      </w:pPr>
      <w:r>
        <w:rPr>
          <w:b/>
          <w:i w:val="0"/>
          <w:color w:val="FF6B00"/>
          <w:sz w:val="22"/>
        </w:rPr>
        <w:t xml:space="preserve">▸  ~2,000,000  </w:t>
      </w:r>
      <w:r>
        <w:rPr>
          <w:b w:val="0"/>
          <w:i w:val="0"/>
          <w:color w:val="1A1A2E"/>
          <w:sz w:val="22"/>
        </w:rPr>
        <w:t>Total registered users on the India platform</w:t>
      </w:r>
    </w:p>
    <w:p>
      <w:pPr>
        <w:spacing w:before="0" w:after="60"/>
        <w:ind w:left="454"/>
        <w:jc w:val="left"/>
      </w:pPr>
      <w:r>
        <w:rPr>
          <w:b/>
          <w:i w:val="0"/>
          <w:color w:val="FF6B00"/>
          <w:sz w:val="22"/>
        </w:rPr>
        <w:t xml:space="preserve">▸  2,98,712  </w:t>
      </w:r>
      <w:r>
        <w:rPr>
          <w:b w:val="0"/>
          <w:i w:val="0"/>
          <w:color w:val="1A1A2E"/>
          <w:sz w:val="22"/>
        </w:rPr>
        <w:t>Active users who redeemed rewards in FY 2025–26</w:t>
      </w:r>
    </w:p>
    <w:p>
      <w:pPr>
        <w:spacing w:before="0" w:after="60"/>
        <w:ind w:left="454"/>
        <w:jc w:val="left"/>
      </w:pPr>
      <w:r>
        <w:rPr>
          <w:b/>
          <w:i w:val="0"/>
          <w:color w:val="FF6B00"/>
          <w:sz w:val="22"/>
        </w:rPr>
        <w:t xml:space="preserve">▸  162  </w:t>
      </w:r>
      <w:r>
        <w:rPr>
          <w:b w:val="0"/>
          <w:i w:val="0"/>
          <w:color w:val="1A1A2E"/>
          <w:sz w:val="22"/>
        </w:rPr>
        <w:t>Active corporate clients across India</w:t>
      </w:r>
    </w:p>
    <w:p>
      <w:pPr>
        <w:spacing w:before="0" w:after="60"/>
        <w:ind w:left="454"/>
        <w:jc w:val="left"/>
      </w:pPr>
      <w:r>
        <w:rPr>
          <w:b/>
          <w:i w:val="0"/>
          <w:color w:val="FF6B00"/>
          <w:sz w:val="22"/>
        </w:rPr>
        <w:t xml:space="preserve">▸  ₹161.65 Cr  </w:t>
      </w:r>
      <w:r>
        <w:rPr>
          <w:b w:val="0"/>
          <w:i w:val="0"/>
          <w:color w:val="1A1A2E"/>
          <w:sz w:val="22"/>
        </w:rPr>
        <w:t>Total INR redemption value processed in FY 2025–26</w:t>
      </w:r>
    </w:p>
    <w:p>
      <w:pPr>
        <w:spacing w:before="280" w:after="80"/>
        <w:jc w:val="left"/>
      </w:pPr>
      <w:r>
        <w:rPr>
          <w:b/>
          <w:i w:val="0"/>
          <w:color w:val="FF6B00"/>
          <w:sz w:val="24"/>
        </w:rPr>
        <w:t>2.  Client Profile — Who Is Redeeming on Our Platform</w:t>
      </w:r>
    </w:p>
    <w:p>
      <w:pPr>
        <w:spacing w:before="0" w:after="120"/>
        <w:jc w:val="left"/>
      </w:pPr>
      <w:r>
        <w:rPr>
          <w:b w:val="0"/>
          <w:i w:val="0"/>
          <w:color w:val="1A1A2E"/>
          <w:sz w:val="22"/>
        </w:rPr>
        <w:t>Our 162 corporate clients span India's most valuable enterprise segments. We are not naming clients directly at this stage, but the profile of our base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3118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Client Profile</w:t>
            </w:r>
          </w:p>
        </w:tc>
        <w:tc>
          <w:tcPr>
            <w:tcW w:type="dxa" w:w="170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Approx. Users</w:t>
            </w:r>
          </w:p>
        </w:tc>
        <w:tc>
          <w:tcPr>
            <w:tcW w:type="dxa" w:w="2268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984"/>
            <w:shd w:val="clear" w:color="auto" w:fill="FFF8F0"/>
          </w:tcPr>
          <w:p>
            <w:r>
              <w:rPr>
                <w:b/>
                <w:i w:val="0"/>
                <w:color w:val="1A1A2E"/>
                <w:sz w:val="20"/>
              </w:rPr>
              <w:t>IT / ITES</w:t>
            </w:r>
          </w:p>
        </w:tc>
        <w:tc>
          <w:tcPr>
            <w:tcW w:type="dxa" w:w="3118"/>
            <w:shd w:val="clear" w:color="auto" w:fill="FFF8F0"/>
          </w:tcPr>
          <w:p>
            <w:r>
              <w:rPr>
                <w:b w:val="0"/>
                <w:i w:val="0"/>
                <w:color w:val="1A1A2E"/>
                <w:sz w:val="20"/>
              </w:rPr>
              <w:t>3 of India's top 5 IT services companies by headcount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~1,05,000+ users</w:t>
            </w:r>
          </w:p>
        </w:tc>
        <w:tc>
          <w:tcPr>
            <w:tcW w:type="dxa" w:w="2268"/>
            <w:shd w:val="clear" w:color="auto" w:fill="FFF8F0"/>
          </w:tcPr>
          <w:p>
            <w:r>
              <w:rPr>
                <w:b w:val="0"/>
                <w:i w:val="0"/>
                <w:color w:val="888888"/>
                <w:sz w:val="19"/>
              </w:rPr>
              <w:t>35%+ of total Amazon GMV on platform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i w:val="0"/>
                <w:color w:val="1A1A2E"/>
                <w:sz w:val="20"/>
              </w:rPr>
              <w:t>Global Capability Centres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color w:val="1A1A2E"/>
                <w:sz w:val="20"/>
              </w:rPr>
              <w:t>Engineering &amp; tech R&amp;D centres of global Fortune 500 firms (auto, finance, tech)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~55,000+ users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9"/>
              </w:rPr>
              <w:t>High AOV — ₹1,500+ avg txn</w:t>
            </w:r>
          </w:p>
        </w:tc>
      </w:tr>
      <w:tr>
        <w:tc>
          <w:tcPr>
            <w:tcW w:type="dxa" w:w="1984"/>
            <w:shd w:val="clear" w:color="auto" w:fill="FFF8F0"/>
          </w:tcPr>
          <w:p>
            <w:r>
              <w:rPr>
                <w:b/>
                <w:i w:val="0"/>
                <w:color w:val="1A1A2E"/>
                <w:sz w:val="20"/>
              </w:rPr>
              <w:t>Indian Conglomerate</w:t>
            </w:r>
          </w:p>
        </w:tc>
        <w:tc>
          <w:tcPr>
            <w:tcW w:type="dxa" w:w="3118"/>
            <w:shd w:val="clear" w:color="auto" w:fill="FFF8F0"/>
          </w:tcPr>
          <w:p>
            <w:r>
              <w:rPr>
                <w:b w:val="0"/>
                <w:i w:val="0"/>
                <w:color w:val="1A1A2E"/>
                <w:sz w:val="20"/>
              </w:rPr>
              <w:t>1 major Indian business group — telecom, auto, and engineering subsidiaries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~12,000+ users</w:t>
            </w:r>
          </w:p>
        </w:tc>
        <w:tc>
          <w:tcPr>
            <w:tcW w:type="dxa" w:w="2268"/>
            <w:shd w:val="clear" w:color="auto" w:fill="FFF8F0"/>
          </w:tcPr>
          <w:p>
            <w:r>
              <w:rPr>
                <w:b w:val="0"/>
                <w:i w:val="0"/>
                <w:color w:val="888888"/>
                <w:sz w:val="19"/>
              </w:rPr>
              <w:t>Multiple entities on same platform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i w:val="0"/>
                <w:color w:val="1A1A2E"/>
                <w:sz w:val="20"/>
              </w:rPr>
              <w:t>Manufacturing &amp; Auto OEMs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color w:val="1A1A2E"/>
                <w:sz w:val="20"/>
              </w:rPr>
              <w:t>Global Tier-1 auto suppliers and engineering firms with India R&amp;D hubs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~20,000+ users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9"/>
              </w:rPr>
              <w:t>Premium segment, high-value redemptions</w:t>
            </w:r>
          </w:p>
        </w:tc>
      </w:tr>
      <w:tr>
        <w:tc>
          <w:tcPr>
            <w:tcW w:type="dxa" w:w="1984"/>
            <w:shd w:val="clear" w:color="auto" w:fill="FFF8F0"/>
          </w:tcPr>
          <w:p>
            <w:r>
              <w:rPr>
                <w:b/>
                <w:i w:val="0"/>
                <w:color w:val="1A1A2E"/>
                <w:sz w:val="20"/>
              </w:rPr>
              <w:t>BFSI &amp; Fintech</w:t>
            </w:r>
          </w:p>
        </w:tc>
        <w:tc>
          <w:tcPr>
            <w:tcW w:type="dxa" w:w="3118"/>
            <w:shd w:val="clear" w:color="auto" w:fill="FFF8F0"/>
          </w:tcPr>
          <w:p>
            <w:r>
              <w:rPr>
                <w:b w:val="0"/>
                <w:i w:val="0"/>
                <w:color w:val="1A1A2E"/>
                <w:sz w:val="20"/>
              </w:rPr>
              <w:t>Global financial data firms, insurance GCCs, and Indian fintech lenders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~8,000+ users</w:t>
            </w:r>
          </w:p>
        </w:tc>
        <w:tc>
          <w:tcPr>
            <w:tcW w:type="dxa" w:w="2268"/>
            <w:shd w:val="clear" w:color="auto" w:fill="FFF8F0"/>
          </w:tcPr>
          <w:p>
            <w:r>
              <w:rPr>
                <w:b w:val="0"/>
                <w:i w:val="0"/>
                <w:color w:val="888888"/>
                <w:sz w:val="19"/>
              </w:rPr>
              <w:t>Digital-first redemption behaviour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i w:val="0"/>
                <w:color w:val="1A1A2E"/>
                <w:sz w:val="20"/>
              </w:rPr>
              <w:t>Professional Services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color w:val="1A1A2E"/>
                <w:sz w:val="20"/>
              </w:rPr>
              <w:t>Big Four consulting firm + boutique advisory houses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~35,000+ users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9"/>
              </w:rPr>
              <w:t>Consistent year-round redemption volume</w:t>
            </w:r>
          </w:p>
        </w:tc>
      </w:tr>
      <w:tr>
        <w:tc>
          <w:tcPr>
            <w:tcW w:type="dxa" w:w="1984"/>
            <w:shd w:val="clear" w:color="auto" w:fill="FFF8F0"/>
          </w:tcPr>
          <w:p>
            <w:r>
              <w:rPr>
                <w:b/>
                <w:i w:val="0"/>
                <w:color w:val="1A1A2E"/>
                <w:sz w:val="20"/>
              </w:rPr>
              <w:t>Telecom &amp; Infrastructure</w:t>
            </w:r>
          </w:p>
        </w:tc>
        <w:tc>
          <w:tcPr>
            <w:tcW w:type="dxa" w:w="3118"/>
            <w:shd w:val="clear" w:color="auto" w:fill="FFF8F0"/>
          </w:tcPr>
          <w:p>
            <w:r>
              <w:rPr>
                <w:b w:val="0"/>
                <w:i w:val="0"/>
                <w:color w:val="1A1A2E"/>
                <w:sz w:val="20"/>
              </w:rPr>
              <w:t>One of India's top 3 telecom operators + infrastructure services firms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~5,000+ users</w:t>
            </w:r>
          </w:p>
        </w:tc>
        <w:tc>
          <w:tcPr>
            <w:tcW w:type="dxa" w:w="2268"/>
            <w:shd w:val="clear" w:color="auto" w:fill="FFF8F0"/>
          </w:tcPr>
          <w:p>
            <w:r>
              <w:rPr>
                <w:b w:val="0"/>
                <w:i w:val="0"/>
                <w:color w:val="888888"/>
                <w:sz w:val="19"/>
              </w:rPr>
              <w:t>Mid-tier, growing segment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i w:val="0"/>
                <w:color w:val="1A1A2E"/>
                <w:sz w:val="20"/>
              </w:rPr>
              <w:t>Hospitality &amp; Consumer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color w:val="1A1A2E"/>
                <w:sz w:val="20"/>
              </w:rPr>
              <w:t>Premium hotel chain + consumer goods manufacturer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~4,000+ users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9"/>
              </w:rPr>
              <w:t>Seasonal spikes at festive periods</w:t>
            </w:r>
          </w:p>
        </w:tc>
      </w:tr>
    </w:tbl>
    <w:p/>
    <w:p>
      <w:pPr>
        <w:spacing w:before="0" w:after="120"/>
        <w:jc w:val="left"/>
      </w:pPr>
      <w:r>
        <w:rPr>
          <w:b w:val="0"/>
          <w:i/>
          <w:color w:val="888888"/>
          <w:sz w:val="21"/>
        </w:rPr>
        <w:t>We are happy to share a full named client list under NDA once partnership terms are agreed.</w:t>
      </w:r>
    </w:p>
    <w:p>
      <w:pPr>
        <w:spacing w:before="280" w:after="80"/>
        <w:jc w:val="left"/>
      </w:pPr>
      <w:r>
        <w:rPr>
          <w:b/>
          <w:i w:val="0"/>
          <w:color w:val="FF6B00"/>
          <w:sz w:val="24"/>
        </w:rPr>
        <w:t>3.  Amazon GMV — FY 2025–26 (INR Only)</w:t>
      </w:r>
    </w:p>
    <w:p>
      <w:pPr>
        <w:spacing w:before="0" w:after="120"/>
        <w:jc w:val="left"/>
      </w:pPr>
      <w:r>
        <w:rPr>
          <w:b w:val="0"/>
          <w:i w:val="0"/>
          <w:color w:val="1A1A2E"/>
          <w:sz w:val="22"/>
        </w:rPr>
        <w:t xml:space="preserve">Amazon is the single largest brand on our India platform with a </w:t>
      </w:r>
      <w:r>
        <w:rPr>
          <w:b/>
          <w:i w:val="0"/>
          <w:color w:val="FF6B00"/>
          <w:sz w:val="22"/>
        </w:rPr>
        <w:t>61.1% share</w:t>
      </w:r>
      <w:r>
        <w:rPr>
          <w:b w:val="0"/>
          <w:i w:val="0"/>
          <w:color w:val="1A1A2E"/>
          <w:sz w:val="22"/>
        </w:rPr>
        <w:t xml:space="preserve"> of total INR redemptions in FY 2025–26. The breakdown across Amazon's own product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Amazon Category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GMV (INR)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Transactions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of Amazon Total</w:t>
            </w:r>
          </w:p>
        </w:tc>
      </w:tr>
      <w:tr>
        <w:tc>
          <w:tcPr>
            <w:tcW w:type="dxa" w:w="3118"/>
            <w:shd w:val="clear" w:color="auto" w:fill="FFF8F0"/>
          </w:tcPr>
          <w:p>
            <w:r>
              <w:rPr>
                <w:b/>
                <w:i w:val="0"/>
                <w:color w:val="1A1A2E"/>
                <w:sz w:val="20"/>
              </w:rPr>
              <w:t>Amazon Pay E-Gift Card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₹60.70 Cr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4,14,579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0"/>
              </w:rPr>
              <w:t>61.5%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color w:val="1A1A2E"/>
                <w:sz w:val="20"/>
              </w:rPr>
              <w:t>Amazon Shopping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₹32.24 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2,28,330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32.6%</w:t>
            </w:r>
          </w:p>
        </w:tc>
      </w:tr>
      <w:tr>
        <w:tc>
          <w:tcPr>
            <w:tcW w:type="dxa" w:w="3118"/>
            <w:shd w:val="clear" w:color="auto" w:fill="FFF8F0"/>
          </w:tcPr>
          <w:p>
            <w:r>
              <w:rPr>
                <w:b w:val="0"/>
                <w:i w:val="0"/>
                <w:color w:val="1A1A2E"/>
                <w:sz w:val="20"/>
              </w:rPr>
              <w:t>Amazon Pay – AMDOCS eGift Card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0"/>
              </w:rPr>
              <w:t>₹5.18 Cr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35,446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5.2%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color w:val="1A1A2E"/>
                <w:sz w:val="20"/>
              </w:rPr>
              <w:t>Amazon Fresh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₹0.39 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3,750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0.4%</w:t>
            </w:r>
          </w:p>
        </w:tc>
      </w:tr>
      <w:tr>
        <w:tc>
          <w:tcPr>
            <w:tcW w:type="dxa" w:w="3118"/>
            <w:shd w:val="clear" w:color="auto" w:fill="FFF8F0"/>
          </w:tcPr>
          <w:p>
            <w:r>
              <w:rPr>
                <w:b w:val="0"/>
                <w:i w:val="0"/>
                <w:color w:val="1A1A2E"/>
                <w:sz w:val="20"/>
              </w:rPr>
              <w:t>Amazon Prime Memberships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₹0.23 Cr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1,776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0.2%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color w:val="1A1A2E"/>
                <w:sz w:val="20"/>
              </w:rPr>
              <w:t>Amazon Shopping Voucher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₹0.02 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159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1A1A2E"/>
                <w:sz w:val="20"/>
              </w:rPr>
              <w:t>0.1%</w:t>
            </w:r>
          </w:p>
        </w:tc>
      </w:tr>
      <w:tr>
        <w:tc>
          <w:tcPr>
            <w:tcW w:type="dxa" w:w="3118"/>
            <w:shd w:val="clear" w:color="auto" w:fill="FFF8F0"/>
          </w:tcPr>
          <w:p>
            <w:r>
              <w:rPr>
                <w:b/>
                <w:i w:val="0"/>
                <w:color w:val="1A1A2E"/>
                <w:sz w:val="21"/>
              </w:rPr>
              <w:t>TOTAL</w:t>
            </w:r>
          </w:p>
        </w:tc>
        <w:tc>
          <w:tcPr>
            <w:tcW w:type="dxa" w:w="1984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2"/>
              </w:rPr>
              <w:t>₹98.76 Cr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0"/>
              </w:rPr>
              <w:t>6,83,040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0"/>
              </w:rPr>
              <w:t>100%</w:t>
            </w:r>
          </w:p>
        </w:tc>
      </w:tr>
    </w:tbl>
    <w:p/>
    <w:p>
      <w:pPr>
        <w:spacing w:before="280" w:after="80"/>
        <w:jc w:val="left"/>
      </w:pPr>
      <w:r>
        <w:rPr>
          <w:b/>
          <w:i w:val="0"/>
          <w:color w:val="FF6B00"/>
          <w:sz w:val="24"/>
        </w:rPr>
        <w:t>4.  Three-Year Migration Plan — GV to Amazon Store</w:t>
      </w:r>
    </w:p>
    <w:p>
      <w:pPr>
        <w:spacing w:before="0" w:after="120"/>
        <w:jc w:val="left"/>
      </w:pPr>
      <w:r>
        <w:rPr>
          <w:b w:val="0"/>
          <w:i w:val="0"/>
          <w:color w:val="1A1A2E"/>
          <w:sz w:val="22"/>
        </w:rPr>
        <w:t>We propose to progressively shift employee redemptions from Amazon Gift Vouchers to the Amazon Store (direct cart experience). This is better for the employee — wider catalogue, real-time availability, personalised recommendations — and generates higher AOV and repeat purchases for Amazon. The migration is designed to be conservative and achievable: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215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141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Amazon Store</w:t>
              <w:br/>
              <w:t>Migration</w:t>
            </w:r>
          </w:p>
        </w:tc>
        <w:tc>
          <w:tcPr>
            <w:tcW w:type="dxa" w:w="158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Amazon Store</w:t>
              <w:br/>
              <w:t>GMV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Amazon</w:t>
              <w:br/>
              <w:t>GMV</w:t>
            </w:r>
          </w:p>
        </w:tc>
        <w:tc>
          <w:tcPr>
            <w:tcW w:type="dxa" w:w="24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54"/>
            <w:shd w:val="clear" w:color="auto" w:fill="FFF8F0"/>
          </w:tcPr>
          <w:p>
            <w:r>
              <w:rPr>
                <w:b/>
                <w:i w:val="0"/>
                <w:color w:val="1A1A2E"/>
                <w:sz w:val="20"/>
              </w:rPr>
              <w:t>FY 2025–26</w:t>
              <w:br/>
              <w:t>(Last Year — Actual)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color w:val="888888"/>
                <w:sz w:val="20"/>
              </w:rPr>
              <w:t>—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 w:val="0"/>
                <w:i w:val="0"/>
                <w:color w:val="888888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2"/>
              </w:rPr>
              <w:t>₹98.76 Cr</w:t>
            </w:r>
          </w:p>
        </w:tc>
        <w:tc>
          <w:tcPr>
            <w:tcW w:type="dxa" w:w="2494"/>
            <w:shd w:val="clear" w:color="auto" w:fill="FFF8F0"/>
          </w:tcPr>
          <w:p>
            <w:r>
              <w:rPr>
                <w:b w:val="0"/>
                <w:i/>
                <w:color w:val="888888"/>
                <w:sz w:val="19"/>
              </w:rPr>
              <w:t>Verified actuals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/>
                <w:i w:val="0"/>
                <w:color w:val="1A1A2E"/>
                <w:sz w:val="20"/>
              </w:rPr>
              <w:t>FY 2026–27</w:t>
              <w:br/>
              <w:t>(This Year — Expected)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0"/>
              </w:rPr>
              <w:t>10%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0"/>
              </w:rPr>
              <w:t>~₹11.36 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2"/>
              </w:rPr>
              <w:t>~₹113.57 Cr</w:t>
            </w:r>
          </w:p>
        </w:tc>
        <w:tc>
          <w:tcPr>
            <w:tcW w:type="dxa" w:w="2494"/>
            <w:shd w:val="clear" w:color="auto" w:fill="FFFFFF"/>
          </w:tcPr>
          <w:p>
            <w:r>
              <w:rPr>
                <w:b w:val="0"/>
                <w:i/>
                <w:color w:val="888888"/>
                <w:sz w:val="19"/>
              </w:rPr>
              <w:t>15% organic growth + 10% GV→Store</w:t>
            </w:r>
          </w:p>
        </w:tc>
      </w:tr>
      <w:tr>
        <w:tc>
          <w:tcPr>
            <w:tcW w:type="dxa" w:w="2154"/>
            <w:shd w:val="clear" w:color="auto" w:fill="FFF8F0"/>
          </w:tcPr>
          <w:p>
            <w:r>
              <w:rPr>
                <w:b/>
                <w:i w:val="0"/>
                <w:color w:val="1A1A2E"/>
                <w:sz w:val="20"/>
              </w:rPr>
              <w:t>FY 2027–28</w:t>
              <w:br/>
              <w:t>(Year 2)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0"/>
              </w:rPr>
              <w:t>20%</w:t>
              <w:br/>
              <w:t>(cumulative)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0"/>
              </w:rPr>
              <w:t>~₹26.12 Cr</w:t>
            </w:r>
          </w:p>
        </w:tc>
        <w:tc>
          <w:tcPr>
            <w:tcW w:type="dxa" w:w="1701"/>
            <w:shd w:val="clear" w:color="auto" w:fill="FFF8F0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2"/>
              </w:rPr>
              <w:t>~₹130.61 Cr</w:t>
            </w:r>
          </w:p>
        </w:tc>
        <w:tc>
          <w:tcPr>
            <w:tcW w:type="dxa" w:w="2494"/>
            <w:shd w:val="clear" w:color="auto" w:fill="FFF8F0"/>
          </w:tcPr>
          <w:p>
            <w:r>
              <w:rPr>
                <w:b w:val="0"/>
                <w:i/>
                <w:color w:val="888888"/>
                <w:sz w:val="19"/>
              </w:rPr>
              <w:t>Additional 10% migrates to Store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/>
                <w:i w:val="0"/>
                <w:color w:val="1A1A2E"/>
                <w:sz w:val="20"/>
              </w:rPr>
              <w:t>FY 2028–29</w:t>
              <w:br/>
              <w:t>(Year 3)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0"/>
              </w:rPr>
              <w:t>40%</w:t>
              <w:br/>
              <w:t>(cumulative)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0"/>
              </w:rPr>
              <w:t>~₹60.08 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FF6B00"/>
                <w:sz w:val="22"/>
              </w:rPr>
              <w:t>~₹150.20 Cr</w:t>
            </w:r>
          </w:p>
        </w:tc>
        <w:tc>
          <w:tcPr>
            <w:tcW w:type="dxa" w:w="2494"/>
            <w:shd w:val="clear" w:color="auto" w:fill="FFFFFF"/>
          </w:tcPr>
          <w:p>
            <w:r>
              <w:rPr>
                <w:b w:val="0"/>
                <w:i/>
                <w:color w:val="888888"/>
                <w:sz w:val="19"/>
              </w:rPr>
              <w:t>Additional 20% migrates to Store</w:t>
            </w:r>
          </w:p>
        </w:tc>
      </w:tr>
    </w:tbl>
    <w:p/>
    <w:p>
      <w:pPr>
        <w:spacing w:before="0" w:after="100"/>
        <w:jc w:val="left"/>
      </w:pPr>
      <w:r>
        <w:rPr>
          <w:b w:val="0"/>
          <w:i w:val="0"/>
          <w:color w:val="444444"/>
          <w:sz w:val="22"/>
        </w:rPr>
        <w:t xml:space="preserve">To be clear: the Store migration does not reduce Amazon's GMV through Vantage Circle — it shifts the </w:t>
      </w:r>
      <w:r>
        <w:rPr>
          <w:b w:val="0"/>
          <w:i/>
          <w:color w:val="444444"/>
          <w:sz w:val="22"/>
        </w:rPr>
        <w:t>form</w:t>
      </w:r>
      <w:r>
        <w:rPr>
          <w:b w:val="0"/>
          <w:i w:val="0"/>
          <w:color w:val="444444"/>
          <w:sz w:val="22"/>
        </w:rPr>
        <w:t xml:space="preserve"> of redemption from GVs to direct cart purchases within a growing total. Over three years, total Amazon GMV through our platform grows from ₹98.76 Cr to ~₹150 Cr.</w:t>
      </w:r>
    </w:p>
    <w:p>
      <w:pPr>
        <w:spacing w:before="280" w:after="80"/>
        <w:jc w:val="left"/>
      </w:pPr>
      <w:r>
        <w:rPr>
          <w:b/>
          <w:i w:val="0"/>
          <w:color w:val="FF6B00"/>
          <w:sz w:val="24"/>
        </w:rPr>
        <w:t>5.  Our Ask</w:t>
      </w:r>
    </w:p>
    <w:p>
      <w:pPr>
        <w:spacing w:before="0" w:after="120"/>
        <w:jc w:val="left"/>
      </w:pPr>
      <w:r>
        <w:rPr>
          <w:b w:val="0"/>
          <w:i w:val="0"/>
          <w:color w:val="1A1A2E"/>
          <w:sz w:val="22"/>
        </w:rPr>
        <w:t xml:space="preserve">Given the volume we route to Amazon — ₹98.76 Cr last year, growing to ~₹113 Cr this year — we are requesting a </w:t>
      </w:r>
      <w:r>
        <w:rPr>
          <w:b/>
          <w:i w:val="0"/>
          <w:color w:val="FF6B00"/>
          <w:sz w:val="22"/>
        </w:rPr>
        <w:t>rebate of 3–4% on the GMV processed through Vantage Circle</w:t>
      </w:r>
      <w:r>
        <w:rPr>
          <w:b w:val="0"/>
          <w:i w:val="0"/>
          <w:color w:val="1A1A2E"/>
          <w:sz w:val="22"/>
        </w:rPr>
        <w:t>, consistent with the rebate arrangement we have in our US and Canada markets. The exact slab and tiering is something we are open to discussing with your team.</w:t>
      </w:r>
    </w:p>
    <w:p/>
    <w:p>
      <w:pPr>
        <w:spacing w:before="0" w:after="100"/>
        <w:jc w:val="left"/>
      </w:pPr>
      <w:r>
        <w:rPr>
          <w:b w:val="0"/>
          <w:i w:val="0"/>
          <w:color w:val="1A1A2E"/>
          <w:sz w:val="22"/>
        </w:rPr>
        <w:t>Beyond the rebate, we are also requesting:</w:t>
      </w:r>
    </w:p>
    <w:p>
      <w:pPr>
        <w:spacing w:before="0" w:after="60"/>
        <w:ind w:left="454"/>
        <w:jc w:val="left"/>
      </w:pPr>
      <w:r>
        <w:rPr>
          <w:b/>
          <w:i w:val="0"/>
          <w:color w:val="FF6B00"/>
          <w:sz w:val="22"/>
        </w:rPr>
        <w:t xml:space="preserve">▸  </w:t>
      </w:r>
      <w:r>
        <w:rPr>
          <w:b w:val="0"/>
          <w:i w:val="0"/>
          <w:color w:val="1A1A2E"/>
          <w:sz w:val="22"/>
        </w:rPr>
        <w:t>Co-marketing support — featured placement on Amazon Business, co-branded festive campaigns (Independence Day, Diwali, Year-end)</w:t>
      </w:r>
    </w:p>
    <w:p>
      <w:pPr>
        <w:spacing w:before="0" w:after="60"/>
        <w:ind w:left="454"/>
        <w:jc w:val="left"/>
      </w:pPr>
      <w:r>
        <w:rPr>
          <w:b/>
          <w:i w:val="0"/>
          <w:color w:val="FF6B00"/>
          <w:sz w:val="22"/>
        </w:rPr>
        <w:t xml:space="preserve">▸  </w:t>
      </w:r>
      <w:r>
        <w:rPr>
          <w:b w:val="0"/>
          <w:i w:val="0"/>
          <w:color w:val="1A1A2E"/>
          <w:sz w:val="22"/>
        </w:rPr>
        <w:t>Technical integration support — dedicated contact and sandbox access for the Amazon Store API build</w:t>
      </w:r>
    </w:p>
    <w:p>
      <w:pPr>
        <w:spacing w:before="0" w:after="60"/>
        <w:ind w:left="454"/>
        <w:jc w:val="left"/>
      </w:pPr>
      <w:r>
        <w:rPr>
          <w:b/>
          <w:i w:val="0"/>
          <w:color w:val="FF6B00"/>
          <w:sz w:val="22"/>
        </w:rPr>
        <w:t xml:space="preserve">▸  </w:t>
      </w:r>
      <w:r>
        <w:rPr>
          <w:b w:val="0"/>
          <w:i w:val="0"/>
          <w:color w:val="1A1A2E"/>
          <w:sz w:val="22"/>
        </w:rPr>
        <w:t>Partner account management — a named success manager for enterprise client onboarding and issue resolution</w:t>
      </w:r>
    </w:p>
    <w:p>
      <w:pPr>
        <w:spacing w:before="280" w:after="80"/>
        <w:jc w:val="left"/>
      </w:pPr>
      <w:r>
        <w:rPr>
          <w:b/>
          <w:i w:val="0"/>
          <w:color w:val="FF6B00"/>
          <w:sz w:val="24"/>
        </w:rPr>
        <w:t>6.  Suggested Next Steps</w:t>
      </w:r>
    </w:p>
    <w:p>
      <w:pPr>
        <w:spacing w:before="0" w:after="80"/>
        <w:ind w:left="283"/>
        <w:jc w:val="left"/>
      </w:pPr>
      <w:r>
        <w:rPr>
          <w:b/>
          <w:i w:val="0"/>
          <w:color w:val="FF6B00"/>
          <w:sz w:val="22"/>
        </w:rPr>
        <w:t xml:space="preserve">1.  </w:t>
      </w:r>
      <w:r>
        <w:rPr>
          <w:b/>
          <w:i w:val="0"/>
          <w:color w:val="1A1A2E"/>
          <w:sz w:val="22"/>
        </w:rPr>
        <w:t>Share this note internally</w:t>
      </w:r>
      <w:r>
        <w:rPr>
          <w:b w:val="0"/>
          <w:i w:val="0"/>
          <w:color w:val="444444"/>
          <w:sz w:val="22"/>
        </w:rPr>
        <w:t xml:space="preserve"> — as the data input for your leadership's business case review.</w:t>
      </w:r>
    </w:p>
    <w:p>
      <w:pPr>
        <w:spacing w:before="0" w:after="80"/>
        <w:ind w:left="283"/>
        <w:jc w:val="left"/>
      </w:pPr>
      <w:r>
        <w:rPr>
          <w:b/>
          <w:i w:val="0"/>
          <w:color w:val="FF6B00"/>
          <w:sz w:val="22"/>
        </w:rPr>
        <w:t xml:space="preserve">2.  </w:t>
      </w:r>
      <w:r>
        <w:rPr>
          <w:b/>
          <w:i w:val="0"/>
          <w:color w:val="1A1A2E"/>
          <w:sz w:val="22"/>
        </w:rPr>
        <w:t>Follow-up call within 2 weeks</w:t>
      </w:r>
      <w:r>
        <w:rPr>
          <w:b w:val="0"/>
          <w:i w:val="0"/>
          <w:color w:val="444444"/>
          <w:sz w:val="22"/>
        </w:rPr>
        <w:t xml:space="preserve"> — to align on rebate structure, tiering, and co-marketing scope.</w:t>
      </w:r>
    </w:p>
    <w:p>
      <w:pPr>
        <w:spacing w:before="0" w:after="80"/>
        <w:ind w:left="283"/>
        <w:jc w:val="left"/>
      </w:pPr>
      <w:r>
        <w:rPr>
          <w:b/>
          <w:i w:val="0"/>
          <w:color w:val="FF6B00"/>
          <w:sz w:val="22"/>
        </w:rPr>
        <w:t xml:space="preserve">3.  </w:t>
      </w:r>
      <w:r>
        <w:rPr>
          <w:b/>
          <w:i w:val="0"/>
          <w:color w:val="1A1A2E"/>
          <w:sz w:val="22"/>
        </w:rPr>
        <w:t>NDA for full client disclosure</w:t>
      </w:r>
      <w:r>
        <w:rPr>
          <w:b w:val="0"/>
          <w:i w:val="0"/>
          <w:color w:val="444444"/>
          <w:sz w:val="22"/>
        </w:rPr>
        <w:t xml:space="preserve"> — if your leadership needs the named client list for due diligence.</w:t>
      </w:r>
    </w:p>
    <w:p>
      <w:pPr>
        <w:spacing w:before="0" w:after="80"/>
        <w:ind w:left="283"/>
        <w:jc w:val="left"/>
      </w:pPr>
      <w:r>
        <w:rPr>
          <w:b/>
          <w:i w:val="0"/>
          <w:color w:val="FF6B00"/>
          <w:sz w:val="22"/>
        </w:rPr>
        <w:t xml:space="preserve">4.  </w:t>
      </w:r>
      <w:r>
        <w:rPr>
          <w:b/>
          <w:i w:val="0"/>
          <w:color w:val="1A1A2E"/>
          <w:sz w:val="22"/>
        </w:rPr>
        <w:t>Technical scoping call</w:t>
      </w:r>
      <w:r>
        <w:rPr>
          <w:b w:val="0"/>
          <w:i w:val="0"/>
          <w:color w:val="444444"/>
          <w:sz w:val="22"/>
        </w:rPr>
        <w:t xml:space="preserve"> — between our engineering teams to assess the Amazon Store API integration timeline.</w:t>
      </w:r>
    </w:p>
    <w:p>
      <w:pPr>
        <w:spacing w:before="40" w:after="40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left"/>
      </w:pPr>
      <w:r>
        <w:rPr>
          <w:b w:val="0"/>
          <w:i w:val="0"/>
          <w:color w:val="1A1A2E"/>
          <w:sz w:val="22"/>
        </w:rPr>
        <w:t>Amazon already commands 61% of every rupee our employees spend on rewards. This partnership is about formalising that relationship — giving Amazon a structured, growing channel into 2 million corporate employees across India's best enterprises, and giving Vantage Circle the rebate support to invest in a world-class redemption experience. We are committed to making this work on both sides.</w:t>
      </w:r>
    </w:p>
    <w:p>
      <w:pPr>
        <w:spacing w:before="0" w:after="80"/>
        <w:jc w:val="left"/>
      </w:pPr>
      <w:r>
        <w:rPr>
          <w:b w:val="0"/>
          <w:i w:val="0"/>
          <w:color w:val="1A1A2E"/>
          <w:sz w:val="22"/>
        </w:rPr>
        <w:t>Happy to jump on a call at your convenience. Looking forward to it.</w:t>
      </w:r>
    </w:p>
    <w:p>
      <w:pPr>
        <w:spacing w:before="200" w:after="60"/>
        <w:jc w:val="left"/>
      </w:pPr>
      <w:r>
        <w:rPr>
          <w:b w:val="0"/>
          <w:i w:val="0"/>
          <w:color w:val="1A1A2E"/>
          <w:sz w:val="22"/>
        </w:rPr>
        <w:t>Warm regards,</w:t>
      </w:r>
    </w:p>
    <w:p>
      <w:pPr>
        <w:spacing w:before="0" w:after="60"/>
        <w:jc w:val="left"/>
      </w:pPr>
      <w:r>
        <w:rPr>
          <w:b/>
          <w:i w:val="0"/>
          <w:color w:val="1A1A2E"/>
          <w:sz w:val="22"/>
        </w:rPr>
        <w:t>[Your Name]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1"/>
        </w:rPr>
        <w:t>Partnerships &amp; Business Development</w:t>
      </w:r>
    </w:p>
    <w:p>
      <w:pPr>
        <w:spacing w:before="0" w:after="40"/>
        <w:jc w:val="left"/>
      </w:pPr>
      <w:r>
        <w:rPr>
          <w:b/>
          <w:i w:val="0"/>
          <w:color w:val="FF6B00"/>
          <w:sz w:val="21"/>
        </w:rPr>
        <w:t>Vantage Circle</w:t>
      </w:r>
    </w:p>
    <w:p>
      <w:pPr>
        <w:spacing w:before="0" w:after="40"/>
        <w:jc w:val="left"/>
      </w:pPr>
      <w:r>
        <w:rPr>
          <w:b w:val="0"/>
          <w:i w:val="0"/>
          <w:color w:val="888888"/>
          <w:sz w:val="20"/>
        </w:rPr>
        <w:t>[Email]  |  [Phone]  |  vantagecircle.com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