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b/>
          <w:i w:val="0"/>
          <w:color w:val="FF6B00"/>
          <w:sz w:val="44"/>
          <w:u w:val="none"/>
        </w:rPr>
        <w:t>VANTAGE CIRCLE  ×  AMAZON INDIA</w:t>
      </w:r>
    </w:p>
    <w:p>
      <w:pPr>
        <w:jc w:val="center"/>
      </w:pPr>
      <w:r>
        <w:rPr>
          <w:b w:val="0"/>
          <w:i w:val="0"/>
          <w:color w:val="1A1A2E"/>
          <w:sz w:val="26"/>
          <w:u w:val="none"/>
        </w:rPr>
        <w:t>Business Partnership — Margin Share Proposal</w:t>
      </w:r>
    </w:p>
    <w:p>
      <w:pPr>
        <w:jc w:val="center"/>
      </w:pPr>
      <w:r>
        <w:rPr>
          <w:b w:val="0"/>
          <w:i/>
          <w:color w:val="555555"/>
          <w:sz w:val="18"/>
          <w:u w:val="none"/>
        </w:rPr>
        <w:t>FY 2025–26  |  INR Redemptions Only  |  Prepared by Vantage Circle  |  Confidential</w:t>
      </w:r>
    </w:p>
    <w:p>
      <w:pPr>
        <w:spacing w:before="60" w:after="6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00"/>
      </w:pPr>
      <w:r>
        <w:rPr>
          <w:b/>
          <w:i w:val="0"/>
          <w:color w:val="1A1A2E"/>
          <w:sz w:val="28"/>
          <w:u w:val="none"/>
        </w:rPr>
        <w:t>Executive Summary</w:t>
      </w:r>
    </w:p>
    <w:p>
      <w:pPr>
        <w:spacing w:after="80"/>
      </w:pPr>
      <w:r>
        <w:rPr>
          <w:b w:val="0"/>
          <w:i w:val="0"/>
          <w:color w:val="1A1A2E"/>
          <w:sz w:val="21"/>
          <w:u w:val="none"/>
        </w:rPr>
        <w:t>Vantage Circle is India's leading employee rewards &amp; recognition SaaS platform, serving 2,98,712 employees across 162 corporate clients. In FY 2025–26, our India platform processed ₹161.65 Crore in INR redemptions — of which Amazon accounted for ₹98.76 Crore (61.1% share of wallet). This document presents verified GMV data and a structured ask for margin sharing consistent with the 2–3% we receive in the US and Canada markets.</w:t>
      </w:r>
    </w:p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Platform Snapshot — India FY 2025–26 (INR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40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969"/>
            <w:shd w:val="clear" w:color="auto" w:fill="FFF8F0"/>
          </w:tcPr>
          <w:p>
            <w:r>
              <w:rPr>
                <w:b/>
                <w:i w:val="0"/>
                <w:sz w:val="20"/>
              </w:rPr>
              <w:t>Total INR Redemptions</w:t>
            </w:r>
          </w:p>
        </w:tc>
        <w:tc>
          <w:tcPr>
            <w:tcW w:type="dxa" w:w="255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₹161.65 Crore</w:t>
            </w:r>
          </w:p>
        </w:tc>
        <w:tc>
          <w:tcPr>
            <w:tcW w:type="dxa" w:w="3402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11.26 lakh+ transactions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/>
                <w:i w:val="0"/>
                <w:sz w:val="20"/>
              </w:rPr>
              <w:t>Amazon GMV — All Categories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₹98.76 Crore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61.1% share of INR wallet</w:t>
            </w:r>
          </w:p>
        </w:tc>
      </w:tr>
      <w:tr>
        <w:tc>
          <w:tcPr>
            <w:tcW w:type="dxa" w:w="3969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Amazon Pay E-Gift Card</w:t>
            </w:r>
          </w:p>
        </w:tc>
        <w:tc>
          <w:tcPr>
            <w:tcW w:type="dxa" w:w="255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₹60.70 Crore</w:t>
            </w:r>
          </w:p>
        </w:tc>
        <w:tc>
          <w:tcPr>
            <w:tcW w:type="dxa" w:w="3402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4,14,579 transactions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Amazon Shopping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₹32.24 Crore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2,28,330 transactions</w:t>
            </w:r>
          </w:p>
        </w:tc>
      </w:tr>
      <w:tr>
        <w:tc>
          <w:tcPr>
            <w:tcW w:type="dxa" w:w="3969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Amazon Pay – AMDOCS eGift</w:t>
            </w:r>
          </w:p>
        </w:tc>
        <w:tc>
          <w:tcPr>
            <w:tcW w:type="dxa" w:w="255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₹5.18 Crore</w:t>
            </w:r>
          </w:p>
        </w:tc>
        <w:tc>
          <w:tcPr>
            <w:tcW w:type="dxa" w:w="3402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35,446 transactions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Amazon Fresh + Prime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₹0.64 Crore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5,735 transactions</w:t>
            </w:r>
          </w:p>
        </w:tc>
      </w:tr>
      <w:tr>
        <w:tc>
          <w:tcPr>
            <w:tcW w:type="dxa" w:w="3969"/>
            <w:shd w:val="clear" w:color="auto" w:fill="FFF8F0"/>
          </w:tcPr>
          <w:p>
            <w:r>
              <w:rPr>
                <w:b/>
                <w:i w:val="0"/>
                <w:sz w:val="20"/>
              </w:rPr>
              <w:t>Active Corporate Clients</w:t>
            </w:r>
          </w:p>
        </w:tc>
        <w:tc>
          <w:tcPr>
            <w:tcW w:type="dxa" w:w="255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162 companies</w:t>
            </w:r>
          </w:p>
        </w:tc>
        <w:tc>
          <w:tcPr>
            <w:tcW w:type="dxa" w:w="3402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Mid-market to Enterprise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/>
                <w:i w:val="0"/>
                <w:sz w:val="20"/>
              </w:rPr>
              <w:t>Active Employees on Platform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2,98,712 users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Redeeming in FY 25–26</w:t>
            </w:r>
          </w:p>
        </w:tc>
      </w:tr>
      <w:tr>
        <w:tc>
          <w:tcPr>
            <w:tcW w:type="dxa" w:w="3969"/>
            <w:shd w:val="clear" w:color="auto" w:fill="FFF8F0"/>
          </w:tcPr>
          <w:p>
            <w:r>
              <w:rPr>
                <w:b/>
                <w:i w:val="0"/>
                <w:sz w:val="20"/>
              </w:rPr>
              <w:t>Average Transaction Value</w:t>
            </w:r>
          </w:p>
        </w:tc>
        <w:tc>
          <w:tcPr>
            <w:tcW w:type="dxa" w:w="255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₹1,435 (INR)</w:t>
            </w:r>
          </w:p>
        </w:tc>
        <w:tc>
          <w:tcPr>
            <w:tcW w:type="dxa" w:w="3402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Consistent across brands</w:t>
            </w:r>
          </w:p>
        </w:tc>
      </w:tr>
    </w:tbl>
    <w:p/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Amazon GMV Breakdown by Category</w:t>
      </w:r>
    </w:p>
    <w:p>
      <w:pPr>
        <w:spacing w:after="80"/>
      </w:pPr>
      <w:r>
        <w:rPr>
          <w:b w:val="0"/>
          <w:i w:val="0"/>
          <w:color w:val="555555"/>
          <w:sz w:val="20"/>
          <w:u w:val="none"/>
        </w:rPr>
        <w:t>Amazon's ₹98.76 Cr breaks down across 7 distinct product categories on our platform. "Amazon Pay E-Gift Card" and "Amazon Shopping" together account for 93.3% of the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685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17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GMV</w:t>
            </w:r>
          </w:p>
        </w:tc>
        <w:tc>
          <w:tcPr>
            <w:tcW w:type="dxa" w:w="1417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Transactions</w:t>
            </w:r>
          </w:p>
        </w:tc>
        <w:tc>
          <w:tcPr>
            <w:tcW w:type="dxa" w:w="1417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of Amazon</w:t>
            </w:r>
          </w:p>
        </w:tc>
        <w:tc>
          <w:tcPr>
            <w:tcW w:type="dxa" w:w="1417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Txn Value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/>
                <w:i w:val="0"/>
                <w:sz w:val="20"/>
              </w:rPr>
              <w:t>Amazon Pay E-Gift Card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₹60.70 Cr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4,14,579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61.5%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₹1,464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Amazon Shopping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₹32.24 Cr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2,28,330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32.6%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₹1,412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Amazon Pay – AMDOCS eGift Card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₹5.18 Cr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35,446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5.2%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₹1,463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Amazon Fresh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₹0.39 Cr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3,750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0.4%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₹1,046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Amazon Prime – 12 Month Membership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₹0.20 Cr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1,319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0.2%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₹1,499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Amazon Prime – 3 Month Membership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₹0.03 Cr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457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₹599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Amazon Shopping Voucher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₹0.02 Cr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159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₹1,261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₹98.76 Cr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6,83,040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100%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₹1,446</w:t>
            </w:r>
          </w:p>
        </w:tc>
      </w:tr>
    </w:tbl>
    <w:p/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Monthly Amazon Redemption Trend</w:t>
      </w:r>
    </w:p>
    <w:p>
      <w:pPr>
        <w:spacing w:after="80"/>
      </w:pPr>
      <w:r>
        <w:rPr>
          <w:b w:val="0"/>
          <w:i w:val="0"/>
          <w:color w:val="555555"/>
          <w:sz w:val="20"/>
          <w:u w:val="none"/>
        </w:rPr>
        <w:t>Peak months: Aug (₹9.29 Cr), Nov (₹9.07 Cr), Dec (₹8.88 Cr) — driven by Independence Day gifting, Diwali, and year-end recognition cycles. No single month dips below ₹6.5 Cr, demonstrating sustained year-round demand.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98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Amazon GMV</w:t>
            </w:r>
          </w:p>
        </w:tc>
        <w:tc>
          <w:tcPr>
            <w:tcW w:type="dxa" w:w="198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Transactions</w:t>
            </w:r>
          </w:p>
        </w:tc>
        <w:tc>
          <w:tcPr>
            <w:tcW w:type="dxa" w:w="4252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701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Apr 2025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₹6.55 Cr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50,053</w:t>
            </w:r>
          </w:p>
        </w:tc>
        <w:tc>
          <w:tcPr>
            <w:tcW w:type="dxa" w:w="4252"/>
            <w:shd w:val="clear" w:color="auto" w:fill="FFF8F0"/>
          </w:tcPr>
          <w:p>
            <w:r>
              <w:rPr>
                <w:b w:val="0"/>
                <w:i/>
                <w:color w:val="555555"/>
                <w:sz w:val="19"/>
              </w:rPr>
              <w:t>Q1 FY26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May 2025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₹7.69 Cr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55,425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Jun 2025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₹8.48 Cr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60,692</w:t>
            </w:r>
          </w:p>
        </w:tc>
        <w:tc>
          <w:tcPr>
            <w:tcW w:type="dxa" w:w="4252"/>
            <w:shd w:val="clear" w:color="auto" w:fill="FFF8F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Jul 2025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₹7.44 Cr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52,887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/>
                <w:color w:val="555555"/>
                <w:sz w:val="19"/>
              </w:rPr>
              <w:t>Q2 FY26</w:t>
            </w:r>
          </w:p>
        </w:tc>
      </w:tr>
      <w:tr>
        <w:tc>
          <w:tcPr>
            <w:tcW w:type="dxa" w:w="1701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Aug 2025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₹9.29 Cr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62,776</w:t>
            </w:r>
          </w:p>
        </w:tc>
        <w:tc>
          <w:tcPr>
            <w:tcW w:type="dxa" w:w="4252"/>
            <w:shd w:val="clear" w:color="auto" w:fill="FFF8F0"/>
          </w:tcPr>
          <w:p>
            <w:r>
              <w:rPr>
                <w:b w:val="0"/>
                <w:i/>
                <w:color w:val="555555"/>
                <w:sz w:val="19"/>
              </w:rPr>
              <w:t>← Independence Day peak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Sep 2025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₹8.84 Cr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56,801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/>
                <w:color w:val="555555"/>
                <w:sz w:val="19"/>
              </w:rPr>
              <w:t>← Onam / Navratri</w:t>
            </w:r>
          </w:p>
        </w:tc>
      </w:tr>
      <w:tr>
        <w:tc>
          <w:tcPr>
            <w:tcW w:type="dxa" w:w="1701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₹7.75 Cr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56,820</w:t>
            </w:r>
          </w:p>
        </w:tc>
        <w:tc>
          <w:tcPr>
            <w:tcW w:type="dxa" w:w="4252"/>
            <w:shd w:val="clear" w:color="auto" w:fill="FFF8F0"/>
          </w:tcPr>
          <w:p>
            <w:r>
              <w:rPr>
                <w:b w:val="0"/>
                <w:i/>
                <w:color w:val="555555"/>
                <w:sz w:val="19"/>
              </w:rPr>
              <w:t>Q3 FY26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Nov 2025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₹9.07 Cr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60,433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/>
                <w:color w:val="555555"/>
                <w:sz w:val="19"/>
              </w:rPr>
              <w:t>← Diwali peak</w:t>
            </w:r>
          </w:p>
        </w:tc>
      </w:tr>
      <w:tr>
        <w:tc>
          <w:tcPr>
            <w:tcW w:type="dxa" w:w="1701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Dec 2025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₹8.88 Cr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60,146</w:t>
            </w:r>
          </w:p>
        </w:tc>
        <w:tc>
          <w:tcPr>
            <w:tcW w:type="dxa" w:w="4252"/>
            <w:shd w:val="clear" w:color="auto" w:fill="FFF8F0"/>
          </w:tcPr>
          <w:p>
            <w:r>
              <w:rPr>
                <w:b w:val="0"/>
                <w:i/>
                <w:color w:val="555555"/>
                <w:sz w:val="19"/>
              </w:rPr>
              <w:t>← Year-end recognition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₹8.00 Cr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52,895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/>
                <w:color w:val="555555"/>
                <w:sz w:val="19"/>
              </w:rPr>
              <w:t>Q4 FY26</w:t>
            </w:r>
          </w:p>
        </w:tc>
      </w:tr>
      <w:tr>
        <w:tc>
          <w:tcPr>
            <w:tcW w:type="dxa" w:w="1701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Feb 2026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₹8.46 Cr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55,833</w:t>
            </w:r>
          </w:p>
        </w:tc>
        <w:tc>
          <w:tcPr>
            <w:tcW w:type="dxa" w:w="4252"/>
            <w:shd w:val="clear" w:color="auto" w:fill="FFF8F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Mar 2026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₹8.30 Cr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59,279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/>
                <w:color w:val="555555"/>
                <w:sz w:val="19"/>
              </w:rPr>
              <w:t>← FY close</w:t>
            </w:r>
          </w:p>
        </w:tc>
      </w:tr>
      <w:tr>
        <w:tc>
          <w:tcPr>
            <w:tcW w:type="dxa" w:w="1701"/>
            <w:shd w:val="clear" w:color="auto" w:fill="FFF8F0"/>
          </w:tcPr>
          <w:p>
            <w:r>
              <w:rPr>
                <w:b/>
                <w:i w:val="0"/>
                <w:sz w:val="20"/>
              </w:rPr>
              <w:t>FULL YEAR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₹98.76 Cr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6,83,040</w:t>
            </w:r>
          </w:p>
        </w:tc>
        <w:tc>
          <w:tcPr>
            <w:tcW w:type="dxa" w:w="4252"/>
            <w:shd w:val="clear" w:color="auto" w:fill="FFF8F0"/>
          </w:tcPr>
          <w:p>
            <w:r>
              <w:rPr>
                <w:b/>
                <w:i w:val="0"/>
                <w:color w:val="555555"/>
                <w:sz w:val="19"/>
              </w:rPr>
              <w:t>Total Amazon GMV</w:t>
            </w:r>
          </w:p>
        </w:tc>
      </w:tr>
    </w:tbl>
    <w:p/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Amazon GV Denomination Breakdown (Top 10 by Value)</w:t>
      </w:r>
    </w:p>
    <w:p>
      <w:pPr>
        <w:spacing w:after="80"/>
      </w:pPr>
      <w:r>
        <w:rPr>
          <w:b w:val="0"/>
          <w:i w:val="0"/>
          <w:color w:val="555555"/>
          <w:sz w:val="20"/>
          <w:u w:val="none"/>
        </w:rPr>
        <w:t>Mid-to-high basket sizes dominate — ₹1,000–₹10,000 GVs account for ~75% of Amazon GMV. High AOV signals corporate-intent purchases rather than casual micro-transactions.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Denomination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Value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of Amazon GMV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₹5,000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33,811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₹16.91 Cr</w:t>
            </w:r>
          </w:p>
        </w:tc>
        <w:tc>
          <w:tcPr>
            <w:tcW w:type="dxa" w:w="2268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17.1%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₹10,000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15,047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₹15.05 Cr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15.2%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₹2,000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56,849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₹11.37 Cr</w:t>
            </w:r>
          </w:p>
        </w:tc>
        <w:tc>
          <w:tcPr>
            <w:tcW w:type="dxa" w:w="2268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11.5%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₹1,000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82,154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₹8.20 Cr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8.3%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₹3,000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23,179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₹6.95 Cr</w:t>
            </w:r>
          </w:p>
        </w:tc>
        <w:tc>
          <w:tcPr>
            <w:tcW w:type="dxa" w:w="2268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7.0%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₹4,000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14,549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₹5.82 Cr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5.9%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₹500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1,15,944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₹5.79 Cr</w:t>
            </w:r>
          </w:p>
        </w:tc>
        <w:tc>
          <w:tcPr>
            <w:tcW w:type="dxa" w:w="2268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5.9%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₹6,000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9,545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₹5.73 Cr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5.8%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₹1,500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29,007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₹4.35 Cr</w:t>
            </w:r>
          </w:p>
        </w:tc>
        <w:tc>
          <w:tcPr>
            <w:tcW w:type="dxa" w:w="2268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4.4%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₹8,000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4,255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₹3.40 Cr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3.4%</w:t>
            </w:r>
          </w:p>
        </w:tc>
      </w:tr>
    </w:tbl>
    <w:p/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Competitive Landscape — Top Non-Amazon Brands</w:t>
      </w:r>
    </w:p>
    <w:p>
      <w:pPr>
        <w:spacing w:after="80"/>
      </w:pPr>
      <w:r>
        <w:rPr>
          <w:b w:val="0"/>
          <w:i w:val="0"/>
          <w:color w:val="555555"/>
          <w:sz w:val="20"/>
          <w:u w:val="none"/>
        </w:rPr>
        <w:t>Amazon's nearest competitor is Myntra at ₹7.40 Cr — 1/13th of Amazon's GMV. Amazon's dominance across fashion, grocery, and electronics categories makes it the single most important brand on the Vantage Circle India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5555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Brand</w:t>
            </w:r>
          </w:p>
        </w:tc>
        <w:tc>
          <w:tcPr>
            <w:tcW w:type="dxa" w:w="1587"/>
            <w:shd w:val="clear" w:color="auto" w:fill="5555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GMV</w:t>
            </w:r>
          </w:p>
        </w:tc>
        <w:tc>
          <w:tcPr>
            <w:tcW w:type="dxa" w:w="1587"/>
            <w:shd w:val="clear" w:color="auto" w:fill="5555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Transactions</w:t>
            </w:r>
          </w:p>
        </w:tc>
        <w:tc>
          <w:tcPr>
            <w:tcW w:type="dxa" w:w="1928"/>
            <w:shd w:val="clear" w:color="auto" w:fill="5555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Myntra E-Gift Card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₹7.40 Cr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57,634</w:t>
            </w:r>
          </w:p>
        </w:tc>
        <w:tc>
          <w:tcPr>
            <w:tcW w:type="dxa" w:w="1928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Fashion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GRT Jewellers E-Gift Card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₹5.21 Cr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10,989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Jewellery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Zomato E-Gift Card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₹3.54 Cr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44,486</w:t>
            </w:r>
          </w:p>
        </w:tc>
        <w:tc>
          <w:tcPr>
            <w:tcW w:type="dxa" w:w="1928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Food Delivery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Flipkart E-Gift Voucher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₹3.47 Cr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24,024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E-commerce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MakeMyTrip E-Gift Card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₹3.20 Cr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7,673</w:t>
            </w:r>
          </w:p>
        </w:tc>
        <w:tc>
          <w:tcPr>
            <w:tcW w:type="dxa" w:w="1928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Travel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Swiggy Money E-Gift Voucher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₹2.26 Cr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38,442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Food Delivery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Nykaa Gift Card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₹2.06 Cr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17,777</w:t>
            </w:r>
          </w:p>
        </w:tc>
        <w:tc>
          <w:tcPr>
            <w:tcW w:type="dxa" w:w="1928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Beauty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AJIO E-Gift Card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₹2.01 Cr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17,399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Fashion</w:t>
            </w:r>
          </w:p>
        </w:tc>
      </w:tr>
      <w:tr>
        <w:tc>
          <w:tcPr>
            <w:tcW w:type="dxa" w:w="3685"/>
            <w:shd w:val="clear" w:color="auto" w:fill="FFF8F0"/>
          </w:tcPr>
          <w:p>
            <w:r>
              <w:rPr>
                <w:b w:val="0"/>
                <w:i w:val="0"/>
                <w:sz w:val="20"/>
              </w:rPr>
              <w:t>Croma E-Gift Card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₹1.81 Cr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4,463</w:t>
            </w:r>
          </w:p>
        </w:tc>
        <w:tc>
          <w:tcPr>
            <w:tcW w:type="dxa" w:w="1928"/>
            <w:shd w:val="clear" w:color="auto" w:fill="FFF8F0"/>
          </w:tcPr>
          <w:p>
            <w:r>
              <w:rPr>
                <w:b w:val="0"/>
                <w:i w:val="0"/>
                <w:color w:val="555555"/>
                <w:sz w:val="19"/>
              </w:rPr>
              <w:t>Electronics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Vijay Sales E-Gift Card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₹1.70 Cr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3,965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Electronics</w:t>
            </w:r>
          </w:p>
        </w:tc>
      </w:tr>
    </w:tbl>
    <w:p/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GMV Projection — FY 2026–27 (Amazon Store Migration)</w:t>
      </w:r>
    </w:p>
    <w:p>
      <w:pPr>
        <w:spacing w:after="80"/>
      </w:pPr>
      <w:r>
        <w:rPr>
          <w:b w:val="0"/>
          <w:i w:val="0"/>
          <w:color w:val="555555"/>
          <w:sz w:val="20"/>
          <w:u w:val="none"/>
        </w:rPr>
        <w:t>Based on our US/Canada experience, 40–60% of GV volume migrates to direct Amazon Store cart within 12 months of integration. Projections below use FY 25-26 as the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Assumptions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Store GMV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Amazon GMV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1417"/>
            <w:shd w:val="clear" w:color="auto" w:fill="FFF0E0"/>
          </w:tcPr>
          <w:p>
            <w:r>
              <w:rPr>
                <w:b w:val="0"/>
                <w:i w:val="0"/>
                <w:sz w:val="20"/>
              </w:rPr>
              <w:t>Conservative</w:t>
            </w:r>
          </w:p>
        </w:tc>
        <w:tc>
          <w:tcPr>
            <w:tcW w:type="dxa" w:w="3118"/>
            <w:shd w:val="clear" w:color="auto" w:fill="FFF0E0"/>
          </w:tcPr>
          <w:p>
            <w:r>
              <w:rPr>
                <w:b w:val="0"/>
                <w:i w:val="0"/>
                <w:color w:val="555555"/>
                <w:sz w:val="19"/>
              </w:rPr>
              <w:t>20% YoY growth + 40% GV→Store migration</w:t>
            </w:r>
          </w:p>
        </w:tc>
        <w:tc>
          <w:tcPr>
            <w:tcW w:type="dxa" w:w="1417"/>
            <w:shd w:val="clear" w:color="auto" w:fill="FFF0E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~₹47 Cr</w:t>
            </w:r>
          </w:p>
        </w:tc>
        <w:tc>
          <w:tcPr>
            <w:tcW w:type="dxa" w:w="1701"/>
            <w:shd w:val="clear" w:color="auto" w:fill="FFF0E0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~₹118 Cr</w:t>
            </w:r>
          </w:p>
        </w:tc>
        <w:tc>
          <w:tcPr>
            <w:tcW w:type="dxa" w:w="1701"/>
            <w:shd w:val="clear" w:color="auto" w:fill="FFF0E0"/>
          </w:tcPr>
          <w:p>
            <w:r>
              <w:rPr>
                <w:b w:val="0"/>
                <w:i w:val="0"/>
                <w:color w:val="555555"/>
                <w:sz w:val="19"/>
              </w:rPr>
              <w:t>Low risk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b/>
                <w:i w:val="0"/>
                <w:sz w:val="20"/>
              </w:rPr>
              <w:t>Base Case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25% YoY growth + 50% migration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~₹62 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~₹123 Cr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color w:val="555555"/>
                <w:sz w:val="19"/>
              </w:rPr>
              <w:t>Most likely</w:t>
            </w:r>
          </w:p>
        </w:tc>
      </w:tr>
      <w:tr>
        <w:tc>
          <w:tcPr>
            <w:tcW w:type="dxa" w:w="1417"/>
            <w:shd w:val="clear" w:color="auto" w:fill="FFF0E0"/>
          </w:tcPr>
          <w:p>
            <w:r>
              <w:rPr>
                <w:b w:val="0"/>
                <w:i w:val="0"/>
                <w:sz w:val="20"/>
              </w:rPr>
              <w:t>Optimistic</w:t>
            </w:r>
          </w:p>
        </w:tc>
        <w:tc>
          <w:tcPr>
            <w:tcW w:type="dxa" w:w="3118"/>
            <w:shd w:val="clear" w:color="auto" w:fill="FFF0E0"/>
          </w:tcPr>
          <w:p>
            <w:r>
              <w:rPr>
                <w:b w:val="0"/>
                <w:i w:val="0"/>
                <w:color w:val="555555"/>
                <w:sz w:val="19"/>
              </w:rPr>
              <w:t>30% YoY growth + 60% migration</w:t>
            </w:r>
          </w:p>
        </w:tc>
        <w:tc>
          <w:tcPr>
            <w:tcW w:type="dxa" w:w="1417"/>
            <w:shd w:val="clear" w:color="auto" w:fill="FFF0E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~₹77 Cr</w:t>
            </w:r>
          </w:p>
        </w:tc>
        <w:tc>
          <w:tcPr>
            <w:tcW w:type="dxa" w:w="1701"/>
            <w:shd w:val="clear" w:color="auto" w:fill="FFF0E0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~₹128 Cr</w:t>
            </w:r>
          </w:p>
        </w:tc>
        <w:tc>
          <w:tcPr>
            <w:tcW w:type="dxa" w:w="1701"/>
            <w:shd w:val="clear" w:color="auto" w:fill="FFF0E0"/>
          </w:tcPr>
          <w:p>
            <w:r>
              <w:rPr>
                <w:b w:val="0"/>
                <w:i w:val="0"/>
                <w:color w:val="555555"/>
                <w:sz w:val="19"/>
              </w:rPr>
              <w:t>With marketing push</w:t>
            </w:r>
          </w:p>
        </w:tc>
      </w:tr>
    </w:tbl>
    <w:p/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Our Ask — Margin Structure</w:t>
      </w:r>
    </w:p>
    <w:p>
      <w:pPr>
        <w:spacing w:after="80"/>
      </w:pPr>
      <w:r>
        <w:rPr>
          <w:b w:val="0"/>
          <w:i w:val="0"/>
          <w:color w:val="555555"/>
          <w:sz w:val="20"/>
          <w:u w:val="none"/>
        </w:rPr>
        <w:t>We are requesting a margin-sharing agreement consistent with our existing US and Canada partnership terms (2–3% on fulfilled GMV). India represents Amazon's largest emerging corporate rewards market and justifies parity treatment:</w:t>
      </w:r>
    </w:p>
    <w:p>
      <w:pPr>
        <w:pStyle w:val="ListBullet"/>
        <w:spacing w:after="60"/>
      </w:pPr>
      <w:r>
        <w:rPr>
          <w:b w:val="0"/>
          <w:i w:val="0"/>
          <w:color w:val="555555"/>
          <w:sz w:val="21"/>
          <w:u w:val="none"/>
        </w:rPr>
        <w:t>2% margin on GV redemptions (Amazon Pay E-Gift Cards, Amazon Shopping, AMDOCS GVs)</w:t>
      </w:r>
    </w:p>
    <w:p>
      <w:pPr>
        <w:pStyle w:val="ListBullet"/>
        <w:spacing w:after="60"/>
      </w:pPr>
      <w:r>
        <w:rPr>
          <w:b w:val="0"/>
          <w:i w:val="0"/>
          <w:color w:val="555555"/>
          <w:sz w:val="21"/>
          <w:u w:val="none"/>
        </w:rPr>
        <w:t>2.5–3% margin on direct Amazon Store purchases routed through Vantage Circle</w:t>
      </w:r>
    </w:p>
    <w:p>
      <w:pPr>
        <w:pStyle w:val="ListBullet"/>
        <w:spacing w:after="60"/>
      </w:pPr>
      <w:r>
        <w:rPr>
          <w:b w:val="0"/>
          <w:i w:val="0"/>
          <w:color w:val="555555"/>
          <w:sz w:val="21"/>
          <w:u w:val="none"/>
        </w:rPr>
        <w:t>Tiered improvement: margin steps up at ₹50 Cr, ₹100 Cr, ₹150 Cr annual GMV thresholds</w:t>
      </w:r>
    </w:p>
    <w:p/>
    <w:p>
      <w:pPr>
        <w:spacing w:after="80"/>
      </w:pPr>
      <w:r>
        <w:rPr>
          <w:b w:val="0"/>
          <w:i w:val="0"/>
          <w:color w:val="1A1A2E"/>
          <w:sz w:val="20"/>
          <w:u w:val="none"/>
        </w:rPr>
        <w:t>At Base Case GMV of ₹123 Cr and a 2.5% blended margin, Vantage Circle would earn ~₹3.1 Cr annually — a reasonable distribution cost for Amazon given the quality and purchase intent of the corporate buyer segment.</w:t>
      </w:r>
    </w:p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Marketing Support — What We Are Requesting</w:t>
      </w:r>
    </w:p>
    <w:p>
      <w:pPr>
        <w:spacing w:after="80"/>
      </w:pPr>
      <w:r>
        <w:rPr>
          <w:b w:val="0"/>
          <w:i w:val="0"/>
          <w:color w:val="555555"/>
          <w:sz w:val="20"/>
          <w:u w:val="none"/>
        </w:rPr>
        <w:t>Beyond margin, we are requesting the following co-marketing support from Amazon India:</w:t>
      </w:r>
    </w:p>
    <w:p>
      <w:pPr>
        <w:pStyle w:val="ListBullet"/>
        <w:spacing w:after="60"/>
      </w:pPr>
      <w:r>
        <w:rPr>
          <w:b w:val="0"/>
          <w:i w:val="0"/>
          <w:color w:val="555555"/>
          <w:sz w:val="21"/>
          <w:u w:val="none"/>
        </w:rPr>
        <w:t>Featured placement on Amazon Business / B2B portal for Vantage Circle employee store</w:t>
      </w:r>
    </w:p>
    <w:p>
      <w:pPr>
        <w:pStyle w:val="ListBullet"/>
        <w:spacing w:after="60"/>
      </w:pPr>
      <w:r>
        <w:rPr>
          <w:b w:val="0"/>
          <w:i w:val="0"/>
          <w:color w:val="555555"/>
          <w:sz w:val="21"/>
          <w:u w:val="none"/>
        </w:rPr>
        <w:t>Access to Amazon-curated product collections for corporate gifting (electronics, fashion, grocery)</w:t>
      </w:r>
    </w:p>
    <w:p>
      <w:pPr>
        <w:pStyle w:val="ListBullet"/>
        <w:spacing w:after="60"/>
      </w:pPr>
      <w:r>
        <w:rPr>
          <w:b w:val="0"/>
          <w:i w:val="0"/>
          <w:color w:val="555555"/>
          <w:sz w:val="21"/>
          <w:u w:val="none"/>
        </w:rPr>
        <w:t>Co-branded campaign support during peak seasons — Independence Day (Aug), Diwali (Nov), Year-end (Dec)</w:t>
      </w:r>
    </w:p>
    <w:p>
      <w:pPr>
        <w:pStyle w:val="ListBullet"/>
        <w:spacing w:after="60"/>
      </w:pPr>
      <w:r>
        <w:rPr>
          <w:b w:val="0"/>
          <w:i w:val="0"/>
          <w:color w:val="555555"/>
          <w:sz w:val="21"/>
          <w:u w:val="none"/>
        </w:rPr>
        <w:t>Amazon account manager or partner success contact for enterprise client onboarding</w:t>
      </w:r>
    </w:p>
    <w:p>
      <w:pPr>
        <w:pStyle w:val="ListBullet"/>
        <w:spacing w:after="60"/>
      </w:pPr>
      <w:r>
        <w:rPr>
          <w:b w:val="0"/>
          <w:i w:val="0"/>
          <w:color w:val="555555"/>
          <w:sz w:val="21"/>
          <w:u w:val="none"/>
        </w:rPr>
        <w:t>Preferential credit or invoice terms for large corporate redemption batches</w:t>
      </w:r>
    </w:p>
    <w:p>
      <w:pPr>
        <w:spacing w:before="280" w:after="100"/>
      </w:pPr>
      <w:r>
        <w:rPr>
          <w:b/>
          <w:i w:val="0"/>
          <w:color w:val="FF6B00"/>
          <w:sz w:val="26"/>
          <w:u w:val="none"/>
        </w:rPr>
        <w:t>Why Amazon India Should Prioritise This Partnership</w:t>
      </w:r>
    </w:p>
    <w:p>
      <w:pPr>
        <w:spacing w:after="100"/>
        <w:ind w:left="283"/>
      </w:pPr>
      <w:r>
        <w:rPr>
          <w:b/>
          <w:color w:val="1A1A2E"/>
          <w:sz w:val="21"/>
        </w:rPr>
        <w:t xml:space="preserve">▸  Captive, high-intent buyers: </w:t>
      </w:r>
      <w:r>
        <w:rPr>
          <w:color w:val="555555"/>
          <w:sz w:val="21"/>
        </w:rPr>
        <w:t>2,98,712 employees already choosing Amazon with reward points — zero acquisition cost for Amazon.</w:t>
      </w:r>
    </w:p>
    <w:p>
      <w:pPr>
        <w:spacing w:after="100"/>
        <w:ind w:left="283"/>
      </w:pPr>
      <w:r>
        <w:rPr>
          <w:b/>
          <w:color w:val="1A1A2E"/>
          <w:sz w:val="21"/>
        </w:rPr>
        <w:t xml:space="preserve">▸  Enterprise distribution at no CAC: </w:t>
      </w:r>
      <w:r>
        <w:rPr>
          <w:color w:val="555555"/>
          <w:sz w:val="21"/>
        </w:rPr>
        <w:t>162 corporate clients across IT/ITES, BFSI, and manufacturing — segments Amazon B2B wants deeper penetration in.</w:t>
      </w:r>
    </w:p>
    <w:p>
      <w:pPr>
        <w:spacing w:after="100"/>
        <w:ind w:left="283"/>
      </w:pPr>
      <w:r>
        <w:rPr>
          <w:b/>
          <w:color w:val="1A1A2E"/>
          <w:sz w:val="21"/>
        </w:rPr>
        <w:t xml:space="preserve">▸  Proven GMV, not projections: </w:t>
      </w:r>
      <w:r>
        <w:rPr>
          <w:color w:val="555555"/>
          <w:sz w:val="21"/>
        </w:rPr>
        <w:t>₹98.76 Cr in FY 25–26 is live and growing. This is not a forecast ask — it recognises existing volume.</w:t>
      </w:r>
    </w:p>
    <w:p>
      <w:pPr>
        <w:spacing w:after="100"/>
        <w:ind w:left="283"/>
      </w:pPr>
      <w:r>
        <w:rPr>
          <w:b/>
          <w:color w:val="1A1A2E"/>
          <w:sz w:val="21"/>
        </w:rPr>
        <w:t xml:space="preserve">▸  Incremental over GVs: </w:t>
      </w:r>
      <w:r>
        <w:rPr>
          <w:color w:val="555555"/>
          <w:sz w:val="21"/>
        </w:rPr>
        <w:t>Direct store experience increases basket size and purchase frequency. Migration to cart = higher AOV and repeat behaviour.</w:t>
      </w:r>
    </w:p>
    <w:p>
      <w:pPr>
        <w:spacing w:after="100"/>
        <w:ind w:left="283"/>
      </w:pPr>
      <w:r>
        <w:rPr>
          <w:b/>
          <w:color w:val="1A1A2E"/>
          <w:sz w:val="21"/>
        </w:rPr>
        <w:t xml:space="preserve">▸  US/Canada precedent: </w:t>
      </w:r>
      <w:r>
        <w:rPr>
          <w:color w:val="555555"/>
          <w:sz w:val="21"/>
        </w:rPr>
        <w:t>VC's existing margin arrangement in North America sets a clear precedent. India is a larger and faster-growing user base.</w:t>
      </w:r>
    </w:p>
    <w:p>
      <w:pPr>
        <w:spacing w:before="60" w:after="6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 w:val="0"/>
          <w:i/>
          <w:color w:val="555555"/>
          <w:sz w:val="17"/>
          <w:u w:val="none"/>
        </w:rPr>
        <w:t>Vantage Circle  |  Confidential  |  FY 2025–26  |  INR Data Only  |  For Amazon India Leadership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