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F07C7">
      <w:pPr>
        <w:pStyle w:val="36"/>
      </w:pPr>
      <w:r>
        <w:t>Breakage Calculation Policy</w:t>
      </w:r>
    </w:p>
    <w:p w14:paraId="67135BFF">
      <w:r>
        <w:rPr>
          <w:b/>
        </w:rPr>
        <w:t xml:space="preserve">Status: </w:t>
      </w:r>
      <w:r>
        <w:t>Internal reference</w:t>
      </w:r>
      <w:r>
        <w:br w:type="textWrapping"/>
      </w:r>
      <w:r>
        <w:rPr>
          <w:b/>
        </w:rPr>
        <w:t xml:space="preserve">Last updated: </w:t>
      </w:r>
      <w:r>
        <w:t>12 June 2026</w:t>
      </w:r>
      <w:r>
        <w:br w:type="textWrapping"/>
      </w:r>
      <w:r>
        <w:rPr>
          <w:b/>
        </w:rPr>
        <w:t xml:space="preserve">Owner: </w:t>
      </w:r>
      <w:r>
        <w:t>Product ( inputs from Finance</w:t>
      </w:r>
      <w:r>
        <w:rPr>
          <w:rFonts w:hint="default"/>
          <w:lang w:val="en-US"/>
        </w:rPr>
        <w:t xml:space="preserve"> required</w:t>
      </w:r>
      <w:r>
        <w:t>)</w:t>
      </w:r>
    </w:p>
    <w:p w14:paraId="3C685492">
      <w:pPr>
        <w:pStyle w:val="2"/>
      </w:pPr>
      <w:r>
        <w:t>1. Background: how a redemption works</w:t>
      </w:r>
    </w:p>
    <w:p w14:paraId="7F91E526">
      <w:r>
        <w:t>When a user redeems points against a gift card, the platform does not immediately purchase the gift card from the vendor. Instead:</w:t>
      </w:r>
    </w:p>
    <w:p w14:paraId="23186D40">
      <w:pPr>
        <w:pStyle w:val="29"/>
      </w:pPr>
      <w:r>
        <w:t>The user places a redemption order using their points.</w:t>
      </w:r>
    </w:p>
    <w:p w14:paraId="219EB0A5">
      <w:pPr>
        <w:pStyle w:val="29"/>
      </w:pPr>
      <w:r>
        <w:t>The platform sends the user a click-to-activate link (via email).</w:t>
      </w:r>
    </w:p>
    <w:p w14:paraId="2786B9D9">
      <w:pPr>
        <w:pStyle w:val="29"/>
      </w:pPr>
      <w:r>
        <w:t>Only when the user clicks the link do we call the vendor API — this is the moment the gift card is actually issued and paid for. This is when the actual redemption happens.</w:t>
      </w:r>
    </w:p>
    <w:p w14:paraId="0E995669">
      <w:r>
        <w:t>A meaningful share of these links are never clicked. Points that are deducted from the user but never result in a vendor purchase — either because the link was never activated, or because no redemption was ever initiated at all — are what we call breakage.</w:t>
      </w:r>
    </w:p>
    <w:p w14:paraId="2AA34DE9">
      <w:pPr>
        <w:pStyle w:val="2"/>
      </w:pPr>
      <w:r>
        <w:t>2. What counts as breakage</w:t>
      </w:r>
    </w:p>
    <w:p w14:paraId="1FE8AAEC">
      <w:r>
        <w:t>There are two distinct sources of breakage: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50589FED">
        <w:tc>
          <w:tcPr>
            <w:tcW w:w="4320" w:type="dxa"/>
          </w:tcPr>
          <w:p w14:paraId="151E3E09">
            <w:pPr>
              <w:spacing w:after="0" w:line="240" w:lineRule="auto"/>
            </w:pPr>
            <w:r>
              <w:t>Source</w:t>
            </w:r>
          </w:p>
        </w:tc>
        <w:tc>
          <w:tcPr>
            <w:tcW w:w="4320" w:type="dxa"/>
          </w:tcPr>
          <w:p w14:paraId="7E1962FC">
            <w:pPr>
              <w:spacing w:after="0" w:line="240" w:lineRule="auto"/>
            </w:pPr>
            <w:r>
              <w:t>Description</w:t>
            </w:r>
          </w:p>
        </w:tc>
      </w:tr>
      <w:tr w14:paraId="53634443">
        <w:tc>
          <w:tcPr>
            <w:tcW w:w="4320" w:type="dxa"/>
          </w:tcPr>
          <w:p w14:paraId="4D494326">
            <w:pPr>
              <w:spacing w:after="0" w:line="240" w:lineRule="auto"/>
            </w:pPr>
            <w:r>
              <w:t>Unactivated links</w:t>
            </w:r>
          </w:p>
        </w:tc>
        <w:tc>
          <w:tcPr>
            <w:tcW w:w="4320" w:type="dxa"/>
          </w:tcPr>
          <w:p w14:paraId="4E0FF5EA">
            <w:pPr>
              <w:spacing w:after="0" w:line="240" w:lineRule="auto"/>
            </w:pPr>
            <w:r>
              <w:t>A redemption order was placed and a click-to-activate link was sent, but the user never clicked it.</w:t>
            </w:r>
          </w:p>
        </w:tc>
      </w:tr>
      <w:tr w14:paraId="4366E615">
        <w:tc>
          <w:tcPr>
            <w:tcW w:w="4320" w:type="dxa"/>
          </w:tcPr>
          <w:p w14:paraId="6C13A174">
            <w:pPr>
              <w:spacing w:after="0" w:line="240" w:lineRule="auto"/>
            </w:pPr>
            <w:r>
              <w:t>Dormant points</w:t>
            </w:r>
          </w:p>
        </w:tc>
        <w:tc>
          <w:tcPr>
            <w:tcW w:w="4320" w:type="dxa"/>
          </w:tcPr>
          <w:p w14:paraId="2098EE54">
            <w:pPr>
              <w:spacing w:after="0" w:line="240" w:lineRule="auto"/>
            </w:pPr>
            <w:r>
              <w:t>Points sitting on the platform that were never redeemed at all — no link was ever generated.</w:t>
            </w:r>
          </w:p>
        </w:tc>
      </w:tr>
    </w:tbl>
    <w:p w14:paraId="615C4CB7">
      <w:r>
        <w:t>Finance applies different recognition rules to each, and the rules also differ by currency.</w:t>
      </w:r>
    </w:p>
    <w:p w14:paraId="2A345F04">
      <w:pPr>
        <w:pStyle w:val="2"/>
      </w:pPr>
      <w:r>
        <w:t>3. INR redemptions (click-to-activate links)</w:t>
      </w:r>
    </w:p>
    <w:p w14:paraId="62DDED43">
      <w:pPr>
        <w:pStyle w:val="23"/>
      </w:pPr>
      <w:r>
        <w:rPr>
          <w:b/>
        </w:rPr>
        <w:t xml:space="preserve">Link validity: </w:t>
      </w:r>
      <w:r>
        <w:t>INR click-to-activate links are valid for 6 months from issuance. After 6 months, the link expires and the redemption is no longer active.</w:t>
      </w:r>
    </w:p>
    <w:p w14:paraId="1ACFD714">
      <w:pPr>
        <w:pStyle w:val="23"/>
      </w:pPr>
      <w:r>
        <w:rPr>
          <w:b/>
        </w:rPr>
        <w:t xml:space="preserve">Revalidation: </w:t>
      </w:r>
      <w:r>
        <w:t>Even after expiry, if a user contacts us and asks for the link to be revalidated, we do revalidate it. Expiry is therefore a soft cutoff from the user's perspective.</w:t>
      </w:r>
    </w:p>
    <w:p w14:paraId="4733F2CB">
      <w:pPr>
        <w:pStyle w:val="23"/>
      </w:pPr>
      <w:r>
        <w:rPr>
          <w:b/>
        </w:rPr>
        <w:t xml:space="preserve">Breakage recognition: </w:t>
      </w:r>
      <w:r>
        <w:t>Finance calculates INR link breakage annually in March, at the close of the financial year (April–March). All links generated in the previous fiscal year that expired without being activated are counted as breakage, at their monetary value.</w:t>
      </w:r>
    </w:p>
    <w:p w14:paraId="436900C3">
      <w:pPr>
        <w:pStyle w:val="23"/>
      </w:pPr>
      <w:r>
        <w:rPr>
          <w:b/>
        </w:rPr>
        <w:t xml:space="preserve">Post-recognition adjustment: </w:t>
      </w:r>
      <w:r>
        <w:t>If a link that was already counted as breakage is later revalidated and activated, the breakage figure is adjusted/reversed — the activation is netted off against breakage.</w:t>
      </w:r>
    </w:p>
    <w:p w14:paraId="56F9589F">
      <w:pPr>
        <w:pStyle w:val="2"/>
      </w:pPr>
      <w:r>
        <w:t>4. Non-INR redemptions (click-to-activate links)</w:t>
      </w:r>
    </w:p>
    <w:p w14:paraId="6D3016FE">
      <w:pPr>
        <w:pStyle w:val="23"/>
      </w:pPr>
      <w:r>
        <w:rPr>
          <w:b/>
        </w:rPr>
        <w:t xml:space="preserve">Link validity: </w:t>
      </w:r>
      <w:r>
        <w:t>For all currencies other than INR, there is no expiry — links remain active indefinitely.</w:t>
      </w:r>
    </w:p>
    <w:p w14:paraId="13254968">
      <w:pPr>
        <w:pStyle w:val="23"/>
      </w:pPr>
      <w:r>
        <w:rPr>
          <w:b/>
        </w:rPr>
        <w:t xml:space="preserve">Breakage recognition: </w:t>
      </w:r>
      <w:r>
        <w:t>A non-INR link is counted as breakage only if it remains unactivated for 2 years. Until the 2-year mark, an inactive link is not breakage — it is simply a pending redemption.</w:t>
      </w:r>
    </w:p>
    <w:p w14:paraId="43156305">
      <w:pPr>
        <w:pStyle w:val="3"/>
      </w:pPr>
      <w:r>
        <w:t>Exception: the March 2026 calculation</w:t>
      </w:r>
    </w:p>
    <w:p w14:paraId="6195B1FE">
      <w:r>
        <w:t>For a period, the redemption emails for USD and other non-INR denominations stated that the links would be valid for 6 months only. On the basis of that communicated validity, a subset of those non-INR links was treated under the 6-month rule and included as breakage in the March 2026 calculation, rather than waiting for the standard 2-year window. This is a known one-time deviation from the standard non-INR policy and should be kept in mind when comparing breakage figures across years.</w:t>
      </w:r>
    </w:p>
    <w:p w14:paraId="4D8DA716">
      <w:pPr>
        <w:pStyle w:val="2"/>
      </w:pPr>
      <w:r>
        <w:t>5. Dormant points (no link ever generated)</w:t>
      </w:r>
    </w:p>
    <w:p w14:paraId="1BF1FB89">
      <w:r>
        <w:t>Separately from link-based breakage, Finance also reviews points that have never been redeemed at all:</w:t>
      </w:r>
    </w:p>
    <w:p w14:paraId="7CF5AF1F">
      <w:pPr>
        <w:pStyle w:val="23"/>
      </w:pPr>
      <w:r>
        <w:t>Points that remain dormant on the platform for 2 years — with no redemption initiated and no link generated — are identified by Finance.</w:t>
      </w:r>
    </w:p>
    <w:p w14:paraId="4FEA463E">
      <w:pPr>
        <w:pStyle w:val="23"/>
      </w:pPr>
      <w:r>
        <w:t>The monetary value of these points is computed and counted as breakage after the 2-year mark.</w:t>
      </w:r>
    </w:p>
    <w:p w14:paraId="7D0963E0">
      <w:r>
        <w:t>This applies across all currencies.</w:t>
      </w:r>
    </w:p>
    <w:p w14:paraId="15C74313">
      <w:pPr>
        <w:pStyle w:val="2"/>
      </w:pPr>
      <w:r>
        <w:t>6. Summary of recognition rules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2A2808BC">
        <w:tc>
          <w:tcPr>
            <w:tcW w:w="2880" w:type="dxa"/>
          </w:tcPr>
          <w:p w14:paraId="7D1FB7D9">
            <w:pPr>
              <w:spacing w:after="0" w:line="240" w:lineRule="auto"/>
            </w:pPr>
            <w:r>
              <w:t>Category</w:t>
            </w:r>
          </w:p>
        </w:tc>
        <w:tc>
          <w:tcPr>
            <w:tcW w:w="2880" w:type="dxa"/>
          </w:tcPr>
          <w:p w14:paraId="4CCB3846">
            <w:pPr>
              <w:spacing w:after="0" w:line="240" w:lineRule="auto"/>
            </w:pPr>
            <w:r>
              <w:t>Validity / window</w:t>
            </w:r>
          </w:p>
        </w:tc>
        <w:tc>
          <w:tcPr>
            <w:tcW w:w="2880" w:type="dxa"/>
          </w:tcPr>
          <w:p w14:paraId="13F44855">
            <w:pPr>
              <w:spacing w:after="0" w:line="240" w:lineRule="auto"/>
            </w:pPr>
            <w:r>
              <w:t>When counted as breakage</w:t>
            </w:r>
          </w:p>
        </w:tc>
      </w:tr>
      <w:tr w14:paraId="4FA1758A">
        <w:tc>
          <w:tcPr>
            <w:tcW w:w="2880" w:type="dxa"/>
          </w:tcPr>
          <w:p w14:paraId="1986E6FA">
            <w:pPr>
              <w:spacing w:after="0" w:line="240" w:lineRule="auto"/>
            </w:pPr>
            <w:r>
              <w:t>INR link, unactivated</w:t>
            </w:r>
          </w:p>
        </w:tc>
        <w:tc>
          <w:tcPr>
            <w:tcW w:w="2880" w:type="dxa"/>
          </w:tcPr>
          <w:p w14:paraId="178BC0C5">
            <w:pPr>
              <w:spacing w:after="0" w:line="240" w:lineRule="auto"/>
            </w:pPr>
            <w:r>
              <w:t>Link valid 6 months (revalidation on request)</w:t>
            </w:r>
          </w:p>
        </w:tc>
        <w:tc>
          <w:tcPr>
            <w:tcW w:w="2880" w:type="dxa"/>
          </w:tcPr>
          <w:p w14:paraId="2E4435FC">
            <w:pPr>
              <w:spacing w:after="0" w:line="240" w:lineRule="auto"/>
            </w:pPr>
            <w:r>
              <w:t>At fiscal year close (March), for links issued in the previous FY that expired unactivated; reversed if later revalidated and activated</w:t>
            </w:r>
          </w:p>
        </w:tc>
      </w:tr>
      <w:tr w14:paraId="5B146FA9">
        <w:tc>
          <w:tcPr>
            <w:tcW w:w="2880" w:type="dxa"/>
          </w:tcPr>
          <w:p w14:paraId="54FCCC33">
            <w:pPr>
              <w:spacing w:after="0" w:line="240" w:lineRule="auto"/>
            </w:pPr>
            <w:r>
              <w:t>Non-INR link, unactivated</w:t>
            </w:r>
          </w:p>
        </w:tc>
        <w:tc>
          <w:tcPr>
            <w:tcW w:w="2880" w:type="dxa"/>
          </w:tcPr>
          <w:p w14:paraId="5FE7258C">
            <w:pPr>
              <w:spacing w:after="0" w:line="240" w:lineRule="auto"/>
            </w:pPr>
            <w:r>
              <w:t>No expiry</w:t>
            </w:r>
          </w:p>
        </w:tc>
        <w:tc>
          <w:tcPr>
            <w:tcW w:w="2880" w:type="dxa"/>
          </w:tcPr>
          <w:p w14:paraId="498FA5A9">
            <w:pPr>
              <w:spacing w:after="0" w:line="240" w:lineRule="auto"/>
            </w:pPr>
            <w:r>
              <w:t>After 2 years of inactivity</w:t>
            </w:r>
          </w:p>
        </w:tc>
      </w:tr>
      <w:tr w14:paraId="14386329">
        <w:tc>
          <w:tcPr>
            <w:tcW w:w="2880" w:type="dxa"/>
          </w:tcPr>
          <w:p w14:paraId="040EECA8">
            <w:pPr>
              <w:spacing w:after="0" w:line="240" w:lineRule="auto"/>
            </w:pPr>
            <w:r>
              <w:t>Non-INR link (6-month-validity email cohort)</w:t>
            </w:r>
          </w:p>
        </w:tc>
        <w:tc>
          <w:tcPr>
            <w:tcW w:w="2880" w:type="dxa"/>
          </w:tcPr>
          <w:p w14:paraId="67BE5817">
            <w:pPr>
              <w:spacing w:after="0" w:line="240" w:lineRule="auto"/>
            </w:pPr>
            <w:r>
              <w:t>6 months, as communicated in email</w:t>
            </w:r>
          </w:p>
        </w:tc>
        <w:tc>
          <w:tcPr>
            <w:tcW w:w="2880" w:type="dxa"/>
          </w:tcPr>
          <w:p w14:paraId="3942AE6C">
            <w:pPr>
              <w:spacing w:after="0" w:line="240" w:lineRule="auto"/>
            </w:pPr>
            <w:r>
              <w:t>One-time inclusion in the March 2026 calculation</w:t>
            </w:r>
          </w:p>
        </w:tc>
      </w:tr>
      <w:tr w14:paraId="71A840E4">
        <w:tc>
          <w:tcPr>
            <w:tcW w:w="2880" w:type="dxa"/>
          </w:tcPr>
          <w:p w14:paraId="19BFFCFF">
            <w:pPr>
              <w:spacing w:after="0" w:line="240" w:lineRule="auto"/>
            </w:pPr>
            <w:r>
              <w:t>Dormant points (no link)</w:t>
            </w:r>
          </w:p>
        </w:tc>
        <w:tc>
          <w:tcPr>
            <w:tcW w:w="2880" w:type="dxa"/>
          </w:tcPr>
          <w:p w14:paraId="11636172">
            <w:pPr>
              <w:spacing w:after="0" w:line="240" w:lineRule="auto"/>
            </w:pPr>
            <w:r>
              <w:t>n/a</w:t>
            </w:r>
          </w:p>
        </w:tc>
        <w:tc>
          <w:tcPr>
            <w:tcW w:w="2880" w:type="dxa"/>
          </w:tcPr>
          <w:p w14:paraId="22584290">
            <w:pPr>
              <w:spacing w:after="0" w:line="240" w:lineRule="auto"/>
            </w:pPr>
            <w:r>
              <w:t>After 2 years of dormancy, at monetary value</w:t>
            </w:r>
          </w:p>
        </w:tc>
      </w:tr>
    </w:tbl>
    <w:p w14:paraId="47FEBB30">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EEB20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WPS_1726640511</cp:lastModifiedBy>
  <dcterms:modified xsi:type="dcterms:W3CDTF">2026-06-12T18:13:19Z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8E1C184C41EF3F09E7FE2B6A286A466C_42</vt:lpwstr>
  </property>
</Properties>
</file>