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6F4" w:rsidRDefault="000516F4" w:rsidP="000516F4">
      <w:pPr>
        <w:rPr>
          <w:b/>
          <w:u w:val="single"/>
        </w:rPr>
      </w:pPr>
      <w:proofErr w:type="gramStart"/>
      <w:r>
        <w:rPr>
          <w:b/>
          <w:u w:val="single"/>
        </w:rPr>
        <w:t>Logical(</w:t>
      </w:r>
      <w:proofErr w:type="gramEnd"/>
      <w:r>
        <w:rPr>
          <w:b/>
          <w:u w:val="single"/>
        </w:rPr>
        <w:t>diagram):</w:t>
      </w:r>
    </w:p>
    <w:p w:rsidR="000516F4" w:rsidRDefault="000516F4" w:rsidP="000516F4">
      <w:r>
        <w:t>We have read through the process about how to complete a GRD</w:t>
      </w:r>
      <w:r w:rsidR="00DD2764">
        <w:t xml:space="preserve"> and the logical diagram was necessary to produce it. We have followed this same process, and in this case, the logical diagram played a big role during the production of the GRD, and therefore we found that it was absolutely necessary that we included the logical diagram even thought it wasn’t explicitly stated. </w:t>
      </w:r>
      <w:r>
        <w:t>You should see this through question (</w:t>
      </w:r>
      <w:proofErr w:type="spellStart"/>
      <w:r>
        <w:t>i</w:t>
      </w:r>
      <w:proofErr w:type="spellEnd"/>
      <w:r>
        <w:t>) and (ii).</w:t>
      </w:r>
    </w:p>
    <w:p w:rsidR="006F28E9" w:rsidRDefault="006F28E9"/>
    <w:sectPr w:rsidR="006F28E9" w:rsidSect="006F28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516F4"/>
    <w:rsid w:val="000516F4"/>
    <w:rsid w:val="006F28E9"/>
    <w:rsid w:val="00DD2764"/>
    <w:rsid w:val="00EE60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6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5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2019-09-09T04:45:00Z</dcterms:created>
  <dcterms:modified xsi:type="dcterms:W3CDTF">2019-09-09T04:47:00Z</dcterms:modified>
</cp:coreProperties>
</file>