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B4EE0" w:rsidRDefault="00000000">
      <w:pPr>
        <w:pStyle w:val="Titre"/>
      </w:pPr>
      <w:r>
        <w:t>Mémo BatiGestion V7 — Suivi budgétaire, gestion financière et contrôle interne</w:t>
      </w:r>
    </w:p>
    <w:p w:rsidR="009B4EE0" w:rsidRDefault="00000000">
      <w:pPr>
        <w:pStyle w:val="Sous-titre"/>
      </w:pPr>
      <w:r>
        <w:t>MY DESTINY BUREAU SERVICE ET DES CONSEILS SARL</w:t>
      </w:r>
    </w:p>
    <w:p w:rsidR="009B4EE0" w:rsidRDefault="00000000">
      <w:r>
        <w:t>9 octobre 2026</w:t>
      </w:r>
    </w:p>
    <w:p w:rsidR="009B4EE0" w:rsidRDefault="00000000">
      <w:r>
        <w:t>Destinataires : Direction Générale et équipe de développement BatiGestion</w:t>
      </w:r>
    </w:p>
    <w:p w:rsidR="009B4EE0" w:rsidRDefault="00000000">
      <w:r>
        <w:t>Application : BatiGestion V7 Enterprise</w:t>
      </w:r>
    </w:p>
    <w:p w:rsidR="009B4EE0" w:rsidRDefault="00000000">
      <w:r>
        <w:t>Objet : Améliorations fonctionnelles à intégrer dans BatiGestion V7 et à préparer pour V8</w:t>
      </w:r>
    </w:p>
    <w:p w:rsidR="009B4EE0" w:rsidRDefault="00000000">
      <w:r>
        <w:t>Statut recommandé : À vérifier et à renforcer. Les recommandations et les contrôles proposés doivent être vérifiés. Les captures ne suffisent pas à établir la conformité des traitements financiers, budgétaires et des mécanismes de contrôle interne.</w:t>
      </w:r>
    </w:p>
    <w:p w:rsidR="009B4EE0" w:rsidRDefault="00000000">
      <w:r>
        <w:br w:type="page"/>
      </w:r>
    </w:p>
    <w:p w:rsidR="009B4EE0" w:rsidRDefault="00000000">
      <w:pPr>
        <w:pStyle w:val="Titre1"/>
      </w:pPr>
      <w:r>
        <w:lastRenderedPageBreak/>
        <w:t>Sommaire</w:t>
      </w:r>
    </w:p>
    <w:p w:rsidR="009B4EE0" w:rsidRDefault="00000000">
      <w:pPr>
        <w:tabs>
          <w:tab w:val="right" w:leader="dot" w:pos="9638"/>
        </w:tabs>
      </w:pPr>
      <w:r>
        <w:t>1. CONTEXTE ET OBJECTIF</w:t>
      </w:r>
      <w:r>
        <w:tab/>
        <w:t>3</w:t>
      </w:r>
    </w:p>
    <w:p w:rsidR="009B4EE0" w:rsidRDefault="00000000">
      <w:pPr>
        <w:tabs>
          <w:tab w:val="right" w:leader="dot" w:pos="9638"/>
        </w:tabs>
      </w:pPr>
      <w:r>
        <w:t>2. Structure budgétaire obligatoire</w:t>
      </w:r>
      <w:r>
        <w:tab/>
        <w:t>3</w:t>
      </w:r>
    </w:p>
    <w:p w:rsidR="009B4EE0" w:rsidRDefault="00000000">
      <w:pPr>
        <w:tabs>
          <w:tab w:val="right" w:leader="dot" w:pos="9638"/>
        </w:tabs>
      </w:pPr>
      <w:r>
        <w:t>3. Calculs automatiques</w:t>
      </w:r>
      <w:r>
        <w:tab/>
        <w:t>4</w:t>
      </w:r>
    </w:p>
    <w:p w:rsidR="009B4EE0" w:rsidRDefault="00000000">
      <w:pPr>
        <w:tabs>
          <w:tab w:val="right" w:leader="dot" w:pos="9638"/>
        </w:tabs>
      </w:pPr>
      <w:r>
        <w:t>4. Circuit financier intégré</w:t>
      </w:r>
      <w:r>
        <w:tab/>
        <w:t>6</w:t>
      </w:r>
    </w:p>
    <w:p w:rsidR="009B4EE0" w:rsidRDefault="00000000">
      <w:pPr>
        <w:tabs>
          <w:tab w:val="right" w:leader="dot" w:pos="9638"/>
        </w:tabs>
      </w:pPr>
      <w:r>
        <w:t>5. Gestion des dépenses</w:t>
      </w:r>
      <w:r>
        <w:tab/>
        <w:t>6</w:t>
      </w:r>
    </w:p>
    <w:p w:rsidR="009B4EE0" w:rsidRDefault="00000000">
      <w:pPr>
        <w:tabs>
          <w:tab w:val="right" w:leader="dot" w:pos="9638"/>
        </w:tabs>
      </w:pPr>
      <w:r>
        <w:t>6. Gestion des avances</w:t>
      </w:r>
      <w:r>
        <w:tab/>
        <w:t>7</w:t>
      </w:r>
    </w:p>
    <w:p w:rsidR="009B4EE0" w:rsidRDefault="00000000">
      <w:pPr>
        <w:tabs>
          <w:tab w:val="right" w:leader="dot" w:pos="9638"/>
        </w:tabs>
      </w:pPr>
      <w:r>
        <w:t>7. Trésorerie et gestion multidevise</w:t>
      </w:r>
      <w:r>
        <w:tab/>
        <w:t>7</w:t>
      </w:r>
    </w:p>
    <w:p w:rsidR="009B4EE0" w:rsidRDefault="00000000">
      <w:pPr>
        <w:tabs>
          <w:tab w:val="right" w:leader="dot" w:pos="9638"/>
        </w:tabs>
      </w:pPr>
      <w:r>
        <w:t>8. Principe de séparation des responsabilités</w:t>
      </w:r>
      <w:r>
        <w:tab/>
        <w:t>8</w:t>
      </w:r>
    </w:p>
    <w:p w:rsidR="009B4EE0" w:rsidRDefault="00000000">
      <w:pPr>
        <w:tabs>
          <w:tab w:val="right" w:leader="dot" w:pos="9638"/>
        </w:tabs>
      </w:pPr>
      <w:r>
        <w:t>9. Workflow de validation</w:t>
      </w:r>
      <w:r>
        <w:tab/>
        <w:t>8</w:t>
      </w:r>
    </w:p>
    <w:p w:rsidR="009B4EE0" w:rsidRDefault="00000000">
      <w:pPr>
        <w:tabs>
          <w:tab w:val="right" w:leader="dot" w:pos="9638"/>
        </w:tabs>
      </w:pPr>
      <w:r>
        <w:t>10. Journal d'audit</w:t>
      </w:r>
      <w:r>
        <w:tab/>
        <w:t>9</w:t>
      </w:r>
    </w:p>
    <w:p w:rsidR="009B4EE0" w:rsidRDefault="00000000">
      <w:pPr>
        <w:tabs>
          <w:tab w:val="right" w:leader="dot" w:pos="9638"/>
        </w:tabs>
      </w:pPr>
      <w:r>
        <w:t>11. Contrôles automatiques</w:t>
      </w:r>
      <w:r>
        <w:tab/>
        <w:t>9</w:t>
      </w:r>
    </w:p>
    <w:p w:rsidR="009B4EE0" w:rsidRDefault="00000000">
      <w:pPr>
        <w:tabs>
          <w:tab w:val="right" w:leader="dot" w:pos="9638"/>
        </w:tabs>
      </w:pPr>
      <w:r>
        <w:t>12. Indicateurs prioritaires</w:t>
      </w:r>
      <w:r>
        <w:tab/>
        <w:t>10</w:t>
      </w:r>
    </w:p>
    <w:p w:rsidR="009B4EE0" w:rsidRDefault="00000000">
      <w:pPr>
        <w:tabs>
          <w:tab w:val="right" w:leader="dot" w:pos="9638"/>
        </w:tabs>
      </w:pPr>
      <w:r>
        <w:t>13. Priorités de développement</w:t>
      </w:r>
      <w:r>
        <w:tab/>
        <w:t>11</w:t>
      </w:r>
    </w:p>
    <w:p w:rsidR="009B4EE0" w:rsidRDefault="00000000">
      <w:pPr>
        <w:tabs>
          <w:tab w:val="right" w:leader="dot" w:pos="9638"/>
        </w:tabs>
      </w:pPr>
      <w:r>
        <w:t>14. Tests de validation à réaliser</w:t>
      </w:r>
      <w:r>
        <w:tab/>
        <w:t>11</w:t>
      </w:r>
    </w:p>
    <w:p w:rsidR="009B4EE0" w:rsidRDefault="00000000">
      <w:pPr>
        <w:tabs>
          <w:tab w:val="right" w:leader="dot" w:pos="9638"/>
        </w:tabs>
      </w:pPr>
      <w:r>
        <w:t>15. CONCLUSION ET DIRECTIVES À L'ÉQUIPE DE DÉVELOPPEMENT</w:t>
      </w:r>
      <w:r>
        <w:tab/>
        <w:t>12</w:t>
      </w:r>
    </w:p>
    <w:p w:rsidR="009B4EE0" w:rsidRDefault="00000000">
      <w:pPr>
        <w:tabs>
          <w:tab w:val="right" w:leader="dot" w:pos="9638"/>
        </w:tabs>
      </w:pPr>
      <w:r>
        <w:t>Annexe  Plan comptable proposé</w:t>
      </w:r>
      <w:r>
        <w:tab/>
        <w:t>14</w:t>
      </w:r>
    </w:p>
    <w:p w:rsidR="009B0B28" w:rsidRDefault="00000000">
      <w:pPr>
        <w:tabs>
          <w:tab w:val="right" w:leader="dot" w:pos="9638"/>
        </w:tabs>
      </w:pPr>
      <w:r>
        <w:t>Annexe  Plan fiscal RDC selon les cas</w:t>
      </w:r>
      <w:r>
        <w:tab/>
        <w:t>20</w:t>
      </w:r>
    </w:p>
    <w:p w:rsidR="009B4EE0" w:rsidRDefault="00000000">
      <w:r>
        <w:br w:type="page"/>
      </w:r>
    </w:p>
    <w:p w:rsidR="009B4EE0" w:rsidRDefault="00000000">
      <w:pPr>
        <w:pStyle w:val="Titre2"/>
      </w:pPr>
      <w:r>
        <w:lastRenderedPageBreak/>
        <w:t>1. CONTEXTE ET OBJECTIF</w:t>
      </w:r>
    </w:p>
    <w:p w:rsidR="009B4EE0" w:rsidRDefault="00000000">
      <w:r>
        <w:t>À la suite de l'examen des captures d'écran de BatiGestion V7, l'application présente déjà une organisation fonctionnelle couvrant notamment les chantiers, les dépenses, les justificatifs, la trésorerie, la comptabilité et l'administration.</w:t>
      </w:r>
    </w:p>
    <w:p w:rsidR="009B4EE0" w:rsidRDefault="00000000">
      <w:r>
        <w:t>Toutefois, les captures ne permettent pas de confirmer le fonctionnement complet des contrôles financiers et budgétaires.</w:t>
      </w:r>
    </w:p>
    <w:p w:rsidR="009B4EE0" w:rsidRDefault="00000000">
      <w:r>
        <w:t>Le présent mémorandum définit les améliorations et les vérifications à effectuer pour garantir :</w:t>
      </w:r>
    </w:p>
    <w:p w:rsidR="009B4EE0" w:rsidRDefault="00000000">
      <w:r>
        <w:t>1. Un suivi budgétaire fiable et actualisé par chantier.</w:t>
      </w:r>
    </w:p>
    <w:p w:rsidR="009B4EE0" w:rsidRDefault="00000000">
      <w:r>
        <w:t>2. Une gestion financière intégrée, de l'engagement jusqu'au paiement.</w:t>
      </w:r>
    </w:p>
    <w:p w:rsidR="009B4EE0" w:rsidRDefault="00000000">
      <w:r>
        <w:t>3. Un contrôle interne rigoureux, avec validation de la Direction Générale.</w:t>
      </w:r>
    </w:p>
    <w:p w:rsidR="009B4EE0" w:rsidRDefault="00000000">
      <w:r>
        <w:t>4. Une traçabilité complète des opérations.</w:t>
      </w:r>
    </w:p>
    <w:p w:rsidR="009B4EE0" w:rsidRDefault="00000000">
      <w:r>
        <w:t>5. Une réduction des risques de dépassement budgétaire, de double paiement et de dépenses non justifiées.</w:t>
      </w:r>
    </w:p>
    <w:p w:rsidR="009B4EE0" w:rsidRDefault="00000000">
      <w:r>
        <w:rPr>
          <w:b/>
        </w:rPr>
        <w:t>Principe fondamental : une opération doit être saisie une seule fois et ses conséquences doivent être automatiquement répercutées dans les modules concernés.</w:t>
      </w:r>
    </w:p>
    <w:p w:rsidR="009B4EE0" w:rsidRDefault="00000000">
      <w:pPr>
        <w:pStyle w:val="Titre1"/>
      </w:pPr>
      <w:r>
        <w:t>PARTIE I — SUIVI BUDGÉTAIRE</w:t>
      </w:r>
    </w:p>
    <w:p w:rsidR="009B4EE0" w:rsidRDefault="00000000">
      <w:pPr>
        <w:pStyle w:val="Titre2"/>
      </w:pPr>
      <w:r>
        <w:t>2. Structure budgétaire obligatoire</w:t>
      </w:r>
    </w:p>
    <w:p w:rsidR="009B4EE0" w:rsidRDefault="00000000">
      <w:r>
        <w:t>Chaque chantier doit disposer d'un budget structuré selon les postes du DQE et les catégories de dépenses.</w:t>
      </w:r>
    </w:p>
    <w:p w:rsidR="009B4EE0" w:rsidRDefault="00000000">
      <w:pPr>
        <w:pStyle w:val="Titre3"/>
      </w:pPr>
      <w:r>
        <w:t>2.1. Informations à enregistrer</w:t>
      </w:r>
    </w:p>
    <w:tbl>
      <w:tblPr>
        <w:tblW w:w="0" w:type="auto"/>
        <w:jc w:val="center"/>
        <w:tblLayout w:type="fixed"/>
        <w:tblLook w:val="04A0" w:firstRow="1" w:lastRow="0" w:firstColumn="1" w:lastColumn="0" w:noHBand="0" w:noVBand="1"/>
      </w:tblPr>
      <w:tblGrid>
        <w:gridCol w:w="3402"/>
        <w:gridCol w:w="6236"/>
      </w:tblGrid>
      <w:tr w:rsidR="009B4EE0">
        <w:trPr>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Champ</w:t>
            </w:r>
          </w:p>
        </w:tc>
        <w:tc>
          <w:tcPr>
            <w:tcW w:w="6236"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Description</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Code chantier</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Identifiant unique du projet</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Désignation</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Nom du chantier</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Client</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Client lié au contrat</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Montant contractuel</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Valeur du marché</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Budget initial</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Budget de revient approuvé</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Budget révisé</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Budget après modifications autorisées</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Dépenses engagées</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Commandes et obligations financières</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Dépenses réalisées</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Charges constatées selon les règles retenues</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Décaissements</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Montants effectivement payés</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Avances non justifiées</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Avances restant à régulariser</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lastRenderedPageBreak/>
              <w:t>Reste à engager</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Budget disponible après engagements</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Prévision à terminaison</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Coût total estimé à l'achèvement</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Marge prévisionnelle</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Marge attendue du chantier</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Marge estimée à terminaison</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Marge actualisée selon les prévisions</w:t>
            </w:r>
          </w:p>
        </w:tc>
      </w:tr>
    </w:tbl>
    <w:p w:rsidR="009B4EE0" w:rsidRDefault="009B4EE0">
      <w:pPr>
        <w:spacing w:after="40"/>
      </w:pPr>
    </w:p>
    <w:p w:rsidR="009B4EE0" w:rsidRDefault="00000000">
      <w:pPr>
        <w:pStyle w:val="Titre3"/>
      </w:pPr>
      <w:r>
        <w:t>2.2. Organisation par postes budgétaires</w:t>
      </w:r>
    </w:p>
    <w:p w:rsidR="009B4EE0" w:rsidRDefault="00000000">
      <w:r>
        <w:t>Chaque chantier doit pouvoir répartir son budget entre :</w:t>
      </w:r>
    </w:p>
    <w:p w:rsidR="009B4EE0" w:rsidRDefault="00000000">
      <w:pPr>
        <w:pStyle w:val="Listepuces"/>
      </w:pPr>
      <w:r>
        <w:t>Études et préparation ;</w:t>
      </w:r>
    </w:p>
    <w:p w:rsidR="009B4EE0" w:rsidRDefault="00000000">
      <w:pPr>
        <w:pStyle w:val="Listepuces"/>
      </w:pPr>
      <w:r>
        <w:t>Installation de chantier ;</w:t>
      </w:r>
    </w:p>
    <w:p w:rsidR="009B4EE0" w:rsidRDefault="00000000">
      <w:pPr>
        <w:pStyle w:val="Listepuces"/>
      </w:pPr>
      <w:r>
        <w:t>Terrassements ;</w:t>
      </w:r>
    </w:p>
    <w:p w:rsidR="009B4EE0" w:rsidRDefault="00000000">
      <w:pPr>
        <w:pStyle w:val="Listepuces"/>
      </w:pPr>
      <w:r>
        <w:t>Génie civil ;</w:t>
      </w:r>
    </w:p>
    <w:p w:rsidR="009B4EE0" w:rsidRDefault="00000000">
      <w:pPr>
        <w:pStyle w:val="Listepuces"/>
      </w:pPr>
      <w:r>
        <w:t>Matériaux et fournitures ;</w:t>
      </w:r>
    </w:p>
    <w:p w:rsidR="009B4EE0" w:rsidRDefault="00000000">
      <w:pPr>
        <w:pStyle w:val="Listepuces"/>
      </w:pPr>
      <w:r>
        <w:t>Main-d'œuvre ;</w:t>
      </w:r>
    </w:p>
    <w:p w:rsidR="009B4EE0" w:rsidRDefault="00000000">
      <w:pPr>
        <w:pStyle w:val="Listepuces"/>
      </w:pPr>
      <w:r>
        <w:t>Équipements et engins ;</w:t>
      </w:r>
    </w:p>
    <w:p w:rsidR="009B4EE0" w:rsidRDefault="00000000">
      <w:pPr>
        <w:pStyle w:val="Listepuces"/>
      </w:pPr>
      <w:r>
        <w:t>Transport et logistique ;</w:t>
      </w:r>
    </w:p>
    <w:p w:rsidR="009B4EE0" w:rsidRDefault="00000000">
      <w:pPr>
        <w:pStyle w:val="Listepuces"/>
      </w:pPr>
      <w:r>
        <w:t>Sous-traitance ;</w:t>
      </w:r>
    </w:p>
    <w:p w:rsidR="009B4EE0" w:rsidRDefault="00000000">
      <w:pPr>
        <w:pStyle w:val="Listepuces"/>
      </w:pPr>
      <w:r>
        <w:t>Frais administratifs imputables ;</w:t>
      </w:r>
    </w:p>
    <w:p w:rsidR="009B4EE0" w:rsidRDefault="00000000">
      <w:pPr>
        <w:pStyle w:val="Listepuces"/>
      </w:pPr>
      <w:r>
        <w:t>Essais et contrôles ;</w:t>
      </w:r>
    </w:p>
    <w:p w:rsidR="009B4EE0" w:rsidRDefault="00000000">
      <w:pPr>
        <w:pStyle w:val="Listepuces"/>
      </w:pPr>
      <w:r>
        <w:t>Imprévus et provisions.</w:t>
      </w:r>
    </w:p>
    <w:p w:rsidR="009B4EE0" w:rsidRDefault="00000000">
      <w:r>
        <w:t>Les postes doivent être configurables selon le DQE du projet.</w:t>
      </w:r>
    </w:p>
    <w:p w:rsidR="009B4EE0" w:rsidRDefault="00000000">
      <w:pPr>
        <w:pStyle w:val="Titre2"/>
      </w:pPr>
      <w:r>
        <w:t>3. Calculs automatiques</w:t>
      </w:r>
    </w:p>
    <w:p w:rsidR="009B4EE0" w:rsidRDefault="00000000">
      <w:r>
        <w:t>BatiGestion doit calculer automatiquement les indicateurs suivants.</w:t>
      </w:r>
    </w:p>
    <w:tbl>
      <w:tblPr>
        <w:tblW w:w="0" w:type="auto"/>
        <w:jc w:val="center"/>
        <w:tblLayout w:type="fixed"/>
        <w:tblLook w:val="04A0" w:firstRow="1" w:lastRow="0" w:firstColumn="1" w:lastColumn="0" w:noHBand="0" w:noVBand="1"/>
      </w:tblPr>
      <w:tblGrid>
        <w:gridCol w:w="3402"/>
        <w:gridCol w:w="6236"/>
      </w:tblGrid>
      <w:tr w:rsidR="009B4EE0">
        <w:trPr>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Indicateur</w:t>
            </w:r>
          </w:p>
        </w:tc>
        <w:tc>
          <w:tcPr>
            <w:tcW w:w="6236"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Formule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Budget disponible à engager</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Budget révisé − engagements ouverts − coûts déjà réalisés non couverts par ces engagements</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Taux d'engagement</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(Engagements ouverts + coûts réalisés non couverts) / Budget révisé × 100</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Taux de consommation budgétaire</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Coûts réalisés / Budget révisé × 100</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Taux de décaissement</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Décaissements / Budget révisé × 100</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Écart budgétaire prévisionnel</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Budget révisé − coût estimé à terminaison</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Marge prévisionnelle</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Montant contractuel HT − coût prévisionnel HT</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Marge prévisionnelle (%)</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Marge prévisionnelle / Montant contractuel HT × 100</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lastRenderedPageBreak/>
              <w:t>Marge estimée à terminaison</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Chiffre d'affaires final estimé HT − coût estimé à terminaison HT</w:t>
            </w:r>
          </w:p>
        </w:tc>
      </w:tr>
    </w:tbl>
    <w:p w:rsidR="009B4EE0" w:rsidRDefault="009B4EE0">
      <w:pPr>
        <w:spacing w:after="40"/>
      </w:pPr>
    </w:p>
    <w:p w:rsidR="009B4EE0" w:rsidRDefault="00000000">
      <w:r>
        <w:rPr>
          <w:b/>
        </w:rPr>
        <w:t>Attention :</w:t>
      </w:r>
      <w:r>
        <w:t xml:space="preserve"> les engagements, les factures et les paiements ne doivent pas être additionnés sans distinction, car une même dépense peut apparaître successivement à ces trois étapes.</w:t>
      </w:r>
    </w:p>
    <w:p w:rsidR="009B4EE0" w:rsidRDefault="00000000">
      <w:pPr>
        <w:pStyle w:val="Titre3"/>
      </w:pPr>
      <w:r>
        <w:t>3.1. Exemple : chantier CT 004_Katanda</w:t>
      </w:r>
    </w:p>
    <w:p w:rsidR="009B4EE0" w:rsidRDefault="00000000">
      <w:r>
        <w:t>D'après la capture d'écran :</w:t>
      </w:r>
    </w:p>
    <w:tbl>
      <w:tblPr>
        <w:tblW w:w="0" w:type="auto"/>
        <w:jc w:val="center"/>
        <w:tblLayout w:type="fixed"/>
        <w:tblLook w:val="04A0" w:firstRow="1" w:lastRow="0" w:firstColumn="1" w:lastColumn="0" w:noHBand="0" w:noVBand="1"/>
      </w:tblPr>
      <w:tblGrid>
        <w:gridCol w:w="3402"/>
        <w:gridCol w:w="6236"/>
      </w:tblGrid>
      <w:tr w:rsidR="009B4EE0">
        <w:trPr>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Indicateur</w:t>
            </w:r>
          </w:p>
        </w:tc>
        <w:tc>
          <w:tcPr>
            <w:tcW w:w="6236"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Valeur affichée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Budget</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1 599 000 USD</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Avancement physique</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0 %</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Décaissements, avances incluses</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101 000 USD</w:t>
            </w:r>
          </w:p>
        </w:tc>
      </w:tr>
    </w:tbl>
    <w:p w:rsidR="009B4EE0" w:rsidRDefault="009B4EE0">
      <w:pPr>
        <w:spacing w:after="40"/>
      </w:pPr>
    </w:p>
    <w:p w:rsidR="009B4EE0" w:rsidRDefault="00000000">
      <w:r>
        <w:t>Le taux de décaissement est :</w:t>
      </w:r>
    </w:p>
    <w:p w:rsidR="009B4EE0" w:rsidRDefault="00000000">
      <w:pPr>
        <w:jc w:val="center"/>
      </w:pPr>
      <w:r>
        <w:t>101 000 ÷ 1 599 000 × 100 = 6,32 %</w:t>
      </w:r>
    </w:p>
    <w:p w:rsidR="009B4EE0" w:rsidRDefault="00000000">
      <w:r>
        <w:t xml:space="preserve">Il existe donc un décaissement représentant </w:t>
      </w:r>
      <w:r>
        <w:rPr>
          <w:b/>
        </w:rPr>
        <w:t>6,32 % du budget</w:t>
      </w:r>
      <w:r>
        <w:t>, alors que l'avancement physique affiché est de 0 %.</w:t>
      </w:r>
    </w:p>
    <w:p w:rsidR="009B4EE0" w:rsidRDefault="00000000">
      <w:r>
        <w:t>Cette situation n'est pas nécessairement anormale : les dépenses peuvent correspondre à des avances, à la mobilisation ou à des achats préparatoires.</w:t>
      </w:r>
    </w:p>
    <w:p w:rsidR="009B4EE0" w:rsidRDefault="00000000">
      <w:r>
        <w:t>En revanche, BatiGestion doit permettre de distinguer ces opérations des coûts correspondant à des travaux exécutés.</w:t>
      </w:r>
    </w:p>
    <w:p w:rsidR="009B4EE0" w:rsidRDefault="00000000">
      <w:pPr>
        <w:pStyle w:val="Titre3"/>
      </w:pPr>
      <w:r>
        <w:t>3.2. Alertes budgétaires</w:t>
      </w:r>
    </w:p>
    <w:p w:rsidR="009B4EE0" w:rsidRDefault="00000000">
      <w:r>
        <w:t>Seuils proposés, configurables par la Direction Générale :</w:t>
      </w:r>
    </w:p>
    <w:tbl>
      <w:tblPr>
        <w:tblW w:w="0" w:type="auto"/>
        <w:jc w:val="center"/>
        <w:tblLayout w:type="fixed"/>
        <w:tblLook w:val="04A0" w:firstRow="1" w:lastRow="0" w:firstColumn="1" w:lastColumn="0" w:noHBand="0" w:noVBand="1"/>
      </w:tblPr>
      <w:tblGrid>
        <w:gridCol w:w="2835"/>
        <w:gridCol w:w="3402"/>
        <w:gridCol w:w="3402"/>
      </w:tblGrid>
      <w:tr w:rsidR="009B4EE0">
        <w:trPr>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Seuil</w:t>
            </w:r>
          </w:p>
        </w:tc>
        <w:tc>
          <w:tcPr>
            <w:tcW w:w="3402"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Alerte</w:t>
            </w:r>
          </w:p>
        </w:tc>
        <w:tc>
          <w:tcPr>
            <w:tcW w:w="3402"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Action</w:t>
            </w:r>
          </w:p>
        </w:tc>
      </w:tr>
      <w:tr w:rsidR="009B4EE0">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70 % du budget engagé</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Information</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Notification au responsable du chantier</w:t>
            </w:r>
          </w:p>
        </w:tc>
      </w:tr>
      <w:tr w:rsidR="009B4EE0">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85 %</w:t>
            </w:r>
          </w:p>
        </w:tc>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Vigilance</w:t>
            </w:r>
          </w:p>
        </w:tc>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Vérification du reste à faire</w:t>
            </w:r>
          </w:p>
        </w:tc>
      </w:tr>
      <w:tr w:rsidR="009B4EE0">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95 %</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Critique</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Validation financière renforcée</w:t>
            </w:r>
          </w:p>
        </w:tc>
      </w:tr>
      <w:tr w:rsidR="009B4EE0">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100 %</w:t>
            </w:r>
          </w:p>
        </w:tc>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Dépassement potentiel</w:t>
            </w:r>
          </w:p>
        </w:tc>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Blocage des nouveaux engagements, sauf dérogation DG</w:t>
            </w:r>
          </w:p>
        </w:tc>
      </w:tr>
    </w:tbl>
    <w:p w:rsidR="009B4EE0" w:rsidRDefault="009B4EE0">
      <w:pPr>
        <w:spacing w:after="40"/>
      </w:pPr>
    </w:p>
    <w:p w:rsidR="009B4EE0" w:rsidRDefault="00000000">
      <w:r>
        <w:t>Ces seuils doivent s'appliquer aux engagements budgétaires et non uniquement aux paiements.</w:t>
      </w:r>
    </w:p>
    <w:p w:rsidR="009B4EE0" w:rsidRDefault="00000000">
      <w:pPr>
        <w:pStyle w:val="Titre1"/>
      </w:pPr>
      <w:r>
        <w:lastRenderedPageBreak/>
        <w:t>PARTIE II — GESTION FINANCIÈRE</w:t>
      </w:r>
    </w:p>
    <w:p w:rsidR="009B4EE0" w:rsidRDefault="00000000">
      <w:pPr>
        <w:pStyle w:val="Titre2"/>
      </w:pPr>
      <w:r>
        <w:t>4. Circuit financier intégré</w:t>
      </w:r>
    </w:p>
    <w:p w:rsidR="009B4EE0" w:rsidRDefault="00000000">
      <w:r>
        <w:t>BatiGestion doit gérer le cycle suivant :</w:t>
      </w:r>
    </w:p>
    <w:p w:rsidR="009B4EE0" w:rsidRDefault="00000000">
      <w:r>
        <w:rPr>
          <w:b/>
        </w:rPr>
        <w:t>Demande d'achat → Validation → Bon de commande → Réception → Facture fournisseur → Validation de paiement → Paiement → Justification → Comptabilisation → Rapprochement bancaire.</w:t>
      </w:r>
    </w:p>
    <w:p w:rsidR="009B4EE0" w:rsidRDefault="00000000">
      <w:r>
        <w:t>Chaque étape doit conserver son historique.</w:t>
      </w:r>
    </w:p>
    <w:p w:rsidR="009B4EE0" w:rsidRDefault="00000000">
      <w:r>
        <w:t>Une facture peut faire l'objet de plusieurs paiements partiels, sans créer plusieurs factures.</w:t>
      </w:r>
    </w:p>
    <w:p w:rsidR="009B4EE0" w:rsidRDefault="00000000">
      <w:pPr>
        <w:pStyle w:val="Titre2"/>
      </w:pPr>
      <w:r>
        <w:t>5. Gestion des dépenses</w:t>
      </w:r>
    </w:p>
    <w:p w:rsidR="009B4EE0" w:rsidRDefault="00000000">
      <w:r>
        <w:t>Chaque dépense doit comporter les informations suivantes :</w:t>
      </w:r>
    </w:p>
    <w:tbl>
      <w:tblPr>
        <w:tblW w:w="0" w:type="auto"/>
        <w:jc w:val="center"/>
        <w:tblLayout w:type="fixed"/>
        <w:tblLook w:val="04A0" w:firstRow="1" w:lastRow="0" w:firstColumn="1" w:lastColumn="0" w:noHBand="0" w:noVBand="1"/>
      </w:tblPr>
      <w:tblGrid>
        <w:gridCol w:w="3402"/>
        <w:gridCol w:w="6236"/>
      </w:tblGrid>
      <w:tr w:rsidR="009B4EE0">
        <w:trPr>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Champ</w:t>
            </w:r>
          </w:p>
        </w:tc>
        <w:tc>
          <w:tcPr>
            <w:tcW w:w="6236"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Obligation</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Référence unique</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Obligatoire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Date</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Obligatoire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Chantier ou centre de coûts</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Obligatoire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Poste budgétaire</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Obligatoire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Bénéficiaire</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Obligatoire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Nature de la dépense</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Obligatoire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Montant et devise</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Obligatoire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Mode de paiement</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Obligatoire lors du paiement</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Justificatif</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Obligatoire selon la politique interne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Statut de validation</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Obligatoire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Utilisateur créateur</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Automatique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Historique des modifications</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Automatique</w:t>
            </w:r>
          </w:p>
        </w:tc>
      </w:tr>
    </w:tbl>
    <w:p w:rsidR="009B4EE0" w:rsidRDefault="009B4EE0">
      <w:pPr>
        <w:spacing w:after="40"/>
      </w:pPr>
    </w:p>
    <w:p w:rsidR="009B4EE0" w:rsidRDefault="00000000">
      <w:pPr>
        <w:pStyle w:val="Titre3"/>
      </w:pPr>
      <w:r>
        <w:t>5.1. Statuts des dépenses</w:t>
      </w:r>
    </w:p>
    <w:p w:rsidR="009B4EE0" w:rsidRDefault="00000000">
      <w:r>
        <w:t>Les statuts recommandés sont :</w:t>
      </w:r>
    </w:p>
    <w:p w:rsidR="009B4EE0" w:rsidRDefault="00000000">
      <w:r>
        <w:rPr>
          <w:b/>
        </w:rPr>
        <w:t>Brouillon → Soumise → Approuvée → À payer → Partiellement payée → Payée.</w:t>
      </w:r>
    </w:p>
    <w:p w:rsidR="009B4EE0" w:rsidRDefault="00000000">
      <w:r>
        <w:t>Le statut documentaire doit être indépendant :</w:t>
      </w:r>
    </w:p>
    <w:p w:rsidR="009B4EE0" w:rsidRDefault="00000000">
      <w:r>
        <w:rPr>
          <w:b/>
        </w:rPr>
        <w:t>Non justifiée → Partiellement justifiée → Justifiée → Justificatif rejeté.</w:t>
      </w:r>
    </w:p>
    <w:p w:rsidR="009B4EE0" w:rsidRDefault="00000000">
      <w:r>
        <w:lastRenderedPageBreak/>
        <w:t>Ainsi, une dépense peut être payée sans être encore justifiée, mais elle doit apparaître dans les alertes de régularisation.</w:t>
      </w:r>
    </w:p>
    <w:p w:rsidR="009B4EE0" w:rsidRDefault="00000000">
      <w:pPr>
        <w:pStyle w:val="Titre2"/>
      </w:pPr>
      <w:r>
        <w:t>6. Gestion des avances</w:t>
      </w:r>
    </w:p>
    <w:p w:rsidR="009B4EE0" w:rsidRDefault="00000000">
      <w:r>
        <w:t>Les avances doivent être suivies séparément des dépenses définitives.</w:t>
      </w:r>
    </w:p>
    <w:p w:rsidR="009B4EE0" w:rsidRDefault="00000000">
      <w:pPr>
        <w:pStyle w:val="Titre2"/>
      </w:pPr>
      <w:r>
        <w:t>Exemple</w:t>
      </w:r>
    </w:p>
    <w:p w:rsidR="009B4EE0" w:rsidRDefault="00000000">
      <w:r>
        <w:t xml:space="preserve">Un chef de chantier reçoit une avance de </w:t>
      </w:r>
      <w:r>
        <w:rPr>
          <w:b/>
        </w:rPr>
        <w:t>5 000 USD</w:t>
      </w:r>
      <w:r>
        <w:t>.</w:t>
      </w:r>
    </w:p>
    <w:p w:rsidR="009B4EE0" w:rsidRDefault="00000000">
      <w:r>
        <w:t xml:space="preserve">Il présente ensuite des justificatifs acceptés pour </w:t>
      </w:r>
      <w:r>
        <w:rPr>
          <w:b/>
        </w:rPr>
        <w:t>3 500 USD</w:t>
      </w:r>
      <w:r>
        <w:t>.</w:t>
      </w:r>
    </w:p>
    <w:tbl>
      <w:tblPr>
        <w:tblW w:w="0" w:type="auto"/>
        <w:jc w:val="center"/>
        <w:tblLayout w:type="fixed"/>
        <w:tblLook w:val="04A0" w:firstRow="1" w:lastRow="0" w:firstColumn="1" w:lastColumn="0" w:noHBand="0" w:noVBand="1"/>
      </w:tblPr>
      <w:tblGrid>
        <w:gridCol w:w="3402"/>
        <w:gridCol w:w="6236"/>
      </w:tblGrid>
      <w:tr w:rsidR="009B4EE0">
        <w:trPr>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Opération</w:t>
            </w:r>
          </w:p>
        </w:tc>
        <w:tc>
          <w:tcPr>
            <w:tcW w:w="6236"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Montant</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Avance accordée</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5 000 USD</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Justificatifs validés</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3 500 USD</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Solde à justifier ou restituer</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1 500 USD</w:t>
            </w:r>
          </w:p>
        </w:tc>
      </w:tr>
    </w:tbl>
    <w:p w:rsidR="009B4EE0" w:rsidRDefault="009B4EE0">
      <w:pPr>
        <w:spacing w:after="40"/>
      </w:pPr>
    </w:p>
    <w:p w:rsidR="009B4EE0" w:rsidRDefault="00000000">
      <w:r>
        <w:t>BatiGestion doit afficher automatiquement le solde de 1 500 USD.</w:t>
      </w:r>
    </w:p>
    <w:p w:rsidR="009B4EE0" w:rsidRDefault="00000000">
      <w:r>
        <w:t>Il doit également empêcher que l'avance initiale et les dépenses justifiées soient comptabilisées deux fois comme charges.</w:t>
      </w:r>
    </w:p>
    <w:p w:rsidR="009B4EE0" w:rsidRDefault="00000000">
      <w:pPr>
        <w:pStyle w:val="Titre2"/>
      </w:pPr>
      <w:r>
        <w:t>7. Trésorerie et gestion multidevise</w:t>
      </w:r>
    </w:p>
    <w:p w:rsidR="009B4EE0" w:rsidRDefault="00000000">
      <w:r>
        <w:t>BatiGestion doit gérer plusieurs comptes bancaires et caisses, notamment en USD et CDF.</w:t>
      </w:r>
    </w:p>
    <w:p w:rsidR="009B4EE0" w:rsidRDefault="00000000">
      <w:r>
        <w:t>Fonctionnalités attendues :</w:t>
      </w:r>
    </w:p>
    <w:p w:rsidR="009B4EE0" w:rsidRDefault="00000000">
      <w:pPr>
        <w:pStyle w:val="Listepuces"/>
      </w:pPr>
      <w:r>
        <w:t>Solde de chaque banque et caisse ;</w:t>
      </w:r>
    </w:p>
    <w:p w:rsidR="009B4EE0" w:rsidRDefault="00000000">
      <w:pPr>
        <w:pStyle w:val="Listepuces"/>
      </w:pPr>
      <w:r>
        <w:t>Encaissements et décaissements ;</w:t>
      </w:r>
    </w:p>
    <w:p w:rsidR="009B4EE0" w:rsidRDefault="00000000">
      <w:pPr>
        <w:pStyle w:val="Listepuces"/>
      </w:pPr>
      <w:r>
        <w:t>Paiements partiels ;</w:t>
      </w:r>
    </w:p>
    <w:p w:rsidR="009B4EE0" w:rsidRDefault="00000000">
      <w:pPr>
        <w:pStyle w:val="Listepuces"/>
      </w:pPr>
      <w:r>
        <w:t>Virements entre comptes ;</w:t>
      </w:r>
    </w:p>
    <w:p w:rsidR="009B4EE0" w:rsidRDefault="00000000">
      <w:pPr>
        <w:pStyle w:val="Listepuces"/>
      </w:pPr>
      <w:r>
        <w:t>Prévisions de trésorerie ;</w:t>
      </w:r>
    </w:p>
    <w:p w:rsidR="009B4EE0" w:rsidRDefault="00000000">
      <w:pPr>
        <w:pStyle w:val="Listepuces"/>
      </w:pPr>
      <w:r>
        <w:t>Échéanciers fournisseurs ;</w:t>
      </w:r>
    </w:p>
    <w:p w:rsidR="009B4EE0" w:rsidRDefault="00000000">
      <w:pPr>
        <w:pStyle w:val="Listepuces"/>
      </w:pPr>
      <w:r>
        <w:t>Créances clients ;</w:t>
      </w:r>
    </w:p>
    <w:p w:rsidR="009B4EE0" w:rsidRDefault="00000000">
      <w:pPr>
        <w:pStyle w:val="Listepuces"/>
      </w:pPr>
      <w:r>
        <w:t>Rapprochement bancaire ;</w:t>
      </w:r>
    </w:p>
    <w:p w:rsidR="009B4EE0" w:rsidRDefault="00000000">
      <w:pPr>
        <w:pStyle w:val="Listepuces"/>
      </w:pPr>
      <w:r>
        <w:t>Historique des taux de change ;</w:t>
      </w:r>
    </w:p>
    <w:p w:rsidR="009B4EE0" w:rsidRDefault="00000000">
      <w:pPr>
        <w:pStyle w:val="Listepuces"/>
      </w:pPr>
      <w:r>
        <w:t>Gestion des avances et garanties.</w:t>
      </w:r>
    </w:p>
    <w:p w:rsidR="009B4EE0" w:rsidRDefault="00000000">
      <w:r>
        <w:t>Les soldes doivent rester distincts par devise. Un total consolidé ne doit être affiché que lorsqu'un taux de conversion explicite est appliqué.</w:t>
      </w:r>
    </w:p>
    <w:p w:rsidR="009B4EE0" w:rsidRDefault="00000000">
      <w:pPr>
        <w:pStyle w:val="Titre3"/>
      </w:pPr>
      <w:r>
        <w:t>7.1. Contrôle des transferts internes</w:t>
      </w:r>
    </w:p>
    <w:p w:rsidR="009B4EE0" w:rsidRDefault="00000000">
      <w:r>
        <w:t>Exemple : transfert de 10 000 USD de la banque vers la caisse.</w:t>
      </w:r>
    </w:p>
    <w:p w:rsidR="009B4EE0" w:rsidRDefault="00000000">
      <w:r>
        <w:t>Le système doit enregistrer :</w:t>
      </w:r>
    </w:p>
    <w:p w:rsidR="009B4EE0" w:rsidRDefault="00000000">
      <w:pPr>
        <w:pStyle w:val="Listepuces"/>
      </w:pPr>
      <w:r>
        <w:t>Banque : −10 000 USD ;</w:t>
      </w:r>
    </w:p>
    <w:p w:rsidR="009B4EE0" w:rsidRDefault="00000000">
      <w:pPr>
        <w:pStyle w:val="Listepuces"/>
      </w:pPr>
      <w:r>
        <w:t>Caisse : +10 000 USD ;</w:t>
      </w:r>
    </w:p>
    <w:p w:rsidR="009B4EE0" w:rsidRDefault="00000000">
      <w:pPr>
        <w:pStyle w:val="Listepuces"/>
      </w:pPr>
      <w:r>
        <w:t xml:space="preserve">Variation de trésorerie consolidée : </w:t>
      </w:r>
      <w:r>
        <w:rPr>
          <w:b/>
        </w:rPr>
        <w:t>0 USD</w:t>
      </w:r>
      <w:r>
        <w:t>.</w:t>
      </w:r>
    </w:p>
    <w:p w:rsidR="009B4EE0" w:rsidRDefault="00000000">
      <w:r>
        <w:lastRenderedPageBreak/>
        <w:t>Ce transfert ne constitue ni une charge ni un produit.</w:t>
      </w:r>
    </w:p>
    <w:p w:rsidR="009B4EE0" w:rsidRDefault="00000000">
      <w:pPr>
        <w:pStyle w:val="Titre1"/>
      </w:pPr>
      <w:r>
        <w:t>PARTIE III — CONTRÔLE INTERNE</w:t>
      </w:r>
    </w:p>
    <w:p w:rsidR="009B4EE0" w:rsidRDefault="00000000">
      <w:pPr>
        <w:pStyle w:val="Titre2"/>
      </w:pPr>
      <w:r>
        <w:t>8. Principe de séparation des responsabilités</w:t>
      </w:r>
    </w:p>
    <w:p w:rsidR="009B4EE0" w:rsidRDefault="00000000">
      <w:r>
        <w:t>Une même personne ne devrait pas pouvoir créer, approuver et exécuter seule une opération financière sensible.</w:t>
      </w:r>
    </w:p>
    <w:p w:rsidR="009B4EE0" w:rsidRDefault="00000000">
      <w:r>
        <w:t>BatiGestion doit appliquer une séparation des fonctions adaptée à l'organisation de MY DESTINY.</w:t>
      </w:r>
    </w:p>
    <w:p w:rsidR="009B4EE0" w:rsidRDefault="00000000">
      <w:pPr>
        <w:pStyle w:val="Titre3"/>
      </w:pPr>
      <w:r>
        <w:t>8.1. Matrice de responsabilités proposée</w:t>
      </w:r>
    </w:p>
    <w:tbl>
      <w:tblPr>
        <w:tblW w:w="0" w:type="auto"/>
        <w:jc w:val="center"/>
        <w:tblLayout w:type="fixed"/>
        <w:tblLook w:val="04A0" w:firstRow="1" w:lastRow="0" w:firstColumn="1" w:lastColumn="0" w:noHBand="0" w:noVBand="1"/>
      </w:tblPr>
      <w:tblGrid>
        <w:gridCol w:w="2324"/>
        <w:gridCol w:w="2041"/>
        <w:gridCol w:w="2268"/>
        <w:gridCol w:w="3005"/>
      </w:tblGrid>
      <w:tr w:rsidR="009B4EE0">
        <w:trPr>
          <w:tblHeade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Opération</w:t>
            </w:r>
          </w:p>
        </w:tc>
        <w:tc>
          <w:tcPr>
            <w:tcW w:w="2041"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Création</w:t>
            </w:r>
          </w:p>
        </w:tc>
        <w:tc>
          <w:tcPr>
            <w:tcW w:w="2268"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Contrôle</w:t>
            </w:r>
          </w:p>
        </w:tc>
        <w:tc>
          <w:tcPr>
            <w:tcW w:w="3005"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Validation finale</w:t>
            </w:r>
          </w:p>
        </w:tc>
      </w:tr>
      <w:tr w:rsidR="009B4EE0">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Demande d'achat</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Demandeur</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Responsable chantier</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Autorité habilitée</w:t>
            </w:r>
          </w:p>
        </w:tc>
      </w:tr>
      <w:tr w:rsidR="009B4EE0">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Bon de commande</w:t>
            </w:r>
          </w:p>
        </w:tc>
        <w:tc>
          <w:tcPr>
            <w:tcW w:w="2041"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Achats</w:t>
            </w:r>
          </w:p>
        </w:tc>
        <w:tc>
          <w:tcPr>
            <w:tcW w:w="2268"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Finances</w:t>
            </w:r>
          </w:p>
        </w:tc>
        <w:tc>
          <w:tcPr>
            <w:tcW w:w="3005"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Selon plafond</w:t>
            </w:r>
          </w:p>
        </w:tc>
      </w:tr>
      <w:tr w:rsidR="009B4EE0">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Réception</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Magasinier</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Responsable chantier</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Responsable habilité</w:t>
            </w:r>
          </w:p>
        </w:tc>
      </w:tr>
      <w:tr w:rsidR="009B4EE0">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Facture fournisseur</w:t>
            </w:r>
          </w:p>
        </w:tc>
        <w:tc>
          <w:tcPr>
            <w:tcW w:w="2041"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Comptabilité</w:t>
            </w:r>
          </w:p>
        </w:tc>
        <w:tc>
          <w:tcPr>
            <w:tcW w:w="2268"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Finances</w:t>
            </w:r>
          </w:p>
        </w:tc>
        <w:tc>
          <w:tcPr>
            <w:tcW w:w="3005"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Selon plafond</w:t>
            </w:r>
          </w:p>
        </w:tc>
      </w:tr>
      <w:tr w:rsidR="009B4EE0">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Paiement</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Trésorerie</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Finances</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DG ou délégataire</w:t>
            </w:r>
          </w:p>
        </w:tc>
      </w:tr>
      <w:tr w:rsidR="009B4EE0">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Avance de fonds</w:t>
            </w:r>
          </w:p>
        </w:tc>
        <w:tc>
          <w:tcPr>
            <w:tcW w:w="2041"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Demandeur</w:t>
            </w:r>
          </w:p>
        </w:tc>
        <w:tc>
          <w:tcPr>
            <w:tcW w:w="2268"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Finances</w:t>
            </w:r>
          </w:p>
        </w:tc>
        <w:tc>
          <w:tcPr>
            <w:tcW w:w="3005"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Selon plafond</w:t>
            </w:r>
          </w:p>
        </w:tc>
      </w:tr>
      <w:tr w:rsidR="009B4EE0">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Justificatif</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Bénéficiaire</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Comptabilité</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Responsable habilité</w:t>
            </w:r>
          </w:p>
        </w:tc>
      </w:tr>
      <w:tr w:rsidR="009B4EE0">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Révision budgétaire</w:t>
            </w:r>
          </w:p>
        </w:tc>
        <w:tc>
          <w:tcPr>
            <w:tcW w:w="2041"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Chef de projet</w:t>
            </w:r>
          </w:p>
        </w:tc>
        <w:tc>
          <w:tcPr>
            <w:tcW w:w="2268"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Finances</w:t>
            </w:r>
          </w:p>
        </w:tc>
        <w:tc>
          <w:tcPr>
            <w:tcW w:w="3005"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DG</w:t>
            </w:r>
          </w:p>
        </w:tc>
      </w:tr>
      <w:tr w:rsidR="009B4EE0">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Création utilisateur</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Administrateur</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Responsable désigné</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DG pour accès sensibles</w:t>
            </w:r>
          </w:p>
        </w:tc>
      </w:tr>
    </w:tbl>
    <w:p w:rsidR="009B4EE0" w:rsidRDefault="009B4EE0">
      <w:pPr>
        <w:spacing w:after="40"/>
      </w:pPr>
    </w:p>
    <w:p w:rsidR="009B4EE0" w:rsidRDefault="00000000">
      <w:r>
        <w:t>Cette matrice est une proposition de configuration, à valider par la Direction Générale.</w:t>
      </w:r>
    </w:p>
    <w:p w:rsidR="009B4EE0" w:rsidRDefault="00000000">
      <w:pPr>
        <w:pStyle w:val="Titre2"/>
      </w:pPr>
      <w:r>
        <w:t>9. Workflow de validation</w:t>
      </w:r>
    </w:p>
    <w:p w:rsidR="009B4EE0" w:rsidRDefault="00000000">
      <w:r>
        <w:t>Le circuit prévu dans BatiGestion peut être structuré autour des niveaux :</w:t>
      </w:r>
    </w:p>
    <w:p w:rsidR="009B4EE0" w:rsidRDefault="00000000">
      <w:r>
        <w:rPr>
          <w:b/>
        </w:rPr>
        <w:t>N0 → N1 → N2 → N3 → DG.</w:t>
      </w:r>
    </w:p>
    <w:p w:rsidR="009B4EE0" w:rsidRDefault="00000000">
      <w:r>
        <w:t>Chaque opération doit être dirigée vers le niveau compétent selon :</w:t>
      </w:r>
    </w:p>
    <w:p w:rsidR="009B4EE0" w:rsidRDefault="00000000">
      <w:r>
        <w:t>1. Son montant ;</w:t>
      </w:r>
    </w:p>
    <w:p w:rsidR="009B4EE0" w:rsidRDefault="00000000">
      <w:r>
        <w:t>2. Sa nature ;</w:t>
      </w:r>
    </w:p>
    <w:p w:rsidR="009B4EE0" w:rsidRDefault="00000000">
      <w:r>
        <w:t>3. Le chantier concerné ;</w:t>
      </w:r>
    </w:p>
    <w:p w:rsidR="009B4EE0" w:rsidRDefault="00000000">
      <w:r>
        <w:t>4. Le budget disponible ;</w:t>
      </w:r>
    </w:p>
    <w:p w:rsidR="009B4EE0" w:rsidRDefault="00000000">
      <w:r>
        <w:t>5. Le niveau de risque ;</w:t>
      </w:r>
    </w:p>
    <w:p w:rsidR="009B4EE0" w:rsidRDefault="00000000">
      <w:r>
        <w:t>6. Les délégations de pouvoir actives.</w:t>
      </w:r>
    </w:p>
    <w:p w:rsidR="009B4EE0" w:rsidRDefault="00000000">
      <w:pPr>
        <w:pStyle w:val="Titre3"/>
      </w:pPr>
      <w:r>
        <w:lastRenderedPageBreak/>
        <w:t>9.1. Règles impératives</w:t>
      </w:r>
    </w:p>
    <w:p w:rsidR="009B4EE0" w:rsidRDefault="00000000">
      <w:pPr>
        <w:pStyle w:val="Listepuces"/>
      </w:pPr>
      <w:r>
        <w:t>Aucun paiement ne doit être exécuté sans autorisation appropriée.</w:t>
      </w:r>
    </w:p>
    <w:p w:rsidR="009B4EE0" w:rsidRDefault="00000000">
      <w:pPr>
        <w:pStyle w:val="Listepuces"/>
      </w:pPr>
      <w:r>
        <w:t>Un utilisateur ne doit pas approuver sa propre demande lorsque la séparation des fonctions est requise.</w:t>
      </w:r>
    </w:p>
    <w:p w:rsidR="009B4EE0" w:rsidRDefault="00000000">
      <w:pPr>
        <w:pStyle w:val="Listepuces"/>
      </w:pPr>
      <w:r>
        <w:t>Une modification du montant après approbation doit déclencher une nouvelle validation.</w:t>
      </w:r>
    </w:p>
    <w:p w:rsidR="009B4EE0" w:rsidRDefault="00000000">
      <w:pPr>
        <w:pStyle w:val="Listepuces"/>
      </w:pPr>
      <w:r>
        <w:t>Un dépassement budgétaire doit nécessiter une autorisation spécifique.</w:t>
      </w:r>
    </w:p>
    <w:p w:rsidR="009B4EE0" w:rsidRDefault="00000000">
      <w:pPr>
        <w:pStyle w:val="Listepuces"/>
      </w:pPr>
      <w:r>
        <w:t>Une délégation doit être limitée dans le temps et enregistrée.</w:t>
      </w:r>
    </w:p>
    <w:p w:rsidR="009B4EE0" w:rsidRDefault="00000000">
      <w:pPr>
        <w:pStyle w:val="Listepuces"/>
      </w:pPr>
      <w:r>
        <w:t>Les validations doivent être horodatées.</w:t>
      </w:r>
    </w:p>
    <w:p w:rsidR="009B4EE0" w:rsidRDefault="00000000">
      <w:pPr>
        <w:pStyle w:val="Listepuces"/>
      </w:pPr>
      <w:r>
        <w:t>Les opérations annulées doivent conserver leur historique.</w:t>
      </w:r>
    </w:p>
    <w:p w:rsidR="009B4EE0" w:rsidRDefault="00000000">
      <w:pPr>
        <w:pStyle w:val="Titre2"/>
      </w:pPr>
      <w:r>
        <w:t>10. Journal d'audit</w:t>
      </w:r>
    </w:p>
    <w:p w:rsidR="009B4EE0" w:rsidRDefault="00000000">
      <w:r>
        <w:t>Le menu « Journal d'audit » est visible dans BatiGestion.</w:t>
      </w:r>
    </w:p>
    <w:p w:rsidR="009B4EE0" w:rsidRDefault="00000000">
      <w:r>
        <w:t>Il faut maintenant vérifier que les événements suivants sont effectivement enregistrés :</w:t>
      </w:r>
    </w:p>
    <w:tbl>
      <w:tblPr>
        <w:tblW w:w="0" w:type="auto"/>
        <w:jc w:val="center"/>
        <w:tblLayout w:type="fixed"/>
        <w:tblLook w:val="04A0" w:firstRow="1" w:lastRow="0" w:firstColumn="1" w:lastColumn="0" w:noHBand="0" w:noVBand="1"/>
      </w:tblPr>
      <w:tblGrid>
        <w:gridCol w:w="3402"/>
        <w:gridCol w:w="6236"/>
      </w:tblGrid>
      <w:tr w:rsidR="009B4EE0">
        <w:trPr>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Événement</w:t>
            </w:r>
          </w:p>
        </w:tc>
        <w:tc>
          <w:tcPr>
            <w:tcW w:w="6236"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Informations à conserver</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Connexion</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Utilisateur, date, résultat</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Création</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Auteur, date, objet</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Modification</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Ancienne et nouvelle valeur</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Validation</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Validateur, niveau, date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Rejet</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Auteur, motif, date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Paiement</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Référence, montant, bénéficiaire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Annulation</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Auteur, motif, autorisation</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Changement de droits</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Ancien et nouveau rôle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Révision budgétaire</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Ancien budget, nouveau budget, approbation</w:t>
            </w:r>
          </w:p>
        </w:tc>
      </w:tr>
    </w:tbl>
    <w:p w:rsidR="009B4EE0" w:rsidRDefault="009B4EE0">
      <w:pPr>
        <w:spacing w:after="40"/>
      </w:pPr>
    </w:p>
    <w:p w:rsidR="009B4EE0" w:rsidRDefault="00000000">
      <w:r>
        <w:t>Le journal doit être protégé contre les modifications par les utilisateurs ordinaires.</w:t>
      </w:r>
    </w:p>
    <w:p w:rsidR="009B4EE0" w:rsidRDefault="00000000">
      <w:pPr>
        <w:pStyle w:val="Titre2"/>
      </w:pPr>
      <w:r>
        <w:t>11. Contrôles automatiques</w:t>
      </w:r>
    </w:p>
    <w:p w:rsidR="009B4EE0" w:rsidRDefault="00000000">
      <w:r>
        <w:t>BatiGestion doit détecter les situations suivantes :</w:t>
      </w:r>
    </w:p>
    <w:tbl>
      <w:tblPr>
        <w:tblW w:w="0" w:type="auto"/>
        <w:jc w:val="center"/>
        <w:tblLayout w:type="fixed"/>
        <w:tblLook w:val="04A0" w:firstRow="1" w:lastRow="0" w:firstColumn="1" w:lastColumn="0" w:noHBand="0" w:noVBand="1"/>
      </w:tblPr>
      <w:tblGrid>
        <w:gridCol w:w="3402"/>
        <w:gridCol w:w="6236"/>
      </w:tblGrid>
      <w:tr w:rsidR="009B4EE0">
        <w:trPr>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Risque</w:t>
            </w:r>
          </w:p>
        </w:tc>
        <w:tc>
          <w:tcPr>
            <w:tcW w:w="6236"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Contrôle attendu</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Double paiement</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Détection des factures et références déjà réglées</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Dépense sans budget</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Alerte ou blocage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Dépense sans chantier</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Imputation obligatoire à un centre de coûts</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lastRenderedPageBreak/>
              <w:t>Avance non justifiée</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Alerte après délai configuré</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Paiement non autorisé</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Blocage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Dépassement budgétaire</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Validation exceptionnelle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Fournisseur en doublon</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Vérification des identifiants</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Modification après validation</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Réapprobation</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Solde bancaire insuffisant</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Alerte et contrôle de trésorerie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Modification des droits</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Journalisation et autorisation</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Facture sans réception</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Exception contrôlée et documentée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Justificatif utilisé plusieurs fois</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Détection des doublons</w:t>
            </w:r>
          </w:p>
        </w:tc>
      </w:tr>
    </w:tbl>
    <w:p w:rsidR="009B4EE0" w:rsidRDefault="009B4EE0">
      <w:pPr>
        <w:spacing w:after="40"/>
      </w:pPr>
    </w:p>
    <w:p w:rsidR="009B4EE0" w:rsidRDefault="00000000">
      <w:pPr>
        <w:pStyle w:val="Titre1"/>
      </w:pPr>
      <w:r>
        <w:t>PARTIE IV — TABLEAU DE BORD DE LA DIRECTION GÉNÉRALE</w:t>
      </w:r>
    </w:p>
    <w:p w:rsidR="009B4EE0" w:rsidRDefault="00000000">
      <w:pPr>
        <w:pStyle w:val="Titre2"/>
      </w:pPr>
      <w:r>
        <w:t>12. Indicateurs prioritaires</w:t>
      </w:r>
    </w:p>
    <w:p w:rsidR="009B4EE0" w:rsidRDefault="00000000">
      <w:r>
        <w:t>Le tableau de bord du DG doit présenter une synthèse financière de l'entreprise et de chaque chantier.</w:t>
      </w:r>
    </w:p>
    <w:tbl>
      <w:tblPr>
        <w:tblW w:w="0" w:type="auto"/>
        <w:jc w:val="center"/>
        <w:tblLayout w:type="fixed"/>
        <w:tblLook w:val="04A0" w:firstRow="1" w:lastRow="0" w:firstColumn="1" w:lastColumn="0" w:noHBand="0" w:noVBand="1"/>
      </w:tblPr>
      <w:tblGrid>
        <w:gridCol w:w="3402"/>
        <w:gridCol w:w="6236"/>
      </w:tblGrid>
      <w:tr w:rsidR="009B4EE0">
        <w:trPr>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Indicateur</w:t>
            </w:r>
          </w:p>
        </w:tc>
        <w:tc>
          <w:tcPr>
            <w:tcW w:w="6236"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Présentation</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Montant total des marchés</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USD</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Budget total des chantiers</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USD</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Engagements en cours</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USD</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Coûts réalisés</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USD</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Décaissements</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USD/CDF/EUR</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Trésorerie disponible</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Par banque et devise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Créances clients</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Par échéance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Dettes fournisseurs</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Par échéance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Avances non justifiées</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Par bénéficiaire</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Dépenses en attente de validation</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Nombre et montant</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lastRenderedPageBreak/>
              <w:t>Dépassements budgétaires</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Par chantier</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Marges prévisionnelles</w:t>
            </w:r>
          </w:p>
        </w:tc>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Par chantier</w:t>
            </w:r>
          </w:p>
        </w:tc>
      </w:tr>
      <w:tr w:rsidR="009B4EE0">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Prévisions de trésorerie</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30, 60 et 90 jours</w:t>
            </w:r>
          </w:p>
        </w:tc>
      </w:tr>
    </w:tbl>
    <w:p w:rsidR="009B4EE0" w:rsidRDefault="009B4EE0">
      <w:pPr>
        <w:spacing w:after="40"/>
      </w:pPr>
    </w:p>
    <w:p w:rsidR="009B4EE0" w:rsidRDefault="00000000">
      <w:r>
        <w:t>Chaque indicateur doit permettre d'accéder aux opérations qui composent son montant.</w:t>
      </w:r>
    </w:p>
    <w:p w:rsidR="009B4EE0" w:rsidRDefault="00000000">
      <w:pPr>
        <w:pStyle w:val="Titre1"/>
      </w:pPr>
      <w:r>
        <w:t>PARTIE V — PLAN DE CORRECTION POUR BATIGESTION</w:t>
      </w:r>
    </w:p>
    <w:p w:rsidR="009B4EE0" w:rsidRDefault="00000000">
      <w:pPr>
        <w:pStyle w:val="Titre2"/>
      </w:pPr>
      <w:r>
        <w:t>13. Priorités de développement</w:t>
      </w:r>
    </w:p>
    <w:tbl>
      <w:tblPr>
        <w:tblW w:w="0" w:type="auto"/>
        <w:jc w:val="center"/>
        <w:tblLayout w:type="fixed"/>
        <w:tblLook w:val="04A0" w:firstRow="1" w:lastRow="0" w:firstColumn="1" w:lastColumn="0" w:noHBand="0" w:noVBand="1"/>
      </w:tblPr>
      <w:tblGrid>
        <w:gridCol w:w="1361"/>
        <w:gridCol w:w="3515"/>
        <w:gridCol w:w="4762"/>
      </w:tblGrid>
      <w:tr w:rsidR="009B4EE0">
        <w:trPr>
          <w:tblHeade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Priorité</w:t>
            </w:r>
          </w:p>
        </w:tc>
        <w:tc>
          <w:tcPr>
            <w:tcW w:w="3515"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Fonctionnalité</w:t>
            </w:r>
          </w:p>
        </w:tc>
        <w:tc>
          <w:tcPr>
            <w:tcW w:w="4762" w:type="dxa"/>
            <w:tcBorders>
              <w:top w:val="single" w:sz="4" w:space="0" w:color="D9D9D9"/>
              <w:left w:val="single" w:sz="4" w:space="0" w:color="D9D9D9"/>
              <w:bottom w:val="single" w:sz="4" w:space="0" w:color="D9D9D9"/>
              <w:right w:val="single" w:sz="4" w:space="0" w:color="D9D9D9"/>
            </w:tcBorders>
            <w:shd w:val="clear" w:color="auto" w:fill="E2E8EF"/>
            <w:tcMar>
              <w:top w:w="90" w:type="dxa"/>
              <w:left w:w="90" w:type="dxa"/>
              <w:bottom w:w="90" w:type="dxa"/>
              <w:right w:w="90" w:type="dxa"/>
            </w:tcMar>
            <w:vAlign w:val="center"/>
          </w:tcPr>
          <w:p w:rsidR="009B4EE0" w:rsidRDefault="00000000">
            <w:pPr>
              <w:spacing w:before="60" w:after="60"/>
            </w:pPr>
            <w:r>
              <w:rPr>
                <w:b/>
                <w:sz w:val="20"/>
              </w:rPr>
              <w:t>Résultat attendu</w:t>
            </w:r>
          </w:p>
        </w:tc>
      </w:tr>
      <w:tr w:rsidR="009B4EE0">
        <w:trP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P0 — Critique</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Intégration budget–achats–dépenses</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Éliminer les doubles comptages</w:t>
            </w:r>
          </w:p>
        </w:tc>
      </w:tr>
      <w:tr w:rsidR="009B4EE0">
        <w:trP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P0 — Critique</w:t>
            </w:r>
          </w:p>
        </w:tc>
        <w:tc>
          <w:tcPr>
            <w:tcW w:w="3515"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Autorisation des paiements</w:t>
            </w:r>
          </w:p>
        </w:tc>
        <w:tc>
          <w:tcPr>
            <w:tcW w:w="476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Empêcher les paiements non validés</w:t>
            </w:r>
          </w:p>
        </w:tc>
      </w:tr>
      <w:tr w:rsidR="009B4EE0">
        <w:trP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P0 — Critique</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Traçabilité des modifications</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Historique financier fiable</w:t>
            </w:r>
          </w:p>
        </w:tc>
      </w:tr>
      <w:tr w:rsidR="009B4EE0">
        <w:trP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P0 — Critique</w:t>
            </w:r>
          </w:p>
        </w:tc>
        <w:tc>
          <w:tcPr>
            <w:tcW w:w="3515"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Séparation des fonctions</w:t>
            </w:r>
          </w:p>
        </w:tc>
        <w:tc>
          <w:tcPr>
            <w:tcW w:w="476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Réduire les risques de fraude</w:t>
            </w:r>
          </w:p>
        </w:tc>
      </w:tr>
      <w:tr w:rsidR="009B4EE0">
        <w:trP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P1 — Élevée</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Budget initial et révisé</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Suivi des écarts</w:t>
            </w:r>
          </w:p>
        </w:tc>
      </w:tr>
      <w:tr w:rsidR="009B4EE0">
        <w:trP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P1 — Élevée</w:t>
            </w:r>
          </w:p>
        </w:tc>
        <w:tc>
          <w:tcPr>
            <w:tcW w:w="3515"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Suivi des engagements</w:t>
            </w:r>
          </w:p>
        </w:tc>
        <w:tc>
          <w:tcPr>
            <w:tcW w:w="476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Anticipation des dépassements</w:t>
            </w:r>
          </w:p>
        </w:tc>
      </w:tr>
      <w:tr w:rsidR="009B4EE0">
        <w:trP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P1 — Élevée</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Gestion des avances</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Soldes à justifier</w:t>
            </w:r>
          </w:p>
        </w:tc>
      </w:tr>
      <w:tr w:rsidR="009B4EE0">
        <w:trP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P1 — Élevée</w:t>
            </w:r>
          </w:p>
        </w:tc>
        <w:tc>
          <w:tcPr>
            <w:tcW w:w="3515"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Rapprochement bancaire</w:t>
            </w:r>
          </w:p>
        </w:tc>
        <w:tc>
          <w:tcPr>
            <w:tcW w:w="476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Fiabilité des soldes</w:t>
            </w:r>
          </w:p>
        </w:tc>
      </w:tr>
      <w:tr w:rsidR="009B4EE0">
        <w:trP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P1 — Élevée</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Suivi des coûts par chantier</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Rentabilité actualisée</w:t>
            </w:r>
          </w:p>
        </w:tc>
      </w:tr>
      <w:tr w:rsidR="009B4EE0">
        <w:trP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P2 — Importante</w:t>
            </w:r>
          </w:p>
        </w:tc>
        <w:tc>
          <w:tcPr>
            <w:tcW w:w="3515"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Prévisions de trésorerie</w:t>
            </w:r>
          </w:p>
        </w:tc>
        <w:tc>
          <w:tcPr>
            <w:tcW w:w="476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Planification financière</w:t>
            </w:r>
          </w:p>
        </w:tc>
      </w:tr>
      <w:tr w:rsidR="009B4EE0">
        <w:trP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P2 — Importante</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Alertes automatiques</w:t>
            </w:r>
          </w:p>
        </w:tc>
        <w:tc>
          <w:tcPr>
            <w:tcW w:w="476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rsidR="009B4EE0" w:rsidRDefault="00000000">
            <w:pPr>
              <w:spacing w:before="60" w:after="60"/>
            </w:pPr>
            <w:r>
              <w:rPr>
                <w:sz w:val="20"/>
              </w:rPr>
              <w:t>Gestion proactive</w:t>
            </w:r>
          </w:p>
        </w:tc>
      </w:tr>
      <w:tr w:rsidR="009B4EE0">
        <w:trP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P2 — Importante</w:t>
            </w:r>
          </w:p>
        </w:tc>
        <w:tc>
          <w:tcPr>
            <w:tcW w:w="3515"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Tableaux de bord DG</w:t>
            </w:r>
          </w:p>
        </w:tc>
        <w:tc>
          <w:tcPr>
            <w:tcW w:w="4762"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rsidR="009B4EE0" w:rsidRDefault="00000000">
            <w:pPr>
              <w:spacing w:before="60" w:after="60"/>
            </w:pPr>
            <w:r>
              <w:rPr>
                <w:sz w:val="20"/>
              </w:rPr>
              <w:t>Pilotage centralisé</w:t>
            </w:r>
          </w:p>
        </w:tc>
      </w:tr>
    </w:tbl>
    <w:p w:rsidR="009B4EE0" w:rsidRDefault="009B4EE0">
      <w:pPr>
        <w:spacing w:after="40"/>
      </w:pPr>
    </w:p>
    <w:p w:rsidR="009B4EE0" w:rsidRDefault="00000000">
      <w:pPr>
        <w:pStyle w:val="Titre2"/>
      </w:pPr>
      <w:r>
        <w:t>14. Tests de validation à réaliser</w:t>
      </w:r>
    </w:p>
    <w:p w:rsidR="009B4EE0" w:rsidRDefault="00000000">
      <w:r>
        <w:t>Avant de considérer les modules comme opérationnels, l'équipe de développement doit exécuter les scénarios suivants.</w:t>
      </w:r>
    </w:p>
    <w:p w:rsidR="009B4EE0" w:rsidRDefault="00000000">
      <w:r>
        <w:rPr>
          <w:b/>
        </w:rPr>
        <w:lastRenderedPageBreak/>
        <w:t>Test 1 — Dépassement budgétaire</w:t>
      </w:r>
    </w:p>
    <w:p w:rsidR="009B4EE0" w:rsidRDefault="00000000">
      <w:r>
        <w:t>Créer un poste budgétaire de 10 000 USD, puis soumettre une commande de 11 000 USD.</w:t>
      </w:r>
    </w:p>
    <w:p w:rsidR="009B4EE0" w:rsidRDefault="00000000">
      <w:r>
        <w:rPr>
          <w:b/>
        </w:rPr>
        <w:t>Résultat attendu :</w:t>
      </w:r>
      <w:r>
        <w:t xml:space="preserve"> blocage ou demande de dérogation, conformément aux règles configurées.</w:t>
      </w:r>
    </w:p>
    <w:p w:rsidR="009B4EE0" w:rsidRDefault="00000000">
      <w:r>
        <w:rPr>
          <w:b/>
        </w:rPr>
        <w:t>Test 2 — Paiement partiel</w:t>
      </w:r>
    </w:p>
    <w:p w:rsidR="009B4EE0" w:rsidRDefault="00000000">
      <w:r>
        <w:t>Créer une facture fournisseur de 10 000 USD, payer 4 000 USD puis 6 000 USD.</w:t>
      </w:r>
    </w:p>
    <w:p w:rsidR="009B4EE0" w:rsidRDefault="00000000">
      <w:r>
        <w:rPr>
          <w:b/>
        </w:rPr>
        <w:t>Résultat attendu :</w:t>
      </w:r>
      <w:r>
        <w:t xml:space="preserve"> solde successif de 6 000 USD puis 0 USD, sans double comptabilisation.</w:t>
      </w:r>
    </w:p>
    <w:p w:rsidR="009B4EE0" w:rsidRDefault="00000000">
      <w:r>
        <w:rPr>
          <w:b/>
        </w:rPr>
        <w:t>Test 3 — Avance à justifier</w:t>
      </w:r>
    </w:p>
    <w:p w:rsidR="009B4EE0" w:rsidRDefault="00000000">
      <w:r>
        <w:t>Accorder une avance de 5 000 USD, accepter 3 500 USD de justificatifs.</w:t>
      </w:r>
    </w:p>
    <w:p w:rsidR="009B4EE0" w:rsidRDefault="00000000">
      <w:r>
        <w:rPr>
          <w:b/>
        </w:rPr>
        <w:t>Résultat attendu :</w:t>
      </w:r>
      <w:r>
        <w:t xml:space="preserve"> solde de 1 500 USD à justifier ou restituer.</w:t>
      </w:r>
    </w:p>
    <w:p w:rsidR="009B4EE0" w:rsidRDefault="00000000">
      <w:r>
        <w:rPr>
          <w:b/>
        </w:rPr>
        <w:t>Test 4 — Validation DG</w:t>
      </w:r>
    </w:p>
    <w:p w:rsidR="009B4EE0" w:rsidRDefault="00000000">
      <w:r>
        <w:t>Soumettre un paiement nécessitant l'approbation du DG.</w:t>
      </w:r>
    </w:p>
    <w:p w:rsidR="009B4EE0" w:rsidRDefault="00000000">
      <w:r>
        <w:rPr>
          <w:b/>
        </w:rPr>
        <w:t>Résultat attendu :</w:t>
      </w:r>
      <w:r>
        <w:t xml:space="preserve"> paiement impossible avant validation par un utilisateur habilité.</w:t>
      </w:r>
    </w:p>
    <w:p w:rsidR="009B4EE0" w:rsidRDefault="00000000">
      <w:r>
        <w:rPr>
          <w:b/>
        </w:rPr>
        <w:t>Test 5 — Modification après approbation</w:t>
      </w:r>
    </w:p>
    <w:p w:rsidR="009B4EE0" w:rsidRDefault="00000000">
      <w:r>
        <w:t>Approuver une dépense de 2 000 USD, puis tenter de modifier son montant à 3 000 USD.</w:t>
      </w:r>
    </w:p>
    <w:p w:rsidR="009B4EE0" w:rsidRDefault="00000000">
      <w:r>
        <w:rPr>
          <w:b/>
        </w:rPr>
        <w:t>Résultat attendu :</w:t>
      </w:r>
      <w:r>
        <w:t xml:space="preserve"> nouvelle demande d'approbation et conservation de l'historique.</w:t>
      </w:r>
    </w:p>
    <w:p w:rsidR="009B4EE0" w:rsidRDefault="00000000">
      <w:r>
        <w:rPr>
          <w:b/>
        </w:rPr>
        <w:t>Test 6 — Transfert de trésorerie</w:t>
      </w:r>
    </w:p>
    <w:p w:rsidR="009B4EE0" w:rsidRDefault="00000000">
      <w:r>
        <w:t>Transférer 10 000 USD d'un compte bancaire vers une caisse.</w:t>
      </w:r>
    </w:p>
    <w:p w:rsidR="009B4EE0" w:rsidRDefault="00000000">
      <w:r>
        <w:rPr>
          <w:b/>
        </w:rPr>
        <w:t>Résultat attendu :</w:t>
      </w:r>
      <w:r>
        <w:t xml:space="preserve"> aucun changement du solde de trésorerie consolidée.</w:t>
      </w:r>
    </w:p>
    <w:p w:rsidR="009B4EE0" w:rsidRDefault="00000000">
      <w:pPr>
        <w:pStyle w:val="Titre2"/>
      </w:pPr>
      <w:r>
        <w:t>15. CONCLUSION ET DIRECTIVES À L'ÉQUIPE DE DÉVELOPPEMENT</w:t>
      </w:r>
    </w:p>
    <w:p w:rsidR="009B4EE0" w:rsidRDefault="00000000">
      <w:r>
        <w:t>La priorité de BatiGestion ne doit pas être uniquement d'ajouter des menus ou des écrans supplémentaires.</w:t>
      </w:r>
    </w:p>
    <w:p w:rsidR="009B4EE0" w:rsidRDefault="00000000">
      <w:r>
        <w:rPr>
          <w:b/>
        </w:rPr>
        <w:t>L'objectif est de garantir la cohérence, la sécurité et la traçabilité des opérations entre les modules.</w:t>
      </w:r>
    </w:p>
    <w:p w:rsidR="009B4EE0" w:rsidRDefault="00000000">
      <w:r>
        <w:t>Je recommande de retenir les directives suivantes :</w:t>
      </w:r>
    </w:p>
    <w:p w:rsidR="009B4EE0" w:rsidRDefault="00000000">
      <w:r>
        <w:rPr>
          <w:b/>
        </w:rPr>
        <w:t>Directive 1 :</w:t>
      </w:r>
      <w:r>
        <w:t xml:space="preserve"> Chaque chantier doit disposer d'un budget initial, d'un budget révisé et d'un suivi des engagements, coûts et décaissements.</w:t>
      </w:r>
    </w:p>
    <w:p w:rsidR="009B4EE0" w:rsidRDefault="00000000">
      <w:r>
        <w:rPr>
          <w:b/>
        </w:rPr>
        <w:t>Directive 2 :</w:t>
      </w:r>
      <w:r>
        <w:t xml:space="preserve"> Les achats, dépenses, factures, paiements et écritures comptables doivent être reliés sans double saisie.</w:t>
      </w:r>
    </w:p>
    <w:p w:rsidR="009B4EE0" w:rsidRDefault="00000000">
      <w:r>
        <w:rPr>
          <w:b/>
        </w:rPr>
        <w:t>Directive 3 :</w:t>
      </w:r>
      <w:r>
        <w:t xml:space="preserve"> Chaque dépense doit être imputée à un chantier ou à un centre de coûts.</w:t>
      </w:r>
    </w:p>
    <w:p w:rsidR="009B4EE0" w:rsidRDefault="00000000">
      <w:r>
        <w:rPr>
          <w:b/>
        </w:rPr>
        <w:t>Directive 4 :</w:t>
      </w:r>
      <w:r>
        <w:t xml:space="preserve"> Les avances doivent être suivies jusqu'à leur justification ou restitution complète.</w:t>
      </w:r>
    </w:p>
    <w:p w:rsidR="009B4EE0" w:rsidRDefault="00000000">
      <w:r>
        <w:rPr>
          <w:b/>
        </w:rPr>
        <w:t>Directive 5 :</w:t>
      </w:r>
      <w:r>
        <w:t xml:space="preserve"> Les validations doivent respecter les pouvoirs attribués aux utilisateurs, avec contrôle renforcé pour les opérations sensibles.</w:t>
      </w:r>
    </w:p>
    <w:p w:rsidR="009B4EE0" w:rsidRDefault="00000000">
      <w:r>
        <w:rPr>
          <w:b/>
        </w:rPr>
        <w:t>Directive 6 :</w:t>
      </w:r>
      <w:r>
        <w:t xml:space="preserve"> La Direction Générale doit disposer d'une visibilité complète sur les budgets, engagements, paiements, marges et risques financiers.</w:t>
      </w:r>
    </w:p>
    <w:p w:rsidR="009B4EE0" w:rsidRDefault="00000000">
      <w:r>
        <w:rPr>
          <w:b/>
        </w:rPr>
        <w:t>Directive 7 :</w:t>
      </w:r>
      <w:r>
        <w:t xml:space="preserve"> Le journal d'audit doit permettre de reconstituer l'historique de chaque opération.</w:t>
      </w:r>
    </w:p>
    <w:p w:rsidR="009B4EE0" w:rsidRDefault="00000000">
      <w:r>
        <w:rPr>
          <w:b/>
        </w:rPr>
        <w:t>Directive 8 :</w:t>
      </w:r>
      <w:r>
        <w:t xml:space="preserve"> Les contrôles essentiels doivent être exécutés côté serveur et non uniquement dans l'interface Streamlit.</w:t>
      </w:r>
    </w:p>
    <w:p w:rsidR="009B4EE0" w:rsidRDefault="00000000">
      <w:r>
        <w:rPr>
          <w:b/>
        </w:rPr>
        <w:lastRenderedPageBreak/>
        <w:t>Directive 9 :</w:t>
      </w:r>
      <w:r>
        <w:t xml:space="preserve"> Toute correction doit préserver les données historiques et les fonctionnalités déjà développées.</w:t>
      </w:r>
    </w:p>
    <w:p w:rsidR="009B4EE0" w:rsidRDefault="00000000">
      <w:r>
        <w:rPr>
          <w:b/>
        </w:rPr>
        <w:t>Directive 10 :</w:t>
      </w:r>
      <w:r>
        <w:t xml:space="preserve"> Les six tests financiers et de contrôle interne ci-dessus doivent être réussis avant validation définitive.</w:t>
      </w:r>
    </w:p>
    <w:p w:rsidR="009B4EE0" w:rsidRDefault="00000000">
      <w:pPr>
        <w:pStyle w:val="Titre3"/>
      </w:pPr>
      <w:r>
        <w:t>Avis technique</w:t>
      </w:r>
    </w:p>
    <w:p w:rsidR="009B4EE0" w:rsidRDefault="00000000">
      <w:r>
        <w:rPr>
          <w:b/>
        </w:rPr>
        <w:t>Statut recommandé : À vérifier et à renforcer.</w:t>
      </w:r>
    </w:p>
    <w:p w:rsidR="009B4EE0" w:rsidRDefault="00000000">
      <w:r>
        <w:t>Les captures démontrent l'existence d'une interface de gestion intégrée, mais ne suffisent pas à établir la conformité des traitements financiers, budgétaires et des mécanismes de contrôle interne.</w:t>
      </w:r>
    </w:p>
    <w:p w:rsidR="009B4EE0" w:rsidRDefault="00000000">
      <w:r>
        <w:t xml:space="preserve">Ce mémorandum constitue donc un </w:t>
      </w:r>
      <w:r>
        <w:rPr>
          <w:b/>
        </w:rPr>
        <w:t>cahier de corrections et de vérifications</w:t>
      </w:r>
      <w:r>
        <w:t>, et non un constat que les fonctionnalités sont absentes ou défaillantes.</w:t>
      </w:r>
    </w:p>
    <w:p w:rsidR="009B4EE0" w:rsidRDefault="00000000">
      <w:r>
        <w:rPr>
          <w:b/>
        </w:rPr>
        <w:t>Objectif final : faire de BatiGestion un ERP BTP intégré, sécurisé et adapté aux processus réels de MY DESTINY, avec un niveau de contrôle comparable aux ERP professionnels comme Odoo.</w:t>
      </w:r>
    </w:p>
    <w:p w:rsidR="009B4EE0" w:rsidRDefault="00000000">
      <w:r>
        <w:br w:type="page"/>
      </w:r>
    </w:p>
    <w:p w:rsidR="009B4EE0" w:rsidRDefault="00000000">
      <w:pPr>
        <w:pStyle w:val="Titre1"/>
      </w:pPr>
      <w:r>
        <w:lastRenderedPageBreak/>
        <w:t>Annexe  Plan comptable proposé pour MY DESTINY</w:t>
      </w:r>
    </w:p>
    <w:p w:rsidR="009B4EE0" w:rsidRDefault="00000000">
      <w:r>
        <w:t>Cette annexe propose une sélection de comptes SYSCOHADA révisé pour les activités de BTP et de conseil. Elle sert de base au paramétrage de BatiGestion. Elle ne constitue ni le plan officiel exhaustif ni une confirmation des comptes actuellement utilisés par MY DESTINY.</w:t>
      </w:r>
    </w:p>
    <w:p w:rsidR="009B4EE0" w:rsidRDefault="00000000">
      <w:r>
        <w:t>À vérifier et à valider par le responsable comptable : subdivisions, devise de tenue des comptes, régime fiscal applicable en RDC, méthodes de stocks, contrats pluri-exercices et correspondance avec la balance existante. Les montants ci-après sont des exemples, sans résultats d’audit.</w:t>
      </w:r>
    </w:p>
    <w:p w:rsidR="009B4EE0" w:rsidRDefault="00000000">
      <w:pPr>
        <w:pStyle w:val="Titre2"/>
      </w:pPr>
      <w:r>
        <w:t>A1  Ressources durables immobilisations et stocks</w:t>
      </w:r>
    </w:p>
    <w:tbl>
      <w:tblPr>
        <w:tblW w:w="0" w:type="auto"/>
        <w:tblLayout w:type="fixed"/>
        <w:tblLook w:val="04A0" w:firstRow="1" w:lastRow="0" w:firstColumn="1" w:lastColumn="0" w:noHBand="0" w:noVBand="1"/>
      </w:tblPr>
      <w:tblGrid>
        <w:gridCol w:w="1191"/>
        <w:gridCol w:w="3798"/>
        <w:gridCol w:w="4649"/>
      </w:tblGrid>
      <w:tr w:rsidR="009B4EE0">
        <w:trPr>
          <w:cantSplit/>
          <w:tblHeader/>
        </w:trPr>
        <w:tc>
          <w:tcPr>
            <w:tcW w:w="1191" w:type="dxa"/>
            <w:tcBorders>
              <w:top w:val="single" w:sz="4" w:space="0" w:color="D9D9D9"/>
              <w:left w:val="single" w:sz="4" w:space="0" w:color="D9D9D9"/>
              <w:bottom w:val="single" w:sz="4" w:space="0" w:color="D9D9D9"/>
              <w:right w:val="single" w:sz="4" w:space="0" w:color="D9D9D9"/>
            </w:tcBorders>
            <w:shd w:val="clear" w:color="auto" w:fill="E2E8EF"/>
            <w:tcMar>
              <w:top w:w="85" w:type="dxa"/>
              <w:left w:w="85" w:type="dxa"/>
              <w:bottom w:w="85" w:type="dxa"/>
              <w:right w:w="85" w:type="dxa"/>
            </w:tcMar>
            <w:vAlign w:val="center"/>
          </w:tcPr>
          <w:p w:rsidR="009B4EE0" w:rsidRDefault="00000000">
            <w:pPr>
              <w:spacing w:before="60" w:after="60"/>
            </w:pPr>
            <w:r>
              <w:rPr>
                <w:b/>
                <w:sz w:val="20"/>
              </w:rPr>
              <w:t>Compte</w:t>
            </w:r>
          </w:p>
        </w:tc>
        <w:tc>
          <w:tcPr>
            <w:tcW w:w="3798" w:type="dxa"/>
            <w:tcBorders>
              <w:top w:val="single" w:sz="4" w:space="0" w:color="D9D9D9"/>
              <w:left w:val="single" w:sz="4" w:space="0" w:color="D9D9D9"/>
              <w:bottom w:val="single" w:sz="4" w:space="0" w:color="D9D9D9"/>
              <w:right w:val="single" w:sz="4" w:space="0" w:color="D9D9D9"/>
            </w:tcBorders>
            <w:shd w:val="clear" w:color="auto" w:fill="E2E8EF"/>
            <w:tcMar>
              <w:top w:w="85" w:type="dxa"/>
              <w:left w:w="85" w:type="dxa"/>
              <w:bottom w:w="85" w:type="dxa"/>
              <w:right w:w="85" w:type="dxa"/>
            </w:tcMar>
            <w:vAlign w:val="center"/>
          </w:tcPr>
          <w:p w:rsidR="009B4EE0" w:rsidRDefault="00000000">
            <w:pPr>
              <w:spacing w:before="60" w:after="60"/>
            </w:pPr>
            <w:r>
              <w:rPr>
                <w:b/>
                <w:sz w:val="20"/>
              </w:rPr>
              <w:t>Intitulé ou famille</w:t>
            </w:r>
          </w:p>
        </w:tc>
        <w:tc>
          <w:tcPr>
            <w:tcW w:w="4649" w:type="dxa"/>
            <w:tcBorders>
              <w:top w:val="single" w:sz="4" w:space="0" w:color="D9D9D9"/>
              <w:left w:val="single" w:sz="4" w:space="0" w:color="D9D9D9"/>
              <w:bottom w:val="single" w:sz="4" w:space="0" w:color="D9D9D9"/>
              <w:right w:val="single" w:sz="4" w:space="0" w:color="D9D9D9"/>
            </w:tcBorders>
            <w:shd w:val="clear" w:color="auto" w:fill="E2E8EF"/>
            <w:tcMar>
              <w:top w:w="85" w:type="dxa"/>
              <w:left w:w="85" w:type="dxa"/>
              <w:bottom w:w="85" w:type="dxa"/>
              <w:right w:w="85" w:type="dxa"/>
            </w:tcMar>
            <w:vAlign w:val="center"/>
          </w:tcPr>
          <w:p w:rsidR="009B4EE0" w:rsidRDefault="00000000">
            <w:pPr>
              <w:spacing w:before="60" w:after="60"/>
            </w:pPr>
            <w:r>
              <w:rPr>
                <w:b/>
                <w:sz w:val="20"/>
              </w:rPr>
              <w:t>Utilisation proposée</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101</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Capital social</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Capital de la SARL selon les statuts</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11</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Réserves</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Affectation des bénéfices</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12</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Report à nouveau</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Résultats antérieurs non affectés</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13</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Résultat net de l’exercice</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Résultat de clôture</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16</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Emprunts et dettes assimilées</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Financements à suivre par contrat</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19</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Provisions pour risques et charges</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Risques répondant aux critères de provision</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21</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Immobilisations incorporelles</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Logiciels acquis ou coûts éligibles</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23</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Bâtiments installations et agencements</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Actifs propres de l’entreprise</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24</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Matériel mobilier et actifs biologiques</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Engins véhicules et matériel selon subdivision</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25</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Avances sur immobilisations</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Acomptes sur acquisitions immobilisées</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275</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Dépôts et cautionnements versés</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Dépôts remboursables selon contrat</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28</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Amortissements</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Suivi par immobilisation</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29</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Dépréciations</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Pertes de valeur documentées</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32</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Matières premières et fournitures liées</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Matériaux incorporés aux travaux</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33</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Autres approvisionnements</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Consommables stockés</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34 / 35</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Produits ou services en cours</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Encours selon nature et méthode validée</w:t>
            </w:r>
          </w:p>
        </w:tc>
      </w:tr>
    </w:tbl>
    <w:p w:rsidR="009B4EE0" w:rsidRDefault="009B4EE0">
      <w:pPr>
        <w:spacing w:after="40"/>
      </w:pPr>
    </w:p>
    <w:p w:rsidR="009B4EE0" w:rsidRDefault="00000000">
      <w:pPr>
        <w:pStyle w:val="Titre1"/>
      </w:pPr>
      <w:r>
        <w:lastRenderedPageBreak/>
        <w:t>A2  Tiers et trésorerie</w:t>
      </w:r>
    </w:p>
    <w:tbl>
      <w:tblPr>
        <w:tblW w:w="0" w:type="auto"/>
        <w:tblLayout w:type="fixed"/>
        <w:tblLook w:val="04A0" w:firstRow="1" w:lastRow="0" w:firstColumn="1" w:lastColumn="0" w:noHBand="0" w:noVBand="1"/>
      </w:tblPr>
      <w:tblGrid>
        <w:gridCol w:w="1191"/>
        <w:gridCol w:w="3798"/>
        <w:gridCol w:w="4649"/>
      </w:tblGrid>
      <w:tr w:rsidR="009B4EE0">
        <w:trPr>
          <w:cantSplit/>
          <w:tblHeader/>
        </w:trPr>
        <w:tc>
          <w:tcPr>
            <w:tcW w:w="1191" w:type="dxa"/>
            <w:tcBorders>
              <w:top w:val="single" w:sz="4" w:space="0" w:color="D9D9D9"/>
              <w:left w:val="single" w:sz="4" w:space="0" w:color="D9D9D9"/>
              <w:bottom w:val="single" w:sz="4" w:space="0" w:color="D9D9D9"/>
              <w:right w:val="single" w:sz="4" w:space="0" w:color="D9D9D9"/>
            </w:tcBorders>
            <w:shd w:val="clear" w:color="auto" w:fill="E2E8EF"/>
            <w:tcMar>
              <w:top w:w="85" w:type="dxa"/>
              <w:left w:w="85" w:type="dxa"/>
              <w:bottom w:w="85" w:type="dxa"/>
              <w:right w:w="85" w:type="dxa"/>
            </w:tcMar>
            <w:vAlign w:val="center"/>
          </w:tcPr>
          <w:p w:rsidR="009B4EE0" w:rsidRDefault="00000000">
            <w:pPr>
              <w:spacing w:before="60" w:after="60"/>
            </w:pPr>
            <w:r>
              <w:rPr>
                <w:b/>
                <w:sz w:val="20"/>
              </w:rPr>
              <w:t>Compte</w:t>
            </w:r>
          </w:p>
        </w:tc>
        <w:tc>
          <w:tcPr>
            <w:tcW w:w="3798" w:type="dxa"/>
            <w:tcBorders>
              <w:top w:val="single" w:sz="4" w:space="0" w:color="D9D9D9"/>
              <w:left w:val="single" w:sz="4" w:space="0" w:color="D9D9D9"/>
              <w:bottom w:val="single" w:sz="4" w:space="0" w:color="D9D9D9"/>
              <w:right w:val="single" w:sz="4" w:space="0" w:color="D9D9D9"/>
            </w:tcBorders>
            <w:shd w:val="clear" w:color="auto" w:fill="E2E8EF"/>
            <w:tcMar>
              <w:top w:w="85" w:type="dxa"/>
              <w:left w:w="85" w:type="dxa"/>
              <w:bottom w:w="85" w:type="dxa"/>
              <w:right w:w="85" w:type="dxa"/>
            </w:tcMar>
            <w:vAlign w:val="center"/>
          </w:tcPr>
          <w:p w:rsidR="009B4EE0" w:rsidRDefault="00000000">
            <w:pPr>
              <w:spacing w:before="60" w:after="60"/>
            </w:pPr>
            <w:r>
              <w:rPr>
                <w:b/>
                <w:sz w:val="20"/>
              </w:rPr>
              <w:t>Intitulé ou famille</w:t>
            </w:r>
          </w:p>
        </w:tc>
        <w:tc>
          <w:tcPr>
            <w:tcW w:w="4649" w:type="dxa"/>
            <w:tcBorders>
              <w:top w:val="single" w:sz="4" w:space="0" w:color="D9D9D9"/>
              <w:left w:val="single" w:sz="4" w:space="0" w:color="D9D9D9"/>
              <w:bottom w:val="single" w:sz="4" w:space="0" w:color="D9D9D9"/>
              <w:right w:val="single" w:sz="4" w:space="0" w:color="D9D9D9"/>
            </w:tcBorders>
            <w:shd w:val="clear" w:color="auto" w:fill="E2E8EF"/>
            <w:tcMar>
              <w:top w:w="85" w:type="dxa"/>
              <w:left w:w="85" w:type="dxa"/>
              <w:bottom w:w="85" w:type="dxa"/>
              <w:right w:w="85" w:type="dxa"/>
            </w:tcMar>
            <w:vAlign w:val="center"/>
          </w:tcPr>
          <w:p w:rsidR="009B4EE0" w:rsidRDefault="00000000">
            <w:pPr>
              <w:spacing w:before="60" w:after="60"/>
            </w:pPr>
            <w:r>
              <w:rPr>
                <w:b/>
                <w:sz w:val="20"/>
              </w:rPr>
              <w:t>Utilisation proposée</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4011</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Fournisseurs</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Factures d’exploitation</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4013</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Fournisseurs sous-traitants</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Dettes de sous-traitance</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4017</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Fournisseurs retenues de garantie</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Retenues contractuelles sur fournisseurs</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408</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Fournisseurs factures non parvenues</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Charges à rattacher avec justificatifs</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4091</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Fournisseurs avances et acomptes versés</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Avances aux fournisseurs</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4093</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Sous-traitants avances et acomptes versés</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Avances de sous-traitance</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411</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Clients</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Créances clients par facture</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4117</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Clients retenues de garantie</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Part du prix retenue contractuellement</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418</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Clients produits à recevoir</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Produits acquis non encore facturés</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4191</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Clients avances et acomptes reçus</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Acomptes clients avant imputation</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421</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Personnel avances et acomptes</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Avances au personnel selon leur nature</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422</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Personnel rémunérations dues</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Salaires restant à régler</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43</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Organismes sociaux</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Cotisations et dettes sociales</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443</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État TVA facturée</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TVA collectée si applicable</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444</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État TVA due ou crédit de TVA</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Liquidation selon régime fiscal</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445</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État TVA récupérable</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TVA déductible sous conditions</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447</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État impôts retenus à la source</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Retenues applicables à vérifier</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46</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Apporteurs associés et groupe</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Comptes à individualiser</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481</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Fournisseurs d’investissements</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Dettes liées aux investissements</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52</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Banques</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Compte adapté au pays de domiciliation</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57</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Caisse</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Une subdivision par caisse et devise</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581</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Régies d’avance</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Fonds confiés à un régisseur</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585</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Virements de fonds</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Passage entre journaux auxiliaires</w:t>
            </w:r>
          </w:p>
        </w:tc>
      </w:tr>
    </w:tbl>
    <w:p w:rsidR="009B4EE0" w:rsidRDefault="009B4EE0">
      <w:pPr>
        <w:spacing w:after="40"/>
      </w:pPr>
    </w:p>
    <w:p w:rsidR="009B4EE0" w:rsidRDefault="00000000">
      <w:r>
        <w:lastRenderedPageBreak/>
        <w:t>Ne pas attribuer automatiquement 521 à toute banque : choisir la subdivision de 52 correspondant à sa localisation. Pour les exemples, 52 et 57 désignent les comptes bancaires et de caisse appropriés. Les retenues de garantie restent distinctes des cautions bancaires et dépôts remboursables.</w:t>
      </w:r>
    </w:p>
    <w:p w:rsidR="009B4EE0" w:rsidRDefault="00000000">
      <w:pPr>
        <w:pStyle w:val="Titre1"/>
      </w:pPr>
      <w:r>
        <w:t>A3  Charges et produits des activités</w:t>
      </w:r>
    </w:p>
    <w:tbl>
      <w:tblPr>
        <w:tblW w:w="0" w:type="auto"/>
        <w:tblLayout w:type="fixed"/>
        <w:tblLook w:val="04A0" w:firstRow="1" w:lastRow="0" w:firstColumn="1" w:lastColumn="0" w:noHBand="0" w:noVBand="1"/>
      </w:tblPr>
      <w:tblGrid>
        <w:gridCol w:w="1191"/>
        <w:gridCol w:w="3798"/>
        <w:gridCol w:w="4649"/>
      </w:tblGrid>
      <w:tr w:rsidR="009B4EE0">
        <w:trPr>
          <w:cantSplit/>
          <w:tblHeader/>
        </w:trPr>
        <w:tc>
          <w:tcPr>
            <w:tcW w:w="1191" w:type="dxa"/>
            <w:tcBorders>
              <w:top w:val="single" w:sz="4" w:space="0" w:color="D9D9D9"/>
              <w:left w:val="single" w:sz="4" w:space="0" w:color="D9D9D9"/>
              <w:bottom w:val="single" w:sz="4" w:space="0" w:color="D9D9D9"/>
              <w:right w:val="single" w:sz="4" w:space="0" w:color="D9D9D9"/>
            </w:tcBorders>
            <w:shd w:val="clear" w:color="auto" w:fill="E2E8EF"/>
            <w:tcMar>
              <w:top w:w="85" w:type="dxa"/>
              <w:left w:w="85" w:type="dxa"/>
              <w:bottom w:w="85" w:type="dxa"/>
              <w:right w:w="85" w:type="dxa"/>
            </w:tcMar>
            <w:vAlign w:val="center"/>
          </w:tcPr>
          <w:p w:rsidR="009B4EE0" w:rsidRDefault="00000000">
            <w:pPr>
              <w:spacing w:before="60" w:after="60"/>
            </w:pPr>
            <w:r>
              <w:rPr>
                <w:b/>
                <w:sz w:val="20"/>
              </w:rPr>
              <w:t>Compte</w:t>
            </w:r>
          </w:p>
        </w:tc>
        <w:tc>
          <w:tcPr>
            <w:tcW w:w="3798" w:type="dxa"/>
            <w:tcBorders>
              <w:top w:val="single" w:sz="4" w:space="0" w:color="D9D9D9"/>
              <w:left w:val="single" w:sz="4" w:space="0" w:color="D9D9D9"/>
              <w:bottom w:val="single" w:sz="4" w:space="0" w:color="D9D9D9"/>
              <w:right w:val="single" w:sz="4" w:space="0" w:color="D9D9D9"/>
            </w:tcBorders>
            <w:shd w:val="clear" w:color="auto" w:fill="E2E8EF"/>
            <w:tcMar>
              <w:top w:w="85" w:type="dxa"/>
              <w:left w:w="85" w:type="dxa"/>
              <w:bottom w:w="85" w:type="dxa"/>
              <w:right w:w="85" w:type="dxa"/>
            </w:tcMar>
            <w:vAlign w:val="center"/>
          </w:tcPr>
          <w:p w:rsidR="009B4EE0" w:rsidRDefault="00000000">
            <w:pPr>
              <w:spacing w:before="60" w:after="60"/>
            </w:pPr>
            <w:r>
              <w:rPr>
                <w:b/>
                <w:sz w:val="20"/>
              </w:rPr>
              <w:t>Intitulé ou famille</w:t>
            </w:r>
          </w:p>
        </w:tc>
        <w:tc>
          <w:tcPr>
            <w:tcW w:w="4649" w:type="dxa"/>
            <w:tcBorders>
              <w:top w:val="single" w:sz="4" w:space="0" w:color="D9D9D9"/>
              <w:left w:val="single" w:sz="4" w:space="0" w:color="D9D9D9"/>
              <w:bottom w:val="single" w:sz="4" w:space="0" w:color="D9D9D9"/>
              <w:right w:val="single" w:sz="4" w:space="0" w:color="D9D9D9"/>
            </w:tcBorders>
            <w:shd w:val="clear" w:color="auto" w:fill="E2E8EF"/>
            <w:tcMar>
              <w:top w:w="85" w:type="dxa"/>
              <w:left w:w="85" w:type="dxa"/>
              <w:bottom w:w="85" w:type="dxa"/>
              <w:right w:w="85" w:type="dxa"/>
            </w:tcMar>
            <w:vAlign w:val="center"/>
          </w:tcPr>
          <w:p w:rsidR="009B4EE0" w:rsidRDefault="00000000">
            <w:pPr>
              <w:spacing w:before="60" w:after="60"/>
            </w:pPr>
            <w:r>
              <w:rPr>
                <w:b/>
                <w:sz w:val="20"/>
              </w:rPr>
              <w:t>Utilisation proposée</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602</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Achats de matières premières et fournitures liées</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Matériaux destinés aux ouvrages</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603</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Variations des stocks de biens achetés</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Régularisation des stocks selon méthode</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604</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Achats stockés de matières et fournitures consommables</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Consommables suivis en stock</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605</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Autres achats</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Achats non stockés selon leur nature</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6056</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Petit matériel et outillage</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Éléments ne remplissant pas les critères d’immobilisation</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6057</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Études et prestations de service</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Études achetées et prestations incorporées</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6058</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Travaux matériels et équipements achetés</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Travaux sous-traités selon nature</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61</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Transports</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Transport imputable selon règles de coût</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622</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Locations et charges locatives</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Locations ordinaires d’engins ou de locaux</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624</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Entretien réparations et maintenance</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Entretien courant</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625</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Primes d’assurance</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Assurances selon couverture</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627</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Publicité publications relations publiques</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Communication</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631</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Frais bancaires</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Commissions et services bancaires</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632</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Rémunérations d’intermédiaires et de conseils</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Honoraires selon nature</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64</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Impôts et taxes</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Prélèvements hors impôt sur le résultat</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66</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Charges de personnel</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Salaires et charges sociales</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67</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Frais financiers et charges assimilées</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Intérêts et écarts de change selon subdivision</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68</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Dotations aux amortissements</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Amortissement des actifs utilisés</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69</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Dotations aux provisions et dépréciations</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Évaluations documentées</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lastRenderedPageBreak/>
              <w:t>705</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Travaux facturés</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Travaux BTP selon reconnaissance du revenu</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706</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Services vendus</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Conseils et autres services</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73</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Variations de stocks de biens et services produits</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Encours et production selon méthode</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77</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Revenus financiers et produits assimilés</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Produits financiers selon subdivision</w:t>
            </w:r>
          </w:p>
        </w:tc>
      </w:tr>
      <w:tr w:rsidR="009B4EE0">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89</w:t>
            </w:r>
          </w:p>
        </w:tc>
        <w:tc>
          <w:tcPr>
            <w:tcW w:w="3798"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Impôts sur le résultat</w:t>
            </w:r>
          </w:p>
        </w:tc>
        <w:tc>
          <w:tcPr>
            <w:tcW w:w="4649"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Impôt sur bénéfices selon règles applicables</w:t>
            </w:r>
          </w:p>
        </w:tc>
      </w:tr>
    </w:tbl>
    <w:p w:rsidR="009B4EE0" w:rsidRDefault="009B4EE0">
      <w:pPr>
        <w:spacing w:after="40"/>
      </w:pPr>
    </w:p>
    <w:p w:rsidR="009B4EE0" w:rsidRDefault="00000000">
      <w:r>
        <w:t>Le budget du DQE constitue un axe analytique, pas un compte de comptabilité générale. Un achat peut affecter le budget, les stocks et la comptabilité à des dates différentes. La politique de coût doit préciser le moment où les matériaux deviennent un coût réalisé du chantier.</w:t>
      </w:r>
    </w:p>
    <w:p w:rsidR="009B4EE0" w:rsidRDefault="00000000">
      <w:pPr>
        <w:pStyle w:val="Titre1"/>
      </w:pPr>
      <w:r>
        <w:t>A4  Exemples d’écritures à valider</w:t>
      </w:r>
    </w:p>
    <w:p w:rsidR="009B4EE0" w:rsidRDefault="00000000">
      <w:r>
        <w:t>Exemples en USD, sans TVA ni retenues sauf indication. Chaque ligne présente une écriture équilibrée. La devise de présentation ici ne fixe pas la devise légale de tenue des comptes. Les écritures définitives doivent tenir compte des taxes, du change et des contrats.</w:t>
      </w:r>
    </w:p>
    <w:tbl>
      <w:tblPr>
        <w:tblW w:w="0" w:type="auto"/>
        <w:tblLayout w:type="fixed"/>
        <w:tblLook w:val="04A0" w:firstRow="1" w:lastRow="0" w:firstColumn="1" w:lastColumn="0" w:noHBand="0" w:noVBand="1"/>
      </w:tblPr>
      <w:tblGrid>
        <w:gridCol w:w="4025"/>
        <w:gridCol w:w="1871"/>
        <w:gridCol w:w="1871"/>
        <w:gridCol w:w="1871"/>
      </w:tblGrid>
      <w:tr w:rsidR="009B4EE0">
        <w:trPr>
          <w:cantSplit/>
          <w:tblHeader/>
        </w:trPr>
        <w:tc>
          <w:tcPr>
            <w:tcW w:w="4025" w:type="dxa"/>
            <w:tcBorders>
              <w:top w:val="single" w:sz="4" w:space="0" w:color="D9D9D9"/>
              <w:left w:val="single" w:sz="4" w:space="0" w:color="D9D9D9"/>
              <w:bottom w:val="single" w:sz="4" w:space="0" w:color="D9D9D9"/>
              <w:right w:val="single" w:sz="4" w:space="0" w:color="D9D9D9"/>
            </w:tcBorders>
            <w:shd w:val="clear" w:color="auto" w:fill="E2E8EF"/>
            <w:tcMar>
              <w:top w:w="85" w:type="dxa"/>
              <w:left w:w="85" w:type="dxa"/>
              <w:bottom w:w="85" w:type="dxa"/>
              <w:right w:w="85" w:type="dxa"/>
            </w:tcMar>
            <w:vAlign w:val="center"/>
          </w:tcPr>
          <w:p w:rsidR="009B4EE0" w:rsidRDefault="00000000">
            <w:pPr>
              <w:spacing w:before="60" w:after="60"/>
            </w:pPr>
            <w:r>
              <w:rPr>
                <w:b/>
                <w:sz w:val="20"/>
              </w:rPr>
              <w:t>Opération</w:t>
            </w:r>
          </w:p>
        </w:tc>
        <w:tc>
          <w:tcPr>
            <w:tcW w:w="1871" w:type="dxa"/>
            <w:tcBorders>
              <w:top w:val="single" w:sz="4" w:space="0" w:color="D9D9D9"/>
              <w:left w:val="single" w:sz="4" w:space="0" w:color="D9D9D9"/>
              <w:bottom w:val="single" w:sz="4" w:space="0" w:color="D9D9D9"/>
              <w:right w:val="single" w:sz="4" w:space="0" w:color="D9D9D9"/>
            </w:tcBorders>
            <w:shd w:val="clear" w:color="auto" w:fill="E2E8EF"/>
            <w:tcMar>
              <w:top w:w="85" w:type="dxa"/>
              <w:left w:w="85" w:type="dxa"/>
              <w:bottom w:w="85" w:type="dxa"/>
              <w:right w:w="85" w:type="dxa"/>
            </w:tcMar>
            <w:vAlign w:val="center"/>
          </w:tcPr>
          <w:p w:rsidR="009B4EE0" w:rsidRDefault="00000000">
            <w:pPr>
              <w:spacing w:before="60" w:after="60"/>
            </w:pPr>
            <w:r>
              <w:rPr>
                <w:b/>
                <w:sz w:val="20"/>
              </w:rPr>
              <w:t>Débit</w:t>
            </w:r>
          </w:p>
        </w:tc>
        <w:tc>
          <w:tcPr>
            <w:tcW w:w="1871" w:type="dxa"/>
            <w:tcBorders>
              <w:top w:val="single" w:sz="4" w:space="0" w:color="D9D9D9"/>
              <w:left w:val="single" w:sz="4" w:space="0" w:color="D9D9D9"/>
              <w:bottom w:val="single" w:sz="4" w:space="0" w:color="D9D9D9"/>
              <w:right w:val="single" w:sz="4" w:space="0" w:color="D9D9D9"/>
            </w:tcBorders>
            <w:shd w:val="clear" w:color="auto" w:fill="E2E8EF"/>
            <w:tcMar>
              <w:top w:w="85" w:type="dxa"/>
              <w:left w:w="85" w:type="dxa"/>
              <w:bottom w:w="85" w:type="dxa"/>
              <w:right w:w="85" w:type="dxa"/>
            </w:tcMar>
            <w:vAlign w:val="center"/>
          </w:tcPr>
          <w:p w:rsidR="009B4EE0" w:rsidRDefault="00000000">
            <w:pPr>
              <w:spacing w:before="60" w:after="60"/>
            </w:pPr>
            <w:r>
              <w:rPr>
                <w:b/>
                <w:sz w:val="20"/>
              </w:rPr>
              <w:t>Crédit</w:t>
            </w:r>
          </w:p>
        </w:tc>
        <w:tc>
          <w:tcPr>
            <w:tcW w:w="1871" w:type="dxa"/>
            <w:tcBorders>
              <w:top w:val="single" w:sz="4" w:space="0" w:color="D9D9D9"/>
              <w:left w:val="single" w:sz="4" w:space="0" w:color="D9D9D9"/>
              <w:bottom w:val="single" w:sz="4" w:space="0" w:color="D9D9D9"/>
              <w:right w:val="single" w:sz="4" w:space="0" w:color="D9D9D9"/>
            </w:tcBorders>
            <w:shd w:val="clear" w:color="auto" w:fill="E2E8EF"/>
            <w:tcMar>
              <w:top w:w="85" w:type="dxa"/>
              <w:left w:w="85" w:type="dxa"/>
              <w:bottom w:w="85" w:type="dxa"/>
              <w:right w:w="85" w:type="dxa"/>
            </w:tcMar>
            <w:vAlign w:val="center"/>
          </w:tcPr>
          <w:p w:rsidR="009B4EE0" w:rsidRDefault="00000000">
            <w:pPr>
              <w:spacing w:before="60" w:after="60"/>
            </w:pPr>
            <w:r>
              <w:rPr>
                <w:b/>
                <w:sz w:val="20"/>
              </w:rPr>
              <w:t>USD</w:t>
            </w:r>
          </w:p>
        </w:tc>
      </w:tr>
      <w:tr w:rsidR="009B4EE0">
        <w:trPr>
          <w:cantSplit/>
        </w:trPr>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Facture de matériaux reçus</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602</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4011</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10 000</w:t>
            </w:r>
          </w:p>
        </w:tc>
      </w:tr>
      <w:tr w:rsidR="009B4EE0">
        <w:trPr>
          <w:cantSplit/>
        </w:trPr>
        <w:tc>
          <w:tcPr>
            <w:tcW w:w="4025"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Premier règlement de la facture</w:t>
            </w:r>
          </w:p>
        </w:tc>
        <w:tc>
          <w:tcPr>
            <w:tcW w:w="187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4011</w:t>
            </w:r>
          </w:p>
        </w:tc>
        <w:tc>
          <w:tcPr>
            <w:tcW w:w="187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52</w:t>
            </w:r>
          </w:p>
        </w:tc>
        <w:tc>
          <w:tcPr>
            <w:tcW w:w="187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4 000</w:t>
            </w:r>
          </w:p>
        </w:tc>
      </w:tr>
      <w:tr w:rsidR="009B4EE0">
        <w:trPr>
          <w:cantSplit/>
        </w:trPr>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Règlement du solde</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4011</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52</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6 000</w:t>
            </w:r>
          </w:p>
        </w:tc>
      </w:tr>
      <w:tr w:rsidR="009B4EE0">
        <w:trPr>
          <w:cantSplit/>
        </w:trPr>
        <w:tc>
          <w:tcPr>
            <w:tcW w:w="4025"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Avance à un fournisseur</w:t>
            </w:r>
          </w:p>
        </w:tc>
        <w:tc>
          <w:tcPr>
            <w:tcW w:w="187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4091</w:t>
            </w:r>
          </w:p>
        </w:tc>
        <w:tc>
          <w:tcPr>
            <w:tcW w:w="187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52</w:t>
            </w:r>
          </w:p>
        </w:tc>
        <w:tc>
          <w:tcPr>
            <w:tcW w:w="187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3 000</w:t>
            </w:r>
          </w:p>
        </w:tc>
      </w:tr>
      <w:tr w:rsidR="009B4EE0">
        <w:trPr>
          <w:cantSplit/>
        </w:trPr>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Imputation de cette avance sur facture déjà enregistrée</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4011</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4091</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3 000</w:t>
            </w:r>
          </w:p>
        </w:tc>
      </w:tr>
      <w:tr w:rsidR="009B4EE0">
        <w:trPr>
          <w:cantSplit/>
        </w:trPr>
        <w:tc>
          <w:tcPr>
            <w:tcW w:w="4025"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Avance à un régisseur de chantier</w:t>
            </w:r>
          </w:p>
        </w:tc>
        <w:tc>
          <w:tcPr>
            <w:tcW w:w="187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581</w:t>
            </w:r>
          </w:p>
        </w:tc>
        <w:tc>
          <w:tcPr>
            <w:tcW w:w="187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52</w:t>
            </w:r>
          </w:p>
        </w:tc>
        <w:tc>
          <w:tcPr>
            <w:tcW w:w="187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5 000</w:t>
            </w:r>
          </w:p>
        </w:tc>
      </w:tr>
      <w:tr w:rsidR="009B4EE0">
        <w:trPr>
          <w:cantSplit/>
        </w:trPr>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Justificatifs du régisseur acceptés pour consommables non stockés</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605</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581</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3 500</w:t>
            </w:r>
          </w:p>
        </w:tc>
      </w:tr>
      <w:tr w:rsidR="009B4EE0">
        <w:trPr>
          <w:cantSplit/>
        </w:trPr>
        <w:tc>
          <w:tcPr>
            <w:tcW w:w="4025"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Restitution du reliquat du régisseur</w:t>
            </w:r>
          </w:p>
        </w:tc>
        <w:tc>
          <w:tcPr>
            <w:tcW w:w="187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57</w:t>
            </w:r>
          </w:p>
        </w:tc>
        <w:tc>
          <w:tcPr>
            <w:tcW w:w="187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581</w:t>
            </w:r>
          </w:p>
        </w:tc>
        <w:tc>
          <w:tcPr>
            <w:tcW w:w="187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1 500</w:t>
            </w:r>
          </w:p>
        </w:tc>
      </w:tr>
      <w:tr w:rsidR="009B4EE0">
        <w:trPr>
          <w:cantSplit/>
        </w:trPr>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Sortie banque vers caisse via journaux auxiliaires</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585</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52</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10 000</w:t>
            </w:r>
          </w:p>
        </w:tc>
      </w:tr>
      <w:tr w:rsidR="009B4EE0">
        <w:trPr>
          <w:cantSplit/>
        </w:trPr>
        <w:tc>
          <w:tcPr>
            <w:tcW w:w="4025"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Entrée correspondante en caisse</w:t>
            </w:r>
          </w:p>
        </w:tc>
        <w:tc>
          <w:tcPr>
            <w:tcW w:w="187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57</w:t>
            </w:r>
          </w:p>
        </w:tc>
        <w:tc>
          <w:tcPr>
            <w:tcW w:w="187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585</w:t>
            </w:r>
          </w:p>
        </w:tc>
        <w:tc>
          <w:tcPr>
            <w:tcW w:w="187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10 000</w:t>
            </w:r>
          </w:p>
        </w:tc>
      </w:tr>
      <w:tr w:rsidR="009B4EE0">
        <w:trPr>
          <w:cantSplit/>
        </w:trPr>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Travaux facturés et revenu acquis</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411</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705</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20 000</w:t>
            </w:r>
          </w:p>
        </w:tc>
      </w:tr>
      <w:tr w:rsidR="009B4EE0">
        <w:trPr>
          <w:cantSplit/>
        </w:trPr>
        <w:tc>
          <w:tcPr>
            <w:tcW w:w="4025"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lastRenderedPageBreak/>
              <w:t>Encaissement d’une facture client</w:t>
            </w:r>
          </w:p>
        </w:tc>
        <w:tc>
          <w:tcPr>
            <w:tcW w:w="187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52</w:t>
            </w:r>
          </w:p>
        </w:tc>
        <w:tc>
          <w:tcPr>
            <w:tcW w:w="187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411</w:t>
            </w:r>
          </w:p>
        </w:tc>
        <w:tc>
          <w:tcPr>
            <w:tcW w:w="187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12 000</w:t>
            </w:r>
          </w:p>
        </w:tc>
      </w:tr>
      <w:tr w:rsidR="009B4EE0">
        <w:trPr>
          <w:cantSplit/>
        </w:trPr>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Acompte client reçu avant travaux</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52</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4191</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5 000</w:t>
            </w:r>
          </w:p>
        </w:tc>
      </w:tr>
      <w:tr w:rsidR="009B4EE0">
        <w:trPr>
          <w:cantSplit/>
        </w:trPr>
        <w:tc>
          <w:tcPr>
            <w:tcW w:w="4025"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Imputation sur facture déjà enregistrée</w:t>
            </w:r>
          </w:p>
        </w:tc>
        <w:tc>
          <w:tcPr>
            <w:tcW w:w="187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4191</w:t>
            </w:r>
          </w:p>
        </w:tc>
        <w:tc>
          <w:tcPr>
            <w:tcW w:w="187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411</w:t>
            </w:r>
          </w:p>
        </w:tc>
        <w:tc>
          <w:tcPr>
            <w:tcW w:w="187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5 000</w:t>
            </w:r>
          </w:p>
        </w:tc>
      </w:tr>
      <w:tr w:rsidR="009B4EE0">
        <w:trPr>
          <w:cantSplit/>
        </w:trPr>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Retenue de garantie client sur la facture</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4117</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411</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1 000</w:t>
            </w:r>
          </w:p>
        </w:tc>
      </w:tr>
      <w:tr w:rsidR="009B4EE0">
        <w:trPr>
          <w:cantSplit/>
        </w:trPr>
        <w:tc>
          <w:tcPr>
            <w:tcW w:w="4025"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Paiement ultérieur de cette retenue</w:t>
            </w:r>
          </w:p>
        </w:tc>
        <w:tc>
          <w:tcPr>
            <w:tcW w:w="187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52</w:t>
            </w:r>
          </w:p>
        </w:tc>
        <w:tc>
          <w:tcPr>
            <w:tcW w:w="187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4117</w:t>
            </w:r>
          </w:p>
        </w:tc>
        <w:tc>
          <w:tcPr>
            <w:tcW w:w="1871"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1 000</w:t>
            </w:r>
          </w:p>
        </w:tc>
      </w:tr>
    </w:tbl>
    <w:p w:rsidR="009B4EE0" w:rsidRDefault="009B4EE0">
      <w:pPr>
        <w:spacing w:after="40"/>
      </w:pPr>
    </w:p>
    <w:p w:rsidR="009B4EE0" w:rsidRDefault="00000000">
      <w:r>
        <w:t>Contrôles attendus : la facture fournisseur de 10 000 USD est soldée après les deux règlements ; l’avance du régisseur laisse 1 500 USD à régulariser avant restitution ; le compte 585 est soldé après le transfert. Le transfert banque–caisse ne crée aucune charge ni aucun produit.</w:t>
      </w:r>
    </w:p>
    <w:p w:rsidR="009B4EE0" w:rsidRDefault="00000000">
      <w:r>
        <w:t>Le compte 581 convient à une régie d’avance organisée. Une avance sur salaire relève du personnel ; un acompte fournisseur relève de 409. Choisir le compte selon la réalité de l’opération, et ne pas comptabiliser l’octroi de l’avance une seconde fois en charge lors de la justification.</w:t>
      </w:r>
    </w:p>
    <w:p w:rsidR="009B4EE0" w:rsidRDefault="00000000">
      <w:pPr>
        <w:pStyle w:val="Titre1"/>
      </w:pPr>
      <w:r>
        <w:t>A5  Paramétrage et validation dans BatiGestion</w:t>
      </w:r>
    </w:p>
    <w:p w:rsidR="009B4EE0" w:rsidRDefault="00000000">
      <w:pPr>
        <w:pStyle w:val="Titre2"/>
      </w:pPr>
      <w:r>
        <w:t>Subdivisions internes proposées</w:t>
      </w:r>
    </w:p>
    <w:p w:rsidR="009B4EE0" w:rsidRDefault="00000000">
      <w:r>
        <w:t>Les codes suivants sont des propositions internes et non des subdivisions officielles : 602-INT-CIMENT, 602-INT-ACIER, 6058-INT-SOUS-TRAITANCE, 705-INT-TRAVAUX et 706-INT-CONSEIL. Après validation, leur format doit respecter les contraintes du logiciel et conserver le rattachement au compte SYSCOHADA. Le chantier et la devise doivent être des champs distincts.</w:t>
      </w:r>
    </w:p>
    <w:tbl>
      <w:tblPr>
        <w:tblW w:w="0" w:type="auto"/>
        <w:tblLayout w:type="fixed"/>
        <w:tblLook w:val="04A0" w:firstRow="1" w:lastRow="0" w:firstColumn="1" w:lastColumn="0" w:noHBand="0" w:noVBand="1"/>
      </w:tblPr>
      <w:tblGrid>
        <w:gridCol w:w="2835"/>
        <w:gridCol w:w="6803"/>
      </w:tblGrid>
      <w:tr w:rsidR="009B4EE0">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2E8EF"/>
            <w:tcMar>
              <w:top w:w="85" w:type="dxa"/>
              <w:left w:w="85" w:type="dxa"/>
              <w:bottom w:w="85" w:type="dxa"/>
              <w:right w:w="85" w:type="dxa"/>
            </w:tcMar>
            <w:vAlign w:val="center"/>
          </w:tcPr>
          <w:p w:rsidR="009B4EE0" w:rsidRDefault="00000000">
            <w:pPr>
              <w:spacing w:before="60" w:after="60"/>
            </w:pPr>
            <w:r>
              <w:rPr>
                <w:b/>
                <w:sz w:val="20"/>
              </w:rPr>
              <w:t>Champ</w:t>
            </w:r>
          </w:p>
        </w:tc>
        <w:tc>
          <w:tcPr>
            <w:tcW w:w="6803" w:type="dxa"/>
            <w:tcBorders>
              <w:top w:val="single" w:sz="4" w:space="0" w:color="D9D9D9"/>
              <w:left w:val="single" w:sz="4" w:space="0" w:color="D9D9D9"/>
              <w:bottom w:val="single" w:sz="4" w:space="0" w:color="D9D9D9"/>
              <w:right w:val="single" w:sz="4" w:space="0" w:color="D9D9D9"/>
            </w:tcBorders>
            <w:shd w:val="clear" w:color="auto" w:fill="E2E8EF"/>
            <w:tcMar>
              <w:top w:w="85" w:type="dxa"/>
              <w:left w:w="85" w:type="dxa"/>
              <w:bottom w:w="85" w:type="dxa"/>
              <w:right w:w="85" w:type="dxa"/>
            </w:tcMar>
            <w:vAlign w:val="center"/>
          </w:tcPr>
          <w:p w:rsidR="009B4EE0" w:rsidRDefault="00000000">
            <w:pPr>
              <w:spacing w:before="60" w:after="60"/>
            </w:pPr>
            <w:r>
              <w:rPr>
                <w:b/>
                <w:sz w:val="20"/>
              </w:rPr>
              <w:t>Règle proposée</w:t>
            </w:r>
          </w:p>
        </w:tc>
      </w:tr>
      <w:tr w:rsidR="009B4EE0">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Compte général</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Code validé, intitulé et correspondance états financiers</w:t>
            </w:r>
          </w:p>
        </w:tc>
      </w:tr>
      <w:tr w:rsidR="009B4EE0">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Chantier ou centre</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CT 004_Katanda ou centre administratif selon opération</w:t>
            </w:r>
          </w:p>
        </w:tc>
      </w:tr>
      <w:tr w:rsidR="009B4EE0">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Poste DQE</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Poste budgétaire obligatoire pour les coûts imputables</w:t>
            </w:r>
          </w:p>
        </w:tc>
      </w:tr>
      <w:tr w:rsidR="009B4EE0">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Tiers et pièce</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Bénéficiaire, référence facture, réception et justificatif</w:t>
            </w:r>
          </w:p>
        </w:tc>
      </w:tr>
      <w:tr w:rsidR="009B4EE0">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Devise et conversion</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Montant d’origine, taux daté et montant en devise comptable</w:t>
            </w:r>
          </w:p>
        </w:tc>
      </w:tr>
      <w:tr w:rsidR="009B4EE0">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Statut et validation</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85" w:type="dxa"/>
              <w:left w:w="85" w:type="dxa"/>
              <w:bottom w:w="85" w:type="dxa"/>
              <w:right w:w="85" w:type="dxa"/>
            </w:tcMar>
            <w:vAlign w:val="center"/>
          </w:tcPr>
          <w:p w:rsidR="009B4EE0" w:rsidRDefault="00000000">
            <w:pPr>
              <w:spacing w:before="60" w:after="60"/>
            </w:pPr>
            <w:r>
              <w:rPr>
                <w:sz w:val="20"/>
              </w:rPr>
              <w:t>N0 → N1 → N2 → N3 → DG selon délégations</w:t>
            </w:r>
          </w:p>
        </w:tc>
      </w:tr>
      <w:tr w:rsidR="009B4EE0">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Lien entre modules</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9B4EE0" w:rsidRDefault="00000000">
            <w:pPr>
              <w:spacing w:before="60" w:after="60"/>
            </w:pPr>
            <w:r>
              <w:rPr>
                <w:sz w:val="20"/>
              </w:rPr>
              <w:t>Identifiant unique reliant achat facture paiement et écriture</w:t>
            </w:r>
          </w:p>
        </w:tc>
      </w:tr>
    </w:tbl>
    <w:p w:rsidR="009B4EE0" w:rsidRDefault="009B4EE0">
      <w:pPr>
        <w:spacing w:after="40"/>
      </w:pPr>
    </w:p>
    <w:p w:rsidR="009B4EE0" w:rsidRDefault="00000000">
      <w:pPr>
        <w:pStyle w:val="Titre2"/>
      </w:pPr>
      <w:r>
        <w:t>Vérifications avant mise en service</w:t>
      </w:r>
    </w:p>
    <w:p w:rsidR="009B4EE0" w:rsidRDefault="00000000">
      <w:pPr>
        <w:pStyle w:val="Listepuces"/>
      </w:pPr>
      <w:r>
        <w:t>Valider le plan avec le responsable comptable et rapprocher chaque compte de la balance existante avant migration.</w:t>
      </w:r>
    </w:p>
    <w:p w:rsidR="009B4EE0" w:rsidRDefault="00000000">
      <w:pPr>
        <w:pStyle w:val="Listepuces"/>
      </w:pPr>
      <w:r>
        <w:lastRenderedPageBreak/>
        <w:t>Fixer le régime de TVA et les retenues applicables ; ne pas déduire une taxe sans droit et pièce justificative.</w:t>
      </w:r>
    </w:p>
    <w:p w:rsidR="009B4EE0" w:rsidRDefault="00000000">
      <w:pPr>
        <w:pStyle w:val="Listepuces"/>
      </w:pPr>
      <w:r>
        <w:t>Documenter les méthodes de stocks, la valorisation des encours et la reconnaissance du revenu des contrats pluri-exercices. Une situation facturée ou un encaissement ne suffit pas à déterminer le résultat.</w:t>
      </w:r>
    </w:p>
    <w:p w:rsidR="009B4EE0" w:rsidRDefault="00000000">
      <w:pPr>
        <w:pStyle w:val="Listepuces"/>
      </w:pPr>
      <w:r>
        <w:t>Définir les comptes de banques, caisses, avances et garanties ; vérifier les soldes par tiers, devise et chantier.</w:t>
      </w:r>
    </w:p>
    <w:p w:rsidR="009B4EE0" w:rsidRDefault="00000000">
      <w:pPr>
        <w:pStyle w:val="Listepuces"/>
      </w:pPr>
      <w:r>
        <w:t>Tester l’équilibre débit–crédit, les paiements partiels, l’imputation des acomptes, les transferts et les annulations avec historique.</w:t>
      </w:r>
    </w:p>
    <w:p w:rsidR="009B4EE0" w:rsidRDefault="00000000">
      <w:pPr>
        <w:pStyle w:val="Listepuces"/>
      </w:pPr>
      <w:r>
        <w:t>Faire approuver les subdivisions et règles d’écriture ; enregistrer la date, la version et l’auteur de chaque modification du plan.</w:t>
      </w:r>
    </w:p>
    <w:p w:rsidR="009B4EE0" w:rsidRDefault="00000000">
      <w:pPr>
        <w:pStyle w:val="Titre2"/>
      </w:pPr>
      <w:r>
        <w:t>Références de vérification</w:t>
      </w:r>
    </w:p>
    <w:p w:rsidR="009B4EE0" w:rsidRDefault="00000000">
      <w:r>
        <w:t>OHADA, AUDCIF adopté le 26 janvier 2017 et SYSCOHADA révisé annexé. Présentation officielle : https://www.ohada.org/acte-uniforme-relatif-au-droit-comptable-et-a-linformation-financiere-audcif/</w:t>
      </w:r>
    </w:p>
    <w:p w:rsidR="009B4EE0" w:rsidRDefault="00000000">
      <w:r>
        <w:t>Guide d’application du SYSCOHADA révisé, notamment plan de comptes, achats, trésorerie, devises et contrats pluri-exercices : https://www.ohada.com/uploads/actualite/3504/Guide-d-application-du-SYSCOHADA.pdf</w:t>
      </w:r>
    </w:p>
    <w:p w:rsidR="009B4EE0" w:rsidRDefault="00000000">
      <w:r>
        <w:t>Nomenclature consultée pour les codes et intitulés : https://plan-comptable-ohada.com/nouvelle-norme-2016/plan-comptable-syscohada.html — consultation du 9 octobre 2026. Vérifier les comptes retenus dans le référentiel et la documentation professionnelle avant activation.</w:t>
      </w:r>
    </w:p>
    <w:p w:rsidR="009B0B28" w:rsidRDefault="00000000">
      <w:pPr>
        <w:pStyle w:val="Titre1"/>
        <w:pageBreakBefore/>
      </w:pPr>
      <w:r>
        <w:lastRenderedPageBreak/>
        <w:t>Annexe  Plan fiscal RDC selon les cas</w:t>
      </w:r>
    </w:p>
    <w:p w:rsidR="009B0B28" w:rsidRDefault="00000000">
      <w:pPr>
        <w:spacing w:line="252" w:lineRule="auto"/>
      </w:pPr>
      <w:r>
        <w:rPr>
          <w:sz w:val="21"/>
        </w:rPr>
        <w:t>Destinataire : MY DESTINY BUREAU SERVICE ET DES CONSEILS SARL. Situation documentaire au 9 octobre 2026. Cette annexe organise les obligations fiscales et leur suivi dans BatiGestion V7. Elle présente des recommandations à vérifier ; elle ne certifie ni le régime de la société ni sa conformité fiscale.</w:t>
      </w:r>
    </w:p>
    <w:p w:rsidR="009B0B28" w:rsidRDefault="00000000">
      <w:pPr>
        <w:spacing w:line="252" w:lineRule="auto"/>
      </w:pPr>
      <w:r>
        <w:rPr>
          <w:sz w:val="21"/>
        </w:rPr>
        <w:t>La DG et le responsable comptable doivent approuver une fiche fiscale avant activation : NIF, service gestionnaire, siège et implantations, chiffre d’affaires, activités réelles, statut TVA, personnel, contrats étrangers et éventuelles exonérations. Toute décision fiscale conserve son texte de référence, sa date d’effet et sa pièce justificative.</w:t>
      </w:r>
    </w:p>
    <w:p w:rsidR="009B0B28" w:rsidRDefault="00000000">
      <w:pPr>
        <w:pStyle w:val="Titre2"/>
        <w:spacing w:before="180" w:after="120"/>
      </w:pPr>
      <w:r>
        <w:t>F1  Choisir les obligations selon la situation</w:t>
      </w:r>
    </w:p>
    <w:tbl>
      <w:tblPr>
        <w:tblW w:w="0" w:type="auto"/>
        <w:tblLayout w:type="fixed"/>
        <w:tblLook w:val="04A0" w:firstRow="1" w:lastRow="0" w:firstColumn="1" w:lastColumn="0" w:noHBand="0" w:noVBand="1"/>
      </w:tblPr>
      <w:tblGrid>
        <w:gridCol w:w="2835"/>
        <w:gridCol w:w="6803"/>
      </w:tblGrid>
      <w:tr w:rsidR="009B0B28">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2E8EF"/>
            <w:tcMar>
              <w:top w:w="75" w:type="dxa"/>
              <w:left w:w="75" w:type="dxa"/>
              <w:bottom w:w="75" w:type="dxa"/>
              <w:right w:w="75" w:type="dxa"/>
            </w:tcMar>
            <w:vAlign w:val="center"/>
          </w:tcPr>
          <w:p w:rsidR="009B0B28" w:rsidRDefault="00000000">
            <w:pPr>
              <w:spacing w:before="40" w:after="40" w:line="240" w:lineRule="auto"/>
            </w:pPr>
            <w:r>
              <w:rPr>
                <w:b/>
                <w:sz w:val="20"/>
              </w:rPr>
              <w:t>Situation</w:t>
            </w:r>
          </w:p>
        </w:tc>
        <w:tc>
          <w:tcPr>
            <w:tcW w:w="6803" w:type="dxa"/>
            <w:tcBorders>
              <w:top w:val="single" w:sz="4" w:space="0" w:color="D9D9D9"/>
              <w:left w:val="single" w:sz="4" w:space="0" w:color="D9D9D9"/>
              <w:bottom w:val="single" w:sz="4" w:space="0" w:color="D9D9D9"/>
              <w:right w:val="single" w:sz="4" w:space="0" w:color="D9D9D9"/>
            </w:tcBorders>
            <w:shd w:val="clear" w:color="auto" w:fill="E2E8EF"/>
            <w:tcMar>
              <w:top w:w="75" w:type="dxa"/>
              <w:left w:w="75" w:type="dxa"/>
              <w:bottom w:w="75" w:type="dxa"/>
              <w:right w:w="75" w:type="dxa"/>
            </w:tcMar>
            <w:vAlign w:val="center"/>
          </w:tcPr>
          <w:p w:rsidR="009B0B28" w:rsidRDefault="00000000">
            <w:pPr>
              <w:spacing w:before="40" w:after="40" w:line="240" w:lineRule="auto"/>
            </w:pPr>
            <w:r>
              <w:rPr>
                <w:b/>
                <w:sz w:val="20"/>
              </w:rPr>
              <w:t>Obligations à examiner et décision à documenter</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SARL résidente avec bénéfice</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IS sur le résultat fiscal ; examiner minimum et acomptes. Le résultat comptable du chantier ne suffit pas à fixer la base fiscale.</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SARL déficitaire ou faible bénéfice</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Tester le minimum d’IS et les exceptions légales. Une perte ne dispense pas automatiquement de déclaration ni de paiement.</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Faible chiffre d’affaires</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Vérifier l’accès légal à un régime de petite entreprise et ses exclusions. Ne pas appliquer automatiquement un forfait à une SARL ou à une activité de conseil.</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Entreprise assujettie à la TVA</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Facturation normalisée, collecte, contrôle de la déduction et déclaration mensuelle, y compris néant.</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Entreprise non assujettie à la TVA</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Ne pas facturer la TVA comme un assujetti ; traiter la taxe d’achat non déductible dans le coût approprié. Surveiller le seuil et les activités imposées sans seuil.</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Salariés ou dirigeants rémunérés</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Retenues IRPP sur rémunérations et obligations sociales ; distinguer rémunération, frais justifiés et distribution de bénéfices.</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Paiements à l’étranger</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Examiner services de non-résidents, revenus de capitaux et revenus passifs, conventions et TVA applicable.</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Locaux véhicules chantiers ou importations</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Recenser obligations provinciales, foncières, locatives, véhicules, redevances administratives et douanes selon chaque implantation.</w:t>
            </w:r>
          </w:p>
        </w:tc>
      </w:tr>
    </w:tbl>
    <w:p w:rsidR="009B0B28" w:rsidRDefault="009B0B28">
      <w:pPr>
        <w:spacing w:line="252" w:lineRule="auto"/>
      </w:pPr>
    </w:p>
    <w:p w:rsidR="009B0B28" w:rsidRDefault="00000000">
      <w:pPr>
        <w:spacing w:line="252" w:lineRule="auto"/>
      </w:pPr>
      <w:r>
        <w:rPr>
          <w:sz w:val="21"/>
        </w:rPr>
        <w:t>Repère TVA : la présentation DGI indique 80 millions CDF de chiffre d’affaires annuel et un assujettissement indépendant du seuil pour les professions libérales. Confirmer le texte applicable, le calcul du chiffre d’affaires et la qualification exacte des activités de MY DESTINY avant de retenir ce critère. [R4]</w:t>
      </w:r>
    </w:p>
    <w:p w:rsidR="009B0B28" w:rsidRDefault="00000000">
      <w:pPr>
        <w:pStyle w:val="Titre1"/>
        <w:pageBreakBefore/>
      </w:pPr>
      <w:r>
        <w:lastRenderedPageBreak/>
        <w:t>F2  Impôt sur les sociétés et passage au résultat fiscal</w:t>
      </w:r>
    </w:p>
    <w:p w:rsidR="009B0B28" w:rsidRDefault="00000000">
      <w:pPr>
        <w:spacing w:line="252" w:lineRule="auto"/>
      </w:pPr>
      <w:r>
        <w:rPr>
          <w:sz w:val="21"/>
        </w:rPr>
        <w:t>Pour les revenus 2026, le suivi doit utiliser le nouveau dispositif IS. Les revenus 2025 déclarés en 2026 restent à traiter selon les règles transitoires et formulaires correspondants. La fiche fiscale doit distinguer année de revenus, exercice fiscal de déclaration et version de la règle. [R1, R2]</w:t>
      </w:r>
    </w:p>
    <w:tbl>
      <w:tblPr>
        <w:tblW w:w="0" w:type="auto"/>
        <w:tblLayout w:type="fixed"/>
        <w:tblLook w:val="04A0" w:firstRow="1" w:lastRow="0" w:firstColumn="1" w:lastColumn="0" w:noHBand="0" w:noVBand="1"/>
      </w:tblPr>
      <w:tblGrid>
        <w:gridCol w:w="2835"/>
        <w:gridCol w:w="6803"/>
      </w:tblGrid>
      <w:tr w:rsidR="009B0B28">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2E8EF"/>
            <w:tcMar>
              <w:top w:w="75" w:type="dxa"/>
              <w:left w:w="75" w:type="dxa"/>
              <w:bottom w:w="75" w:type="dxa"/>
              <w:right w:w="75" w:type="dxa"/>
            </w:tcMar>
            <w:vAlign w:val="center"/>
          </w:tcPr>
          <w:p w:rsidR="009B0B28" w:rsidRDefault="00000000">
            <w:pPr>
              <w:spacing w:before="40" w:after="40" w:line="240" w:lineRule="auto"/>
            </w:pPr>
            <w:r>
              <w:rPr>
                <w:b/>
                <w:sz w:val="20"/>
              </w:rPr>
              <w:t>Élément du régime général</w:t>
            </w:r>
          </w:p>
        </w:tc>
        <w:tc>
          <w:tcPr>
            <w:tcW w:w="6803" w:type="dxa"/>
            <w:tcBorders>
              <w:top w:val="single" w:sz="4" w:space="0" w:color="D9D9D9"/>
              <w:left w:val="single" w:sz="4" w:space="0" w:color="D9D9D9"/>
              <w:bottom w:val="single" w:sz="4" w:space="0" w:color="D9D9D9"/>
              <w:right w:val="single" w:sz="4" w:space="0" w:color="D9D9D9"/>
            </w:tcBorders>
            <w:shd w:val="clear" w:color="auto" w:fill="E2E8EF"/>
            <w:tcMar>
              <w:top w:w="75" w:type="dxa"/>
              <w:left w:w="75" w:type="dxa"/>
              <w:bottom w:w="75" w:type="dxa"/>
              <w:right w:w="75" w:type="dxa"/>
            </w:tcMar>
            <w:vAlign w:val="center"/>
          </w:tcPr>
          <w:p w:rsidR="009B0B28" w:rsidRDefault="00000000">
            <w:pPr>
              <w:spacing w:before="40" w:after="40" w:line="240" w:lineRule="auto"/>
            </w:pPr>
            <w:r>
              <w:rPr>
                <w:b/>
                <w:sz w:val="20"/>
              </w:rPr>
              <w:t>Règle de travail à valider</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IS calculé</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30 % du bénéfice net imposable.</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Minimum</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1 % du chiffre d’affaires annuel si perte ou IS calculé inférieur à ce minimum, sous réserve des exceptions applicables.</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Acomptes</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30 %, 30 % et 20 % de la référence légale fondée sur l’impôt déclaré de l’exercice précédent et les suppléments éventuels.</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Échéances ordinaires</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25 juillet, 25 septembre et 25 novembre de l’année des revenus ; solde avec déclaration au plus tard le 30 avril suivant.</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Déclarations 2026</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Vérifier les communiqués et mesures transitoires. La DGI a confirmé le deuxième acompte au 25 septembre 2026 pour les revenus 2026.</w:t>
            </w:r>
          </w:p>
        </w:tc>
      </w:tr>
    </w:tbl>
    <w:p w:rsidR="009B0B28" w:rsidRDefault="009B0B28">
      <w:pPr>
        <w:spacing w:line="252" w:lineRule="auto"/>
      </w:pPr>
    </w:p>
    <w:p w:rsidR="009B0B28" w:rsidRDefault="00000000">
      <w:pPr>
        <w:pStyle w:val="Titre2"/>
        <w:spacing w:before="180" w:after="120"/>
      </w:pPr>
      <w:r>
        <w:t>Réconciliation fiscale proposée</w:t>
      </w:r>
    </w:p>
    <w:p w:rsidR="009B0B28" w:rsidRDefault="00000000">
      <w:pPr>
        <w:spacing w:line="252" w:lineRule="auto"/>
      </w:pPr>
      <w:r>
        <w:rPr>
          <w:sz w:val="21"/>
        </w:rPr>
        <w:t>Résultat fiscal = résultat comptable avant impôt + réintégrations fiscales − déductions admises − déficits imputables admis. Chaque ajustement doit être étayé et soumis aux conditions légales ; une provision comptable ou une dépense payée n’est pas automatiquement déductible.</w:t>
      </w:r>
    </w:p>
    <w:tbl>
      <w:tblPr>
        <w:tblW w:w="0" w:type="auto"/>
        <w:tblLayout w:type="fixed"/>
        <w:tblLook w:val="04A0" w:firstRow="1" w:lastRow="0" w:firstColumn="1" w:lastColumn="0" w:noHBand="0" w:noVBand="1"/>
      </w:tblPr>
      <w:tblGrid>
        <w:gridCol w:w="2835"/>
        <w:gridCol w:w="6803"/>
      </w:tblGrid>
      <w:tr w:rsidR="009B0B28">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2E8EF"/>
            <w:tcMar>
              <w:top w:w="75" w:type="dxa"/>
              <w:left w:w="75" w:type="dxa"/>
              <w:bottom w:w="75" w:type="dxa"/>
              <w:right w:w="75" w:type="dxa"/>
            </w:tcMar>
            <w:vAlign w:val="center"/>
          </w:tcPr>
          <w:p w:rsidR="009B0B28" w:rsidRDefault="00000000">
            <w:pPr>
              <w:spacing w:before="40" w:after="40" w:line="240" w:lineRule="auto"/>
            </w:pPr>
            <w:r>
              <w:rPr>
                <w:b/>
                <w:sz w:val="20"/>
              </w:rPr>
              <w:t>Poste sensible</w:t>
            </w:r>
          </w:p>
        </w:tc>
        <w:tc>
          <w:tcPr>
            <w:tcW w:w="6803" w:type="dxa"/>
            <w:tcBorders>
              <w:top w:val="single" w:sz="4" w:space="0" w:color="D9D9D9"/>
              <w:left w:val="single" w:sz="4" w:space="0" w:color="D9D9D9"/>
              <w:bottom w:val="single" w:sz="4" w:space="0" w:color="D9D9D9"/>
              <w:right w:val="single" w:sz="4" w:space="0" w:color="D9D9D9"/>
            </w:tcBorders>
            <w:shd w:val="clear" w:color="auto" w:fill="E2E8EF"/>
            <w:tcMar>
              <w:top w:w="75" w:type="dxa"/>
              <w:left w:w="75" w:type="dxa"/>
              <w:bottom w:w="75" w:type="dxa"/>
              <w:right w:w="75" w:type="dxa"/>
            </w:tcMar>
            <w:vAlign w:val="center"/>
          </w:tcPr>
          <w:p w:rsidR="009B0B28" w:rsidRDefault="00000000">
            <w:pPr>
              <w:spacing w:before="40" w:after="40" w:line="240" w:lineRule="auto"/>
            </w:pPr>
            <w:r>
              <w:rPr>
                <w:b/>
                <w:sz w:val="20"/>
              </w:rPr>
              <w:t>Contrôle recommandé</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Charges et sous-traitance</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Réalité du service, lien avec l’activité, facture, contrat, réception, identification du fournisseur et preuve de paiement.</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Amortissements et provisions</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Base, durée, taux et conditions fiscales ; suivre séparément valeurs comptables et fiscales.</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Encours et contrats BTP</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Rattachement annuel des produits et coûts ; rapprocher situations, avances, retenues et revenu acquis.</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Opérations liées et internationales</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Prix de transfert, bénéficiaire, résidence et documentation selon seuils légaux.</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Déficits et crédit d’impôt</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Origine, exercice, durée d’utilisation, restrictions et pièces de justification.</w:t>
            </w:r>
          </w:p>
        </w:tc>
      </w:tr>
    </w:tbl>
    <w:p w:rsidR="009B0B28" w:rsidRDefault="009B0B28">
      <w:pPr>
        <w:spacing w:line="252" w:lineRule="auto"/>
      </w:pPr>
    </w:p>
    <w:p w:rsidR="009B0B28" w:rsidRDefault="00000000">
      <w:pPr>
        <w:pStyle w:val="Titre2"/>
        <w:spacing w:before="180" w:after="120"/>
      </w:pPr>
      <w:r>
        <w:t>Exemple chiffré fictif en CDF</w:t>
      </w:r>
    </w:p>
    <w:p w:rsidR="009B0B28" w:rsidRDefault="00000000">
      <w:pPr>
        <w:spacing w:line="252" w:lineRule="auto"/>
      </w:pPr>
      <w:r>
        <w:rPr>
          <w:sz w:val="21"/>
        </w:rPr>
        <w:t>Chiffre d’affaires : 500 000 000 ; résultat comptable avant impôt : 20 000 000 ; réintégrations : 5 000 000 ; déductions admises : 2 000 000 ; aucun déficit imputé. Résultat fiscal = 23 000 000. IS calculé = 6 900 000 ; minimum = 5 000 000. Dans cet exemple de régime général sans exception, montant retenu avant imputation des acomptes : 6 900 000 CDF. Si la référence des acomptes était 6 000 000, les trois versements seraient 1 800 000, 1 800 000 et 1 200 000 ; solde illustratif : 2 100 000.</w:t>
      </w:r>
    </w:p>
    <w:p w:rsidR="009B0B28" w:rsidRDefault="00000000">
      <w:pPr>
        <w:spacing w:line="252" w:lineRule="auto"/>
      </w:pPr>
      <w:r>
        <w:rPr>
          <w:sz w:val="21"/>
        </w:rPr>
        <w:t>Bases et calendrier : DGI, dépliant IS et communiqué du deuxième acompte ; procédure modifiée par la loi de finances 2026. [R1, R2, R3]</w:t>
      </w:r>
    </w:p>
    <w:p w:rsidR="009B0B28" w:rsidRDefault="00000000">
      <w:pPr>
        <w:pStyle w:val="Titre1"/>
        <w:pageBreakBefore/>
      </w:pPr>
      <w:r>
        <w:lastRenderedPageBreak/>
        <w:t>F3  TVA facturation et trésorerie des chantiers</w:t>
      </w:r>
    </w:p>
    <w:p w:rsidR="009B0B28" w:rsidRDefault="00000000">
      <w:pPr>
        <w:spacing w:line="252" w:lineRule="auto"/>
      </w:pPr>
      <w:r>
        <w:rPr>
          <w:sz w:val="21"/>
        </w:rPr>
        <w:t>Le taux normal est de 16 %. La loi de finances rectificative 2026 prévoit également des taux réduits de 1 %, 5 % et 8 % pour des opérations désignées. Le taux zéro concerne les exportations et opérations assimilées dans les conditions légales. L’activité de conseil ou un chantier ordinaire ne bénéficie pas automatiquement d’un taux réduit. [R3]</w:t>
      </w:r>
    </w:p>
    <w:p w:rsidR="009B0B28" w:rsidRDefault="00000000">
      <w:pPr>
        <w:spacing w:line="252" w:lineRule="auto"/>
      </w:pPr>
      <w:r>
        <w:rPr>
          <w:sz w:val="21"/>
        </w:rPr>
        <w:t>Cas BTP particulier : le taux de 1 % vise les acquisitions de matériaux et services de construction relatifs aux projets publics d’infrastructures d’intérêt national. Le bénéfice est subordonné au mécanisme de contingentement et aux modalités fixées par arrêté. Exiger les preuves d’éligibilité et de contingent disponible avant paramétrage ; la seule présence d’un client public ne suffit pas. [R3, article 13 de la loi rectificative]</w:t>
      </w:r>
    </w:p>
    <w:tbl>
      <w:tblPr>
        <w:tblW w:w="0" w:type="auto"/>
        <w:tblLayout w:type="fixed"/>
        <w:tblLook w:val="04A0" w:firstRow="1" w:lastRow="0" w:firstColumn="1" w:lastColumn="0" w:noHBand="0" w:noVBand="1"/>
      </w:tblPr>
      <w:tblGrid>
        <w:gridCol w:w="2835"/>
        <w:gridCol w:w="6803"/>
      </w:tblGrid>
      <w:tr w:rsidR="009B0B28">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2E8EF"/>
            <w:tcMar>
              <w:top w:w="75" w:type="dxa"/>
              <w:left w:w="75" w:type="dxa"/>
              <w:bottom w:w="75" w:type="dxa"/>
              <w:right w:w="75" w:type="dxa"/>
            </w:tcMar>
            <w:vAlign w:val="center"/>
          </w:tcPr>
          <w:p w:rsidR="009B0B28" w:rsidRDefault="00000000">
            <w:pPr>
              <w:spacing w:before="40" w:after="40" w:line="240" w:lineRule="auto"/>
            </w:pPr>
            <w:r>
              <w:rPr>
                <w:b/>
                <w:sz w:val="20"/>
              </w:rPr>
              <w:t>Cas</w:t>
            </w:r>
          </w:p>
        </w:tc>
        <w:tc>
          <w:tcPr>
            <w:tcW w:w="6803" w:type="dxa"/>
            <w:tcBorders>
              <w:top w:val="single" w:sz="4" w:space="0" w:color="D9D9D9"/>
              <w:left w:val="single" w:sz="4" w:space="0" w:color="D9D9D9"/>
              <w:bottom w:val="single" w:sz="4" w:space="0" w:color="D9D9D9"/>
              <w:right w:val="single" w:sz="4" w:space="0" w:color="D9D9D9"/>
            </w:tcBorders>
            <w:shd w:val="clear" w:color="auto" w:fill="E2E8EF"/>
            <w:tcMar>
              <w:top w:w="75" w:type="dxa"/>
              <w:left w:w="75" w:type="dxa"/>
              <w:bottom w:w="75" w:type="dxa"/>
              <w:right w:w="75" w:type="dxa"/>
            </w:tcMar>
            <w:vAlign w:val="center"/>
          </w:tcPr>
          <w:p w:rsidR="009B0B28" w:rsidRDefault="00000000">
            <w:pPr>
              <w:spacing w:before="40" w:after="40" w:line="240" w:lineRule="auto"/>
            </w:pPr>
            <w:r>
              <w:rPr>
                <w:b/>
                <w:sz w:val="20"/>
              </w:rPr>
              <w:t>Traitement et contrôle proposés</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Facture de conseil ou travaux</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Qualifier l’opération, le taux, la base et la date d’exigibilité ; enregistrer facture, réception, acompte et encaissement séparément.</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Prestations de services encaissées</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Suivre les encaissements qui déclenchent l’exigibilité selon les règles applicables. Vérifier les dispositions propres aux travaux immobiliers et aux acomptes.</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Achats ouvrant droit à déduction</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Contrôler qualité d’assujetti, facture normalisée requise, identité et adresse du fournisseur, affectation et exclusions.</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Achats sans droit à déduction</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Affecter la TVA au coût ou à la charge appropriée. Interdire une déduction fondée sur un simple devis ou reçu insuffisant.</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Crédit de TVA</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Reporter et rapprocher le crédit ; remboursement uniquement si conditions remplies, sans assimiler crédit et argent disponible.</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Mois sans activité imposable</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Déposer la déclaration néant si la société reste redevable ; surveiller les acomptes et opérations non facturées.</w:t>
            </w:r>
          </w:p>
        </w:tc>
      </w:tr>
    </w:tbl>
    <w:p w:rsidR="009B0B28" w:rsidRDefault="009B0B28">
      <w:pPr>
        <w:spacing w:line="252" w:lineRule="auto"/>
      </w:pPr>
    </w:p>
    <w:p w:rsidR="009B0B28" w:rsidRDefault="00000000">
      <w:pPr>
        <w:pStyle w:val="Titre2"/>
        <w:spacing w:before="180" w:after="120"/>
      </w:pPr>
      <w:r>
        <w:t>Exemple fictif au taux normal</w:t>
      </w:r>
    </w:p>
    <w:p w:rsidR="009B0B28" w:rsidRDefault="00000000">
      <w:pPr>
        <w:spacing w:line="252" w:lineRule="auto"/>
      </w:pPr>
      <w:r>
        <w:rPr>
          <w:sz w:val="21"/>
        </w:rPr>
        <w:t>Vente HT exigible : 10 000 000 CDF ; TVA collectée : 1 600 000 ; TTC : 11 600 000. TVA d’achats légalement déductible sur la période : 640 000 ; aucun crédit antérieur. TVA nette = 1 600 000 − 640 000 = 960 000 CDF. Un paiement client partiel impose d’appliquer la règle d’exigibilité pertinente ; il ne doit pas reproduire automatiquement cet exemple intégral.</w:t>
      </w:r>
    </w:p>
    <w:p w:rsidR="009B0B28" w:rsidRDefault="00000000">
      <w:pPr>
        <w:pStyle w:val="Titre2"/>
        <w:spacing w:before="180" w:after="120"/>
      </w:pPr>
      <w:r>
        <w:t>Facture normalisée et interface de BatiGestion</w:t>
      </w:r>
    </w:p>
    <w:p w:rsidR="009B0B28" w:rsidRDefault="00000000">
      <w:pPr>
        <w:spacing w:line="252" w:lineRule="auto"/>
      </w:pPr>
      <w:r>
        <w:rPr>
          <w:sz w:val="21"/>
        </w:rPr>
        <w:t>Le communiqué DGI du 5 octobre 2026 rappelle que l’obligation est pleinement effective pour les assujettis concernés. Vérifier le dispositif électronique fiscal ou système de facturation agréé, puis tester l’interface. Conserver l’identifiant fiscal, la réponse du dispositif, le numéro de facture et les avoirs. Bloquer les doublons ; corriger par une procédure traçable. La conformité de BatiGestion n’est pas présumée. [R5]</w:t>
      </w:r>
    </w:p>
    <w:p w:rsidR="009B0B28" w:rsidRDefault="00000000">
      <w:pPr>
        <w:spacing w:line="252" w:lineRule="auto"/>
      </w:pPr>
      <w:r>
        <w:rPr>
          <w:sz w:val="21"/>
        </w:rPr>
        <w:t>Déclaration et paiement TVA : au plus tard le 15 du mois suivant selon le texte, sous réserve d’une prorogation officielle applicable. [R3, article 48 de la loi initiale]</w:t>
      </w:r>
    </w:p>
    <w:p w:rsidR="009B0B28" w:rsidRDefault="00000000">
      <w:pPr>
        <w:pStyle w:val="Titre1"/>
        <w:pageBreakBefore/>
      </w:pPr>
      <w:r>
        <w:lastRenderedPageBreak/>
        <w:t>F4  Personnel paiements étrangers et fiscalité locale</w:t>
      </w:r>
    </w:p>
    <w:p w:rsidR="009B0B28" w:rsidRDefault="00000000">
      <w:pPr>
        <w:pStyle w:val="Titre2"/>
        <w:spacing w:before="180" w:after="120"/>
      </w:pPr>
      <w:r>
        <w:t>Personnel et dirigeants rémunérés</w:t>
      </w:r>
    </w:p>
    <w:p w:rsidR="009B0B28" w:rsidRDefault="00000000">
      <w:pPr>
        <w:spacing w:line="252" w:lineRule="auto"/>
      </w:pPr>
      <w:r>
        <w:rPr>
          <w:sz w:val="21"/>
        </w:rPr>
        <w:t>Séparer l’IRPP retenu sur rémunérations, les prélèvements éventuels liés aux expatriés et les cotisations sociales. Vérifier les exonérations, avantages en nature, déductions et règles mensuelles avant liquidation. Ne pas reprendre mécaniquement l’ancien paramétrage IPR. [R1, R6]</w:t>
      </w:r>
    </w:p>
    <w:tbl>
      <w:tblPr>
        <w:tblW w:w="0" w:type="auto"/>
        <w:tblLayout w:type="fixed"/>
        <w:tblLook w:val="04A0" w:firstRow="1" w:lastRow="0" w:firstColumn="1" w:lastColumn="0" w:noHBand="0" w:noVBand="1"/>
      </w:tblPr>
      <w:tblGrid>
        <w:gridCol w:w="5102"/>
        <w:gridCol w:w="4535"/>
      </w:tblGrid>
      <w:tr w:rsidR="009B0B28">
        <w:trPr>
          <w:cantSplit/>
          <w:tblHeader/>
        </w:trPr>
        <w:tc>
          <w:tcPr>
            <w:tcW w:w="5102" w:type="dxa"/>
            <w:tcBorders>
              <w:top w:val="single" w:sz="4" w:space="0" w:color="D9D9D9"/>
              <w:left w:val="single" w:sz="4" w:space="0" w:color="D9D9D9"/>
              <w:bottom w:val="single" w:sz="4" w:space="0" w:color="D9D9D9"/>
              <w:right w:val="single" w:sz="4" w:space="0" w:color="D9D9D9"/>
            </w:tcBorders>
            <w:shd w:val="clear" w:color="auto" w:fill="E2E8EF"/>
            <w:tcMar>
              <w:top w:w="75" w:type="dxa"/>
              <w:left w:w="75" w:type="dxa"/>
              <w:bottom w:w="75" w:type="dxa"/>
              <w:right w:w="75" w:type="dxa"/>
            </w:tcMar>
            <w:vAlign w:val="center"/>
          </w:tcPr>
          <w:p w:rsidR="009B0B28" w:rsidRDefault="00000000">
            <w:pPr>
              <w:spacing w:before="40" w:after="40" w:line="240" w:lineRule="auto"/>
            </w:pPr>
            <w:r>
              <w:rPr>
                <w:b/>
                <w:sz w:val="20"/>
              </w:rPr>
              <w:t>Tranche annuelle imposable en CDF</w:t>
            </w:r>
          </w:p>
        </w:tc>
        <w:tc>
          <w:tcPr>
            <w:tcW w:w="4535" w:type="dxa"/>
            <w:tcBorders>
              <w:top w:val="single" w:sz="4" w:space="0" w:color="D9D9D9"/>
              <w:left w:val="single" w:sz="4" w:space="0" w:color="D9D9D9"/>
              <w:bottom w:val="single" w:sz="4" w:space="0" w:color="D9D9D9"/>
              <w:right w:val="single" w:sz="4" w:space="0" w:color="D9D9D9"/>
            </w:tcBorders>
            <w:shd w:val="clear" w:color="auto" w:fill="E2E8EF"/>
            <w:tcMar>
              <w:top w:w="75" w:type="dxa"/>
              <w:left w:w="75" w:type="dxa"/>
              <w:bottom w:w="75" w:type="dxa"/>
              <w:right w:w="75" w:type="dxa"/>
            </w:tcMar>
            <w:vAlign w:val="center"/>
          </w:tcPr>
          <w:p w:rsidR="009B0B28" w:rsidRDefault="00000000">
            <w:pPr>
              <w:spacing w:before="40" w:after="40" w:line="240" w:lineRule="auto"/>
            </w:pPr>
            <w:r>
              <w:rPr>
                <w:b/>
                <w:sz w:val="20"/>
              </w:rPr>
              <w:t>Taux marginal IRPP présenté par la DGI</w:t>
            </w:r>
          </w:p>
        </w:tc>
      </w:tr>
      <w:tr w:rsidR="009B0B28">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0 à 1 944 000</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3 %</w:t>
            </w:r>
          </w:p>
        </w:tc>
      </w:tr>
      <w:tr w:rsidR="009B0B28">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1 944 001 à 21 600 000</w:t>
            </w:r>
          </w:p>
        </w:tc>
        <w:tc>
          <w:tcPr>
            <w:tcW w:w="45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15 %</w:t>
            </w:r>
          </w:p>
        </w:tc>
      </w:tr>
      <w:tr w:rsidR="009B0B28">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21 600 001 à 43 200 000</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30 %</w:t>
            </w:r>
          </w:p>
        </w:tc>
      </w:tr>
      <w:tr w:rsidR="009B0B28">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Au-delà de 43 200 000</w:t>
            </w:r>
          </w:p>
        </w:tc>
        <w:tc>
          <w:tcPr>
            <w:tcW w:w="45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40 %</w:t>
            </w:r>
          </w:p>
        </w:tc>
      </w:tr>
    </w:tbl>
    <w:p w:rsidR="009B0B28" w:rsidRDefault="009B0B28">
      <w:pPr>
        <w:spacing w:line="252" w:lineRule="auto"/>
      </w:pPr>
    </w:p>
    <w:p w:rsidR="009B0B28" w:rsidRDefault="00000000">
      <w:pPr>
        <w:spacing w:line="252" w:lineRule="auto"/>
      </w:pPr>
      <w:r>
        <w:rPr>
          <w:sz w:val="21"/>
        </w:rPr>
        <w:t>Le montant total est plafonné à 30 % du revenu imposable selon la présentation DGI. Ce tableau constitue un repère annuel ; la retenue mensuelle doit utiliser la périodicité, les abattements et la base légale appropriés. Faire valider un bulletin témoin avant activation. [R6]</w:t>
      </w:r>
    </w:p>
    <w:p w:rsidR="009B0B28" w:rsidRDefault="00000000">
      <w:pPr>
        <w:spacing w:line="252" w:lineRule="auto"/>
      </w:pPr>
      <w:r>
        <w:rPr>
          <w:sz w:val="21"/>
        </w:rPr>
        <w:t>CNSS, INPP et ONEM : établir une matrice distincte par organisme, catégorie de personnel, assiette, part employeur, part salarié et échéance. Valider les taux auprès des organismes avant saisie. La CNSS indique une déclaration dans les quinze jours suivant le mois civil ; archiver dépôt et règlement. Ces cotisations ne sont pas de l’IS ni de la TVA. [R7]</w:t>
      </w:r>
    </w:p>
    <w:p w:rsidR="009B0B28" w:rsidRDefault="00000000">
      <w:pPr>
        <w:pStyle w:val="Titre2"/>
        <w:spacing w:before="180" w:after="120"/>
      </w:pPr>
      <w:r>
        <w:t>Sous-traitants étrangers et distributions</w:t>
      </w:r>
    </w:p>
    <w:tbl>
      <w:tblPr>
        <w:tblW w:w="0" w:type="auto"/>
        <w:tblLayout w:type="fixed"/>
        <w:tblLook w:val="04A0" w:firstRow="1" w:lastRow="0" w:firstColumn="1" w:lastColumn="0" w:noHBand="0" w:noVBand="1"/>
      </w:tblPr>
      <w:tblGrid>
        <w:gridCol w:w="2835"/>
        <w:gridCol w:w="6803"/>
      </w:tblGrid>
      <w:tr w:rsidR="009B0B28">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2E8EF"/>
            <w:tcMar>
              <w:top w:w="75" w:type="dxa"/>
              <w:left w:w="75" w:type="dxa"/>
              <w:bottom w:w="75" w:type="dxa"/>
              <w:right w:w="75" w:type="dxa"/>
            </w:tcMar>
            <w:vAlign w:val="center"/>
          </w:tcPr>
          <w:p w:rsidR="009B0B28" w:rsidRDefault="00000000">
            <w:pPr>
              <w:spacing w:before="40" w:after="40" w:line="240" w:lineRule="auto"/>
            </w:pPr>
            <w:r>
              <w:rPr>
                <w:b/>
                <w:sz w:val="20"/>
              </w:rPr>
              <w:t>Situation</w:t>
            </w:r>
          </w:p>
        </w:tc>
        <w:tc>
          <w:tcPr>
            <w:tcW w:w="6803" w:type="dxa"/>
            <w:tcBorders>
              <w:top w:val="single" w:sz="4" w:space="0" w:color="D9D9D9"/>
              <w:left w:val="single" w:sz="4" w:space="0" w:color="D9D9D9"/>
              <w:bottom w:val="single" w:sz="4" w:space="0" w:color="D9D9D9"/>
              <w:right w:val="single" w:sz="4" w:space="0" w:color="D9D9D9"/>
            </w:tcBorders>
            <w:shd w:val="clear" w:color="auto" w:fill="E2E8EF"/>
            <w:tcMar>
              <w:top w:w="75" w:type="dxa"/>
              <w:left w:w="75" w:type="dxa"/>
              <w:bottom w:w="75" w:type="dxa"/>
              <w:right w:w="75" w:type="dxa"/>
            </w:tcMar>
            <w:vAlign w:val="center"/>
          </w:tcPr>
          <w:p w:rsidR="009B0B28" w:rsidRDefault="00000000">
            <w:pPr>
              <w:spacing w:before="40" w:after="40" w:line="240" w:lineRule="auto"/>
            </w:pPr>
            <w:r>
              <w:rPr>
                <w:b/>
                <w:sz w:val="20"/>
              </w:rPr>
              <w:t>Décision préalable au règlement</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Service d’un non-résident</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Identifier pays de résidence, lieu et nature du service, établissement stable éventuel, retenue et TVA. Valider assiette, taux et convention avant paiement.</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Dividendes intérêts ou revenus passifs versés à l’étranger</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Examiner le prélèvement instauré ou modifié en 2026, le bénéficiaire effectif et les conventions ; vérifier la date de paiement ou mise à disposition.</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Contrat stipulé net d’impôt</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Déterminer qui supporte le prélèvement et si une majoration de la base est requise. Faire approuver le coût fiscal avant signature.</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Fournisseur résident</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Vérifier NIF, facture et retenues propres à l’opération ; la retenue sur non-résidents ne s’applique pas par défaut.</w:t>
            </w:r>
          </w:p>
        </w:tc>
      </w:tr>
    </w:tbl>
    <w:p w:rsidR="009B0B28" w:rsidRDefault="009B0B28">
      <w:pPr>
        <w:spacing w:line="252" w:lineRule="auto"/>
      </w:pPr>
    </w:p>
    <w:p w:rsidR="009B0B28" w:rsidRDefault="00000000">
      <w:pPr>
        <w:pStyle w:val="Titre2"/>
        <w:spacing w:before="180" w:after="120"/>
      </w:pPr>
      <w:r>
        <w:t>Selon la province et les biens exploités</w:t>
      </w:r>
    </w:p>
    <w:p w:rsidR="009B0B28" w:rsidRDefault="00000000">
      <w:pPr>
        <w:spacing w:line="252" w:lineRule="auto"/>
      </w:pPr>
      <w:r>
        <w:rPr>
          <w:sz w:val="21"/>
        </w:rPr>
        <w:t>Pour chaque siège, agence ou chantier, recenser les obligations auprès du service provincial compétent et les prélèvements nationaux non fiscaux : foncier, revenus locatifs ou obligations du locataire, véhicules, autorisations, redevances et importations. Joindre l’édit ou le texte, le tarif, l’assiette et la preuve d’exigibilité. La province et les biens de MY DESTINY restant à préciser, aucun tarif local uniforme n’est proposé.</w:t>
      </w:r>
    </w:p>
    <w:p w:rsidR="009B0B28" w:rsidRDefault="00000000">
      <w:pPr>
        <w:pStyle w:val="Titre1"/>
        <w:pageBreakBefore/>
      </w:pPr>
      <w:r>
        <w:lastRenderedPageBreak/>
        <w:t>F5  Calendrier comptes et circuit de validation</w:t>
      </w:r>
    </w:p>
    <w:tbl>
      <w:tblPr>
        <w:tblW w:w="0" w:type="auto"/>
        <w:tblLayout w:type="fixed"/>
        <w:tblLook w:val="04A0" w:firstRow="1" w:lastRow="0" w:firstColumn="1" w:lastColumn="0" w:noHBand="0" w:noVBand="1"/>
      </w:tblPr>
      <w:tblGrid>
        <w:gridCol w:w="2835"/>
        <w:gridCol w:w="6803"/>
      </w:tblGrid>
      <w:tr w:rsidR="009B0B28">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2E8EF"/>
            <w:tcMar>
              <w:top w:w="75" w:type="dxa"/>
              <w:left w:w="75" w:type="dxa"/>
              <w:bottom w:w="75" w:type="dxa"/>
              <w:right w:w="75" w:type="dxa"/>
            </w:tcMar>
            <w:vAlign w:val="center"/>
          </w:tcPr>
          <w:p w:rsidR="009B0B28" w:rsidRDefault="00000000">
            <w:pPr>
              <w:spacing w:before="40" w:after="40" w:line="240" w:lineRule="auto"/>
            </w:pPr>
            <w:r>
              <w:rPr>
                <w:b/>
                <w:sz w:val="20"/>
              </w:rPr>
              <w:t>Période ou déclencheur</w:t>
            </w:r>
          </w:p>
        </w:tc>
        <w:tc>
          <w:tcPr>
            <w:tcW w:w="6803" w:type="dxa"/>
            <w:tcBorders>
              <w:top w:val="single" w:sz="4" w:space="0" w:color="D9D9D9"/>
              <w:left w:val="single" w:sz="4" w:space="0" w:color="D9D9D9"/>
              <w:bottom w:val="single" w:sz="4" w:space="0" w:color="D9D9D9"/>
              <w:right w:val="single" w:sz="4" w:space="0" w:color="D9D9D9"/>
            </w:tcBorders>
            <w:shd w:val="clear" w:color="auto" w:fill="E2E8EF"/>
            <w:tcMar>
              <w:top w:w="75" w:type="dxa"/>
              <w:left w:w="75" w:type="dxa"/>
              <w:bottom w:w="75" w:type="dxa"/>
              <w:right w:w="75" w:type="dxa"/>
            </w:tcMar>
            <w:vAlign w:val="center"/>
          </w:tcPr>
          <w:p w:rsidR="009B0B28" w:rsidRDefault="00000000">
            <w:pPr>
              <w:spacing w:before="40" w:after="40" w:line="240" w:lineRule="auto"/>
            </w:pPr>
            <w:r>
              <w:rPr>
                <w:b/>
                <w:sz w:val="20"/>
              </w:rPr>
              <w:t>Action à programmer</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À l’ouverture ou au changement d’activité</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Valider NIF, service gestionnaire, régime, statut TVA et implantations ; mettre à jour la fiche fiscale.</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À chaque facture et paiement</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Contrôler normalisation, exigibilité TVA et éventuelles retenues ; rattacher au chantier et au tiers.</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Chaque clôture mensuelle</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Rapprocher comptabilité, ventes, achats, encaissements, salaires et déclarations ; préparer les déclarations dues le mois suivant.</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Au plus tard le 15 suivant</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TVA et retenues mensuelles concernées selon les textes et communiqués applicables ; distinguer échéances sociales.</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25 juillet 25 septembre 25 novembre</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Acomptes IS selon régime général ; contrôler base, preuve de versement et prorogations officielles.</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31 mars selon obligation applicable</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Liste annuelle clients et fournisseurs : vérifier le formulaire, le périmètre et le communiqué de la campagne.</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Au plus tard le 30 avril suivant</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Déclaration annuelle IS et solde ; annexes et réconciliation du résultat fiscal.</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Avant échéance locale ou opération internationale</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Valider textes provinciaux, douanes et retenues étrangères ; ne pas inventer une échéance nationale uniforme.</w:t>
            </w:r>
          </w:p>
        </w:tc>
      </w:tr>
    </w:tbl>
    <w:p w:rsidR="009B0B28" w:rsidRDefault="009B0B28">
      <w:pPr>
        <w:spacing w:line="252" w:lineRule="auto"/>
      </w:pPr>
    </w:p>
    <w:p w:rsidR="009B0B28" w:rsidRDefault="00000000">
      <w:pPr>
        <w:spacing w:line="252" w:lineRule="auto"/>
      </w:pPr>
      <w:r>
        <w:rPr>
          <w:sz w:val="21"/>
        </w:rPr>
        <w:t>Créer une tâche avant chaque échéance et conserver deux dates : échéance légale et échéance interne anticipée. En cas de prorogation, enregistrer le communiqué et garder la date d’origine. [R1 à R3]</w:t>
      </w:r>
    </w:p>
    <w:p w:rsidR="009B0B28" w:rsidRDefault="00000000">
      <w:pPr>
        <w:pStyle w:val="Titre2"/>
        <w:spacing w:before="180" w:after="120"/>
      </w:pPr>
      <w:r>
        <w:t>Rattachement comptable proposé</w:t>
      </w:r>
    </w:p>
    <w:tbl>
      <w:tblPr>
        <w:tblW w:w="0" w:type="auto"/>
        <w:tblLayout w:type="fixed"/>
        <w:tblLook w:val="04A0" w:firstRow="1" w:lastRow="0" w:firstColumn="1" w:lastColumn="0" w:noHBand="0" w:noVBand="1"/>
      </w:tblPr>
      <w:tblGrid>
        <w:gridCol w:w="2835"/>
        <w:gridCol w:w="6803"/>
      </w:tblGrid>
      <w:tr w:rsidR="009B0B28">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2E8EF"/>
            <w:tcMar>
              <w:top w:w="75" w:type="dxa"/>
              <w:left w:w="75" w:type="dxa"/>
              <w:bottom w:w="75" w:type="dxa"/>
              <w:right w:w="75" w:type="dxa"/>
            </w:tcMar>
            <w:vAlign w:val="center"/>
          </w:tcPr>
          <w:p w:rsidR="009B0B28" w:rsidRDefault="00000000">
            <w:pPr>
              <w:spacing w:before="40" w:after="40" w:line="240" w:lineRule="auto"/>
            </w:pPr>
            <w:r>
              <w:rPr>
                <w:b/>
                <w:sz w:val="20"/>
              </w:rPr>
              <w:t>Famille SYSCOHADA</w:t>
            </w:r>
          </w:p>
        </w:tc>
        <w:tc>
          <w:tcPr>
            <w:tcW w:w="6803" w:type="dxa"/>
            <w:tcBorders>
              <w:top w:val="single" w:sz="4" w:space="0" w:color="D9D9D9"/>
              <w:left w:val="single" w:sz="4" w:space="0" w:color="D9D9D9"/>
              <w:bottom w:val="single" w:sz="4" w:space="0" w:color="D9D9D9"/>
              <w:right w:val="single" w:sz="4" w:space="0" w:color="D9D9D9"/>
            </w:tcBorders>
            <w:shd w:val="clear" w:color="auto" w:fill="E2E8EF"/>
            <w:tcMar>
              <w:top w:w="75" w:type="dxa"/>
              <w:left w:w="75" w:type="dxa"/>
              <w:bottom w:w="75" w:type="dxa"/>
              <w:right w:w="75" w:type="dxa"/>
            </w:tcMar>
            <w:vAlign w:val="center"/>
          </w:tcPr>
          <w:p w:rsidR="009B0B28" w:rsidRDefault="00000000">
            <w:pPr>
              <w:spacing w:before="40" w:after="40" w:line="240" w:lineRule="auto"/>
            </w:pPr>
            <w:r>
              <w:rPr>
                <w:b/>
                <w:sz w:val="20"/>
              </w:rPr>
              <w:t>Suivi fiscal distinct à créer après validation</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441 et 89</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Dette d’IS et charge d’impôt ; sous-comptes séparés pour acomptes et solde, à valider.</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443 444 445</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TVA collectée, liquidation ou crédit et TVA déductible ; isoler taxe en attente et non déductible.</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447</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IRPP retenu et autres prélèvements à la source : une subdivision par nature.</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43 et 66</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Organismes sociaux et charges de personnel selon nomenclature validée.</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64 et comptes de tiers appropriés</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Impôts et taxes autres que l’impôt sur le résultat ; individualiser administration et province.</w:t>
            </w:r>
          </w:p>
        </w:tc>
      </w:tr>
    </w:tbl>
    <w:p w:rsidR="009B0B28" w:rsidRDefault="009B0B28">
      <w:pPr>
        <w:spacing w:line="252" w:lineRule="auto"/>
      </w:pPr>
    </w:p>
    <w:p w:rsidR="009B0B28" w:rsidRDefault="00000000">
      <w:pPr>
        <w:pStyle w:val="Titre2"/>
        <w:spacing w:before="180" w:after="120"/>
      </w:pPr>
      <w:r>
        <w:t>Workflow N0 → N1 → N2 → N3 → DG</w:t>
      </w:r>
    </w:p>
    <w:p w:rsidR="009B0B28" w:rsidRDefault="00000000">
      <w:pPr>
        <w:spacing w:line="252" w:lineRule="auto"/>
      </w:pPr>
      <w:r>
        <w:rPr>
          <w:sz w:val="21"/>
        </w:rPr>
        <w:t>N0 réunit les pièces ; N1 vérifie tiers et chantier ; N2 contrôle calcul et comptabilité ; N3 valide déclaration et paiement ; DG approuve les exceptions selon délégations. Conserver auteur, date et justification. Une pièce bloquée ne reporte pas l’exigibilité : déclencher les alertes avant l’échéance légale.</w:t>
      </w:r>
    </w:p>
    <w:p w:rsidR="009B0B28" w:rsidRDefault="00000000">
      <w:pPr>
        <w:pStyle w:val="Titre1"/>
        <w:pageBreakBefore/>
      </w:pPr>
      <w:r>
        <w:lastRenderedPageBreak/>
        <w:t>F6  Contrôles tests et références fiscales</w:t>
      </w:r>
    </w:p>
    <w:tbl>
      <w:tblPr>
        <w:tblW w:w="0" w:type="auto"/>
        <w:tblLayout w:type="fixed"/>
        <w:tblLook w:val="04A0" w:firstRow="1" w:lastRow="0" w:firstColumn="1" w:lastColumn="0" w:noHBand="0" w:noVBand="1"/>
      </w:tblPr>
      <w:tblGrid>
        <w:gridCol w:w="2835"/>
        <w:gridCol w:w="6803"/>
      </w:tblGrid>
      <w:tr w:rsidR="009B0B28">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2E8EF"/>
            <w:tcMar>
              <w:top w:w="75" w:type="dxa"/>
              <w:left w:w="75" w:type="dxa"/>
              <w:bottom w:w="75" w:type="dxa"/>
              <w:right w:w="75" w:type="dxa"/>
            </w:tcMar>
            <w:vAlign w:val="center"/>
          </w:tcPr>
          <w:p w:rsidR="009B0B28" w:rsidRDefault="00000000">
            <w:pPr>
              <w:spacing w:before="40" w:after="40" w:line="240" w:lineRule="auto"/>
            </w:pPr>
            <w:r>
              <w:rPr>
                <w:b/>
                <w:sz w:val="20"/>
              </w:rPr>
              <w:t>Test avant mise en service</w:t>
            </w:r>
          </w:p>
        </w:tc>
        <w:tc>
          <w:tcPr>
            <w:tcW w:w="6803" w:type="dxa"/>
            <w:tcBorders>
              <w:top w:val="single" w:sz="4" w:space="0" w:color="D9D9D9"/>
              <w:left w:val="single" w:sz="4" w:space="0" w:color="D9D9D9"/>
              <w:bottom w:val="single" w:sz="4" w:space="0" w:color="D9D9D9"/>
              <w:right w:val="single" w:sz="4" w:space="0" w:color="D9D9D9"/>
            </w:tcBorders>
            <w:shd w:val="clear" w:color="auto" w:fill="E2E8EF"/>
            <w:tcMar>
              <w:top w:w="75" w:type="dxa"/>
              <w:left w:w="75" w:type="dxa"/>
              <w:bottom w:w="75" w:type="dxa"/>
              <w:right w:w="75" w:type="dxa"/>
            </w:tcMar>
            <w:vAlign w:val="center"/>
          </w:tcPr>
          <w:p w:rsidR="009B0B28" w:rsidRDefault="00000000">
            <w:pPr>
              <w:spacing w:before="40" w:after="40" w:line="240" w:lineRule="auto"/>
            </w:pPr>
            <w:r>
              <w:rPr>
                <w:b/>
                <w:sz w:val="20"/>
              </w:rPr>
              <w:t>Résultat attendu à vérifier</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Société non assujettie</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TVA collectée désactivée ; taxe d’achat non déductible traitée selon sa nature.</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Vente normale et achat déductible</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L’exemple F3 donne 960 000 CDF ; journaux, déclaration et grand livre concordent.</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Taux réduit BTP</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Application bloquée sans dossier d’éligibilité et contingentement lorsque requis.</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Encaissement partiel et acompte</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Aucune double collecte ; exigibilité calculée selon la règle validée.</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Mois sans opération</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Déclaration néant générée si requise ; crédit antérieur conservé.</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Perte ou faible résultat</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Minimum d’IS testé, exceptions tracées ; acomptes imputés une seule fois.</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Paie et prestataire étranger</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rsidR="009B0B28" w:rsidRDefault="00000000">
            <w:pPr>
              <w:spacing w:before="40" w:after="40" w:line="240" w:lineRule="auto"/>
            </w:pPr>
            <w:r>
              <w:rPr>
                <w:sz w:val="20"/>
              </w:rPr>
              <w:t>Bulletin témoin et paiement témoin validés ; assiettes, retenues et dettes rapprochées.</w:t>
            </w:r>
          </w:p>
        </w:tc>
      </w:tr>
      <w:tr w:rsidR="009B0B28">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Avoir doublon et retard</w:t>
            </w:r>
          </w:p>
        </w:tc>
        <w:tc>
          <w:tcPr>
            <w:tcW w:w="6803" w:type="dxa"/>
            <w:tcBorders>
              <w:top w:val="single" w:sz="4" w:space="0" w:color="D9D9D9"/>
              <w:left w:val="single" w:sz="4" w:space="0" w:color="D9D9D9"/>
              <w:bottom w:val="single" w:sz="4" w:space="0" w:color="D9D9D9"/>
              <w:right w:val="single" w:sz="4" w:space="0" w:color="D9D9D9"/>
            </w:tcBorders>
            <w:shd w:val="clear" w:color="auto" w:fill="F5F7FA"/>
            <w:tcMar>
              <w:top w:w="75" w:type="dxa"/>
              <w:left w:w="75" w:type="dxa"/>
              <w:bottom w:w="75" w:type="dxa"/>
              <w:right w:w="75" w:type="dxa"/>
            </w:tcMar>
            <w:vAlign w:val="center"/>
          </w:tcPr>
          <w:p w:rsidR="009B0B28" w:rsidRDefault="00000000">
            <w:pPr>
              <w:spacing w:before="40" w:after="40" w:line="240" w:lineRule="auto"/>
            </w:pPr>
            <w:r>
              <w:rPr>
                <w:sz w:val="20"/>
              </w:rPr>
              <w:t>Historique conservé, doublon bloqué, échéance dépassée signalée à N3 et DG.</w:t>
            </w:r>
          </w:p>
        </w:tc>
      </w:tr>
    </w:tbl>
    <w:p w:rsidR="009B0B28" w:rsidRDefault="009B0B28">
      <w:pPr>
        <w:spacing w:line="252" w:lineRule="auto"/>
      </w:pPr>
    </w:p>
    <w:p w:rsidR="009B0B28" w:rsidRDefault="00000000">
      <w:pPr>
        <w:spacing w:line="252" w:lineRule="auto"/>
      </w:pPr>
      <w:r>
        <w:rPr>
          <w:sz w:val="21"/>
        </w:rPr>
        <w:t>Tenir un registre de validation : scénario, données fictives, résultat attendu, résultat observé, responsable, anomalie et décision. Aucun résultat de ces tests n’est présenté ici comme déjà constaté.</w:t>
      </w:r>
    </w:p>
    <w:p w:rsidR="009B0B28" w:rsidRDefault="00000000">
      <w:pPr>
        <w:pStyle w:val="Titre2"/>
        <w:spacing w:before="180" w:after="120"/>
      </w:pPr>
      <w:r>
        <w:t>Sources officielles et suivi des versions</w:t>
      </w:r>
    </w:p>
    <w:p w:rsidR="009B0B28" w:rsidRDefault="00000000">
      <w:pPr>
        <w:spacing w:line="252" w:lineRule="auto"/>
      </w:pPr>
      <w:r>
        <w:rPr>
          <w:sz w:val="18"/>
        </w:rPr>
        <w:t>R1  DGI, IS et communiqués 2026 : transition et échéances.</w:t>
      </w:r>
      <w:r>
        <w:rPr>
          <w:sz w:val="18"/>
        </w:rPr>
        <w:br/>
        <w:t>https://dgi.gouv.cd/impot-sur-les-societes/ ; https://dgi.gouv.cd/communiques-officiels/</w:t>
      </w:r>
    </w:p>
    <w:p w:rsidR="009B0B28" w:rsidRDefault="00000000">
      <w:pPr>
        <w:spacing w:line="252" w:lineRule="auto"/>
      </w:pPr>
      <w:r>
        <w:rPr>
          <w:sz w:val="18"/>
        </w:rPr>
        <w:t>R2  DGI, dépliant IS ; communiqué du deuxième acompte 2026.</w:t>
      </w:r>
      <w:r>
        <w:rPr>
          <w:sz w:val="18"/>
        </w:rPr>
        <w:br/>
        <w:t>https://dgi.gouv.cd/wp-content/uploads/2025/10/DEPLIANT-IS-BON.pdf ; https://dgi.gouv.cd/wp-content/uploads/2026/09/Com-ech-15-septembre.pdf</w:t>
      </w:r>
    </w:p>
    <w:p w:rsidR="009B0B28" w:rsidRDefault="00000000">
      <w:pPr>
        <w:spacing w:line="252" w:lineRule="auto"/>
      </w:pPr>
      <w:r>
        <w:rPr>
          <w:sz w:val="18"/>
        </w:rPr>
        <w:t>R3  Ministère du Budget, loi 25/060 du 29 décembre 2025 et loi rectificative 26/032 du 7 août 2026. TVA : articles 46 à 48 de la loi initiale et article 13 de la rectificative ; vérifier la consolidation.</w:t>
      </w:r>
      <w:r>
        <w:rPr>
          <w:sz w:val="18"/>
        </w:rPr>
        <w:br/>
        <w:t>https://budget.gouv.cd/budget-2026/</w:t>
      </w:r>
    </w:p>
    <w:p w:rsidR="009B0B28" w:rsidRDefault="00000000">
      <w:pPr>
        <w:spacing w:line="252" w:lineRule="auto"/>
      </w:pPr>
      <w:r>
        <w:rPr>
          <w:sz w:val="18"/>
        </w:rPr>
        <w:t>R4  DGI, présentation TVA et conditions d’assujettissement.</w:t>
      </w:r>
      <w:r>
        <w:rPr>
          <w:sz w:val="18"/>
        </w:rPr>
        <w:br/>
        <w:t>https://dgi.gouv.cd/taxe-sur-la-valeur-ajoutee-tva/</w:t>
      </w:r>
    </w:p>
    <w:p w:rsidR="009B0B28" w:rsidRDefault="00000000">
      <w:pPr>
        <w:spacing w:line="252" w:lineRule="auto"/>
      </w:pPr>
      <w:r>
        <w:rPr>
          <w:sz w:val="18"/>
        </w:rPr>
        <w:t>R5  DGI, communiqué 01/043 du 5 octobre 2026 sur la facture normalisée.</w:t>
      </w:r>
      <w:r>
        <w:rPr>
          <w:sz w:val="18"/>
        </w:rPr>
        <w:br/>
        <w:t>https://dgi.gouv.cd/wp-content/uploads/2026/10/Com-TVA.pdf</w:t>
      </w:r>
    </w:p>
    <w:p w:rsidR="009B0B28" w:rsidRDefault="00000000">
      <w:pPr>
        <w:spacing w:line="252" w:lineRule="auto"/>
      </w:pPr>
      <w:r>
        <w:rPr>
          <w:sz w:val="18"/>
        </w:rPr>
        <w:t>R6  DGI, IRPP ; loi 23/053 du 30 novembre 2023, à lire avec ses modifications.</w:t>
      </w:r>
      <w:r>
        <w:rPr>
          <w:sz w:val="18"/>
        </w:rPr>
        <w:br/>
        <w:t>https://dgi.gouv.cd/impot-sur-le-revenu-des-personnes-physiques-irpp/</w:t>
      </w:r>
    </w:p>
    <w:p w:rsidR="009B0B28" w:rsidRDefault="00000000">
      <w:pPr>
        <w:spacing w:line="252" w:lineRule="auto"/>
      </w:pPr>
      <w:r>
        <w:rPr>
          <w:sz w:val="18"/>
        </w:rPr>
        <w:t>R7  CNSS, obligations de l’employeur.</w:t>
      </w:r>
      <w:r>
        <w:rPr>
          <w:sz w:val="18"/>
        </w:rPr>
        <w:br/>
        <w:t>https://cnss.cd/?page_id=1698</w:t>
      </w:r>
    </w:p>
    <w:p w:rsidR="009B0B28" w:rsidRDefault="00000000">
      <w:pPr>
        <w:spacing w:line="252" w:lineRule="auto"/>
      </w:pPr>
      <w:r>
        <w:rPr>
          <w:sz w:val="21"/>
        </w:rPr>
        <w:t>Les paramètres doivent être revus à chaque changement légal ou communiqué. Le présent plan doit être validé pour le régime effectif de MY DESTINY avant utilisation déclarative ou mise en production.</w:t>
      </w:r>
    </w:p>
    <w:sectPr w:rsidR="009B0B28" w:rsidSect="00034616">
      <w:headerReference w:type="default" r:id="rId8"/>
      <w:footerReference w:type="default" r:id="rId9"/>
      <w:pgSz w:w="11906" w:h="16838"/>
      <w:pgMar w:top="1191" w:right="1134" w:bottom="1191"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1E0F" w:rsidRDefault="00A81E0F">
      <w:pPr>
        <w:spacing w:after="0" w:line="240" w:lineRule="auto"/>
      </w:pPr>
      <w:r>
        <w:separator/>
      </w:r>
    </w:p>
  </w:endnote>
  <w:endnote w:type="continuationSeparator" w:id="0">
    <w:p w:rsidR="00A81E0F" w:rsidRDefault="00A81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4EE0" w:rsidRDefault="00000000">
    <w:pPr>
      <w:pStyle w:val="Pieddepage"/>
      <w:jc w:val="right"/>
    </w:pPr>
    <w:r>
      <w:rPr>
        <w:sz w:val="18"/>
      </w:rPr>
      <w:t xml:space="preserve">9 octobre 2026  |  Page </w:t>
    </w:r>
    <w:r>
      <w:fldChar w:fldCharType="begin"/>
    </w:r>
    <w:r>
      <w:instrText>PAGE</w:instrText>
    </w:r>
    <w:r>
      <w:fldChar w:fldCharType="separate"/>
    </w:r>
    <w:r w:rsidR="008A48D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1E0F" w:rsidRDefault="00A81E0F">
      <w:pPr>
        <w:spacing w:after="0" w:line="240" w:lineRule="auto"/>
      </w:pPr>
      <w:r>
        <w:separator/>
      </w:r>
    </w:p>
  </w:footnote>
  <w:footnote w:type="continuationSeparator" w:id="0">
    <w:p w:rsidR="00A81E0F" w:rsidRDefault="00A81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4EE0" w:rsidRDefault="00000000">
    <w:r>
      <w:rPr>
        <w:sz w:val="18"/>
      </w:rPr>
      <w:t>MY DESTINY • BatiGestion V7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43826443">
    <w:abstractNumId w:val="8"/>
  </w:num>
  <w:num w:numId="2" w16cid:durableId="1196575282">
    <w:abstractNumId w:val="6"/>
  </w:num>
  <w:num w:numId="3" w16cid:durableId="1409378379">
    <w:abstractNumId w:val="5"/>
  </w:num>
  <w:num w:numId="4" w16cid:durableId="710883269">
    <w:abstractNumId w:val="4"/>
  </w:num>
  <w:num w:numId="5" w16cid:durableId="1539656512">
    <w:abstractNumId w:val="7"/>
  </w:num>
  <w:num w:numId="6" w16cid:durableId="260531869">
    <w:abstractNumId w:val="3"/>
  </w:num>
  <w:num w:numId="7" w16cid:durableId="1021126175">
    <w:abstractNumId w:val="2"/>
  </w:num>
  <w:num w:numId="8" w16cid:durableId="90396672">
    <w:abstractNumId w:val="1"/>
  </w:num>
  <w:num w:numId="9" w16cid:durableId="1156603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66B9"/>
    <w:rsid w:val="00326F90"/>
    <w:rsid w:val="003B799A"/>
    <w:rsid w:val="008A48DB"/>
    <w:rsid w:val="009B0B28"/>
    <w:rsid w:val="009B4EE0"/>
    <w:rsid w:val="00A81E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38C2EA5-E540-C44F-A1EF-A82D61CC0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Titre1">
    <w:name w:val="heading 1"/>
    <w:basedOn w:val="Normal"/>
    <w:next w:val="Normal"/>
    <w:link w:val="Titre1Car"/>
    <w:uiPriority w:val="9"/>
    <w:qFormat/>
    <w:rsid w:val="00FC693F"/>
    <w:pPr>
      <w:keepNext/>
      <w:keepLines/>
      <w:spacing w:before="240" w:after="140"/>
      <w:outlineLvl w:val="0"/>
    </w:pPr>
    <w:rPr>
      <w:rFonts w:asciiTheme="majorHAnsi" w:eastAsiaTheme="majorEastAsia" w:hAnsiTheme="majorHAnsi" w:cstheme="majorBidi"/>
      <w:b/>
      <w:bCs/>
      <w:sz w:val="32"/>
      <w:szCs w:val="28"/>
    </w:rPr>
  </w:style>
  <w:style w:type="paragraph" w:styleId="Titre2">
    <w:name w:val="heading 2"/>
    <w:basedOn w:val="Normal"/>
    <w:next w:val="Normal"/>
    <w:link w:val="Titre2Car"/>
    <w:uiPriority w:val="9"/>
    <w:unhideWhenUsed/>
    <w:qFormat/>
    <w:rsid w:val="00FC693F"/>
    <w:pPr>
      <w:keepNext/>
      <w:keepLines/>
      <w:spacing w:before="240" w:after="14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unhideWhenUsed/>
    <w:qFormat/>
    <w:rsid w:val="00FC693F"/>
    <w:pPr>
      <w:keepNext/>
      <w:keepLines/>
      <w:spacing w:before="240" w:after="140"/>
      <w:outlineLvl w:val="2"/>
    </w:pPr>
    <w:rPr>
      <w:rFonts w:asciiTheme="majorHAnsi" w:eastAsiaTheme="majorEastAsia" w:hAnsiTheme="majorHAnsi" w:cstheme="majorBidi"/>
      <w:b/>
      <w:bCs/>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before="240" w:after="140" w:line="240" w:lineRule="auto"/>
      <w:contextualSpacing/>
    </w:pPr>
    <w:rPr>
      <w:rFonts w:asciiTheme="majorHAnsi" w:eastAsiaTheme="majorEastAsia" w:hAnsiTheme="majorHAnsi" w:cstheme="majorBidi"/>
      <w:b/>
      <w:spacing w:val="5"/>
      <w:kern w:val="28"/>
      <w:sz w:val="5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6393</Words>
  <Characters>35167</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 BatiGestion V7 — Suivi budgétaire, gestion financière et contrôle interne</dc:title>
  <dc:subject>Recommandations à vérifier</dc:subject>
  <dc:creator>python-docx</dc:creator>
  <cp:keywords/>
  <dc:description>generated by python-docx</dc:description>
  <cp:lastModifiedBy>Patrick Tshinkenke</cp:lastModifiedBy>
  <cp:revision>2</cp:revision>
  <dcterms:created xsi:type="dcterms:W3CDTF">2026-10-09T03:10:00Z</dcterms:created>
  <dcterms:modified xsi:type="dcterms:W3CDTF">2026-10-09T03:10:00Z</dcterms:modified>
  <cp:category/>
</cp:coreProperties>
</file>