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Модель микропроцессора: Intel(R) Core(TM)2 Duo CPU E6550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Тактовая частота микропроцессора: 2.33 гГц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Объем памяти: 1,75 ГБ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Вид памяти: DDR2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Модель системной платы: HD Copmaq dx7400 Microtower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Шины системной платы: PCI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Модель винчестера: ST3250830AS ATA Device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Ёмкость винчестера: 232,88 ГБ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Интерфейс винчестера: Serial ATA (SATA)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Модель видеокарты: Intel(R) Q33 Express Chipset Family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Объем видеопамяти: ~8 ГБ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Дополнительное оборудование: сетевой адаптер Broadcom NetLink(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™</w:t>
      </w:r>
      <w:r w:rsidDel="00000000" w:rsidR="00000000" w:rsidRPr="00000000">
        <w:rPr>
          <w:rtl w:val="0"/>
        </w:rPr>
        <w:t xml:space="preserve">) Gigabit Ethernet; последовательные порты: COM1, COM2; параллельный порт: LPT1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