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p>
      <w:pPr>
        <w:pStyle w:val="FirstParagraph"/>
      </w:pPr>
      <w:r>
        <w:t xml:space="preserve">CFA Level III</w:t>
      </w:r>
    </w:p>
    <w:bookmarkStart w:id="24" w:name="fixed-income"/>
    <w:p>
      <w:pPr>
        <w:pStyle w:val="Heading2"/>
      </w:pPr>
      <w:r>
        <w:t xml:space="preserve">Fixed Income</w:t>
      </w:r>
    </w:p>
    <w:bookmarkStart w:id="20" w:name="fixed-income-investments-provides"/>
    <w:p>
      <w:pPr>
        <w:pStyle w:val="Heading3"/>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3"/>
      </w:pPr>
      <w:r>
        <w:t xml:space="preserve">2. Types of Fixed Income Mandates</w:t>
      </w:r>
    </w:p>
    <w:bookmarkStart w:id="21" w:name="a.-liability-based-mandates"/>
    <w:p>
      <w:pPr>
        <w:pStyle w:val="Heading4"/>
      </w:pPr>
      <w:r>
        <w:t xml:space="preserve">a. Liability Based Mandates</w:t>
      </w:r>
    </w:p>
    <w:p>
      <w:pPr>
        <w:pStyle w:val="FirstParagraph"/>
      </w:pPr>
      <w:r>
        <w:rPr>
          <w:b/>
        </w:rPr>
        <w:t xml:space="preserve">i. Cash-flow Matching:</w:t>
      </w:r>
      <w:r>
        <w:t xml:space="preserve"> </w:t>
      </w:r>
      <w:r>
        <w:t xml:space="preserve">In this form of hedging the liability cash flows are exatly matched with the asset cash flows.</w:t>
      </w:r>
    </w:p>
    <w:p>
      <w:pPr>
        <w:pStyle w:val="BodyText"/>
      </w:pPr>
      <w:r>
        <w:rPr>
          <w:b/>
        </w:rPr>
        <w:t xml:space="preserve">ii. Duration Matching:</w:t>
      </w:r>
      <w:r>
        <w:t xml:space="preserve"> </w:t>
      </w:r>
      <w:r>
        <w:t xml:space="preserve">The duration of liabilities and assets are matched.</w:t>
      </w:r>
    </w:p>
    <w:p>
      <w:pPr>
        <w:pStyle w:val="BodyText"/>
      </w:pPr>
      <w:r>
        <w:rPr>
          <w:b/>
        </w:rPr>
        <w:t xml:space="preserve">iii. 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pStyle w:val="BodyText"/>
      </w:pPr>
      <w:r>
        <w:rPr>
          <w:b/>
        </w:rPr>
        <w:t xml:space="preserve">iv. 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4"/>
      </w:pPr>
      <w:r>
        <w:t xml:space="preserve">b. Total Return Mandates</w:t>
      </w:r>
    </w:p>
    <w:p>
      <w:pPr>
        <w:pStyle w:val="FirstParagraph"/>
      </w:pPr>
      <w:r>
        <w:rPr>
          <w:b/>
        </w:rPr>
        <w:t xml:space="preserve">i. Pure Indexing</w:t>
      </w:r>
      <w:r>
        <w:t xml:space="preserve"> </w:t>
      </w:r>
      <w:r>
        <w:rPr>
          <w:b/>
        </w:rPr>
        <w:t xml:space="preserve">ii. Enhanced Indexing</w:t>
      </w:r>
      <w:r>
        <w:t xml:space="preserve"> </w:t>
      </w:r>
      <w:r>
        <w:rPr>
          <w:b/>
        </w:rPr>
        <w:t xml:space="preserve">iii. Active Management</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2021-03-06T14:00:21Z</dcterms:created>
  <dcterms:modified xsi:type="dcterms:W3CDTF">2021-03-06T14:00:21Z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