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p>
      <w:pPr>
        <w:pStyle w:val="FirstParagraph"/>
      </w:pPr>
      <w:r>
        <w:t xml:space="preserve">CFA Level III</w:t>
      </w:r>
    </w:p>
    <w:bookmarkStart w:id="24" w:name="fixed-income"/>
    <w:p>
      <w:pPr>
        <w:pStyle w:val="Heading2"/>
      </w:pPr>
      <w:r>
        <w:t xml:space="preserve">Fixed Income</w:t>
      </w:r>
    </w:p>
    <w:bookmarkStart w:id="20" w:name="fixed-income-investments-provides"/>
    <w:p>
      <w:pPr>
        <w:pStyle w:val="Heading3"/>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3"/>
      </w:pPr>
      <w:r>
        <w:t xml:space="preserve">2. Types of Fixed Income Mandates</w:t>
      </w:r>
    </w:p>
    <w:bookmarkStart w:id="21" w:name="a.-liability-based-mandates"/>
    <w:p>
      <w:pPr>
        <w:pStyle w:val="Heading4"/>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p>
    <w:p>
      <w:pPr>
        <w:pStyle w:val="BodyText"/>
      </w:pPr>
      <w:r>
        <w:rPr>
          <w:b/>
        </w:rPr>
        <w:t xml:space="preserve">ii. Duration Matching:</w:t>
      </w:r>
      <w:r>
        <w:t xml:space="preserve"> </w:t>
      </w:r>
      <w:r>
        <w:t xml:space="preserve">The duration of liabilities and assets are matched.</w:t>
      </w:r>
    </w:p>
    <w:p>
      <w:pPr>
        <w:pStyle w:val="BodyText"/>
      </w:pP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pStyle w:val="BodyText"/>
      </w:pP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4"/>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2021-03-06T13:56:13Z</dcterms:created>
  <dcterms:modified xsi:type="dcterms:W3CDTF">2021-03-06T13:56:13Z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