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96E3" w14:textId="74B9B085" w:rsidR="00FF66E3" w:rsidRDefault="00FF66E3"/>
    <w:p w14:paraId="1AD2E1BD" w14:textId="272AD4AC" w:rsidR="007C74BE" w:rsidRDefault="007C74BE"/>
    <w:p w14:paraId="58BBF4D8" w14:textId="0941378B" w:rsidR="007C74BE" w:rsidRPr="007C74BE" w:rsidRDefault="007C74BE" w:rsidP="007C74BE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>
        <w:rPr>
          <w:rFonts w:ascii="SimSun" w:eastAsia="SimSun" w:hAnsi="SimSun" w:cs="Times New Roman" w:hint="eastAsia"/>
          <w:b/>
          <w:bCs/>
          <w:color w:val="0070C0"/>
          <w:sz w:val="30"/>
          <w:szCs w:val="30"/>
        </w:rPr>
        <w:t>朱方捷</w:t>
      </w:r>
    </w:p>
    <w:p w14:paraId="3DACE4DA" w14:textId="2EE26465" w:rsidR="007C74BE" w:rsidRPr="007C74BE" w:rsidRDefault="007C74BE" w:rsidP="007C74BE">
      <w:pPr>
        <w:spacing w:after="90"/>
        <w:rPr>
          <w:rFonts w:ascii="Times New Roman" w:eastAsia="Times New Roman" w:hAnsi="Times New Roman" w:cs="Times New Roman"/>
          <w:color w:val="333333"/>
        </w:rPr>
      </w:pPr>
      <w:r>
        <w:rPr>
          <w:rFonts w:hint="eastAsia"/>
          <w:noProof/>
        </w:rPr>
        <w:drawing>
          <wp:inline distT="0" distB="0" distL="0" distR="0" wp14:anchorId="3E3238EE" wp14:editId="27BECBD1">
            <wp:extent cx="1741251" cy="18267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gjie_hbm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631" cy="18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45A1" w14:textId="5D9DE418" w:rsidR="007C74BE" w:rsidRPr="007C74BE" w:rsidRDefault="007C74BE" w:rsidP="007C74BE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7C74BE">
        <w:rPr>
          <w:rFonts w:ascii="SimSun" w:eastAsia="SimSun" w:hAnsi="SimSun" w:cs="Times New Roman" w:hint="eastAsia"/>
          <w:color w:val="333333"/>
        </w:rPr>
        <w:t>教授</w:t>
      </w:r>
    </w:p>
    <w:p w14:paraId="7CB967CC" w14:textId="77777777" w:rsidR="008D0EC9" w:rsidRDefault="008D0EC9" w:rsidP="007C74BE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6680016F" w14:textId="270C0F5E" w:rsidR="007C74BE" w:rsidRDefault="007C74BE" w:rsidP="007C74BE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7C74BE">
        <w:rPr>
          <w:rFonts w:ascii="Times New Roman" w:eastAsia="Times New Roman" w:hAnsi="Times New Roman" w:cs="Times New Roman"/>
          <w:color w:val="333333"/>
        </w:rPr>
        <w:br/>
      </w:r>
      <w:r w:rsidRPr="007C74BE">
        <w:rPr>
          <w:rFonts w:ascii="SimSun" w:eastAsia="SimSun" w:hAnsi="SimSun" w:cs="Times New Roman" w:hint="eastAsia"/>
          <w:b/>
          <w:bCs/>
          <w:color w:val="0070C0"/>
          <w:sz w:val="27"/>
          <w:szCs w:val="27"/>
        </w:rPr>
        <w:t>联系方式：</w:t>
      </w:r>
      <w:r w:rsidRPr="007C74BE">
        <w:rPr>
          <w:rFonts w:ascii="Times New Roman" w:eastAsia="Times New Roman" w:hAnsi="Times New Roman" w:cs="Times New Roman"/>
          <w:color w:val="333333"/>
        </w:rPr>
        <w:br/>
      </w:r>
      <w:r w:rsidRPr="007C74BE">
        <w:rPr>
          <w:rFonts w:ascii="SimSun" w:eastAsia="SimSun" w:hAnsi="SimSun" w:cs="Times New Roman" w:hint="eastAsia"/>
          <w:color w:val="333333"/>
        </w:rPr>
        <w:t>福建农林大学海峡联合研究院</w:t>
      </w:r>
      <w:r w:rsidR="0034409C">
        <w:rPr>
          <w:rFonts w:ascii="SimSun" w:eastAsia="SimSun" w:hAnsi="SimSun" w:cs="Times New Roman" w:hint="eastAsia"/>
          <w:color w:val="333333"/>
        </w:rPr>
        <w:t xml:space="preserve"> </w:t>
      </w:r>
      <w:r w:rsidR="0034409C">
        <w:rPr>
          <w:rFonts w:ascii="SimSun" w:eastAsia="SimSun" w:hAnsi="SimSun" w:cs="Times New Roman"/>
          <w:color w:val="333333"/>
        </w:rPr>
        <w:t xml:space="preserve"> </w:t>
      </w:r>
      <w:r w:rsidRPr="007C74BE">
        <w:rPr>
          <w:rFonts w:ascii="Times New Roman" w:eastAsia="Times New Roman" w:hAnsi="Times New Roman" w:cs="Times New Roman"/>
          <w:color w:val="333333"/>
        </w:rPr>
        <w:t> 350002</w:t>
      </w:r>
      <w:r w:rsidRPr="007C74BE">
        <w:rPr>
          <w:rFonts w:ascii="Times New Roman" w:eastAsia="Times New Roman" w:hAnsi="Times New Roman" w:cs="Times New Roman"/>
          <w:color w:val="333333"/>
        </w:rPr>
        <w:br/>
        <w:t>Email: </w:t>
      </w:r>
      <w:r>
        <w:rPr>
          <w:rFonts w:ascii="Times New Roman" w:eastAsia="Times New Roman" w:hAnsi="Times New Roman" w:cs="Times New Roman" w:hint="eastAsia"/>
          <w:color w:val="333333"/>
        </w:rPr>
        <w:t>fj</w:t>
      </w:r>
      <w:r>
        <w:rPr>
          <w:rFonts w:ascii="Times New Roman" w:eastAsia="Times New Roman" w:hAnsi="Times New Roman" w:cs="Times New Roman"/>
          <w:color w:val="333333"/>
        </w:rPr>
        <w:t>zhu</w:t>
      </w:r>
      <w:r w:rsidRPr="007C74BE">
        <w:rPr>
          <w:rFonts w:ascii="Times New Roman" w:eastAsia="Times New Roman" w:hAnsi="Times New Roman" w:cs="Times New Roman"/>
          <w:color w:val="333333"/>
        </w:rPr>
        <w:t>@</w:t>
      </w:r>
      <w:r>
        <w:rPr>
          <w:rFonts w:ascii="Times New Roman" w:eastAsia="Times New Roman" w:hAnsi="Times New Roman" w:cs="Times New Roman"/>
          <w:color w:val="333333"/>
        </w:rPr>
        <w:t>fafu</w:t>
      </w:r>
      <w:r w:rsidRPr="007C74BE">
        <w:rPr>
          <w:rFonts w:ascii="Times New Roman" w:eastAsia="Times New Roman" w:hAnsi="Times New Roman" w:cs="Times New Roman"/>
          <w:color w:val="333333"/>
        </w:rPr>
        <w:t>.edu.cn</w:t>
      </w:r>
    </w:p>
    <w:p w14:paraId="24D8796F" w14:textId="6FCFE615" w:rsidR="000575C7" w:rsidRDefault="000575C7" w:rsidP="007C74BE">
      <w:pPr>
        <w:shd w:val="clear" w:color="auto" w:fill="FFFFFF"/>
        <w:rPr>
          <w:rFonts w:ascii="SimSun" w:eastAsia="SimSun" w:hAnsi="SimSun" w:cs="SimSun"/>
          <w:color w:val="333333"/>
        </w:rPr>
      </w:pPr>
    </w:p>
    <w:p w14:paraId="15BA9FE7" w14:textId="77777777" w:rsidR="008D0EC9" w:rsidRDefault="008D0EC9" w:rsidP="007C74BE">
      <w:pPr>
        <w:shd w:val="clear" w:color="auto" w:fill="FFFFFF"/>
        <w:rPr>
          <w:rFonts w:ascii="SimSun" w:eastAsia="SimSun" w:hAnsi="SimSun" w:cs="SimSun"/>
          <w:color w:val="333333"/>
        </w:rPr>
      </w:pPr>
    </w:p>
    <w:p w14:paraId="389B17FE" w14:textId="7523015D" w:rsidR="000575C7" w:rsidRPr="000575C7" w:rsidRDefault="000575C7" w:rsidP="007C74BE">
      <w:pPr>
        <w:shd w:val="clear" w:color="auto" w:fill="FFFFFF"/>
        <w:rPr>
          <w:rFonts w:ascii="SimSun" w:eastAsia="SimSun" w:hAnsi="SimSun" w:cs="Times New Roman"/>
          <w:b/>
          <w:bCs/>
          <w:color w:val="0070C0"/>
          <w:sz w:val="27"/>
          <w:szCs w:val="27"/>
        </w:rPr>
      </w:pPr>
      <w:r w:rsidRPr="000575C7">
        <w:rPr>
          <w:rFonts w:ascii="SimSun" w:eastAsia="SimSun" w:hAnsi="SimSun" w:cs="Times New Roman" w:hint="eastAsia"/>
          <w:b/>
          <w:bCs/>
          <w:color w:val="0070C0"/>
          <w:sz w:val="27"/>
          <w:szCs w:val="27"/>
        </w:rPr>
        <w:t>实验室主页：</w:t>
      </w:r>
    </w:p>
    <w:p w14:paraId="5AF83589" w14:textId="30D15347" w:rsidR="000575C7" w:rsidRPr="007C74BE" w:rsidRDefault="00F929E2" w:rsidP="000575C7">
      <w:hyperlink r:id="rId6" w:history="1">
        <w:r w:rsidR="000575C7">
          <w:rPr>
            <w:rStyle w:val="Hyperlink"/>
          </w:rPr>
          <w:t>https://hbmcsysbio.github.io/</w:t>
        </w:r>
      </w:hyperlink>
    </w:p>
    <w:p w14:paraId="7BF3D910" w14:textId="77777777" w:rsidR="008D0EC9" w:rsidRDefault="008D0EC9" w:rsidP="007C74BE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7314050C" w14:textId="33952687" w:rsidR="007C74BE" w:rsidRPr="007C74BE" w:rsidRDefault="007C74BE" w:rsidP="007C74BE">
      <w:pPr>
        <w:shd w:val="clear" w:color="auto" w:fill="FFFFFF"/>
        <w:rPr>
          <w:rFonts w:ascii="SimSun" w:eastAsia="SimSun" w:hAnsi="SimSun" w:cs="Times New Roman"/>
          <w:color w:val="333333"/>
        </w:rPr>
      </w:pPr>
      <w:r w:rsidRPr="007C74BE">
        <w:rPr>
          <w:rFonts w:ascii="Times New Roman" w:eastAsia="Times New Roman" w:hAnsi="Times New Roman" w:cs="Times New Roman"/>
          <w:color w:val="333333"/>
        </w:rPr>
        <w:br/>
      </w:r>
      <w:r w:rsidRPr="007C74BE">
        <w:rPr>
          <w:rFonts w:ascii="SimSun" w:eastAsia="SimSun" w:hAnsi="SimSun" w:cs="Times New Roman" w:hint="eastAsia"/>
          <w:b/>
          <w:bCs/>
          <w:color w:val="0070C0"/>
          <w:sz w:val="27"/>
          <w:szCs w:val="27"/>
        </w:rPr>
        <w:t>学习及工作经历：</w:t>
      </w:r>
      <w:r w:rsidRPr="007C74BE">
        <w:rPr>
          <w:rFonts w:ascii="Times New Roman" w:eastAsia="Times New Roman" w:hAnsi="Times New Roman" w:cs="Times New Roman"/>
          <w:color w:val="333333"/>
        </w:rPr>
        <w:br/>
      </w:r>
      <w:r w:rsidRPr="007C74BE">
        <w:rPr>
          <w:rFonts w:ascii="SimSun" w:eastAsia="SimSun" w:hAnsi="SimSun" w:cs="Times New Roman" w:hint="eastAsia"/>
          <w:color w:val="333333"/>
        </w:rPr>
        <w:t>2003–2010</w:t>
      </w:r>
      <w:r>
        <w:rPr>
          <w:rFonts w:ascii="SimSun" w:eastAsia="SimSun" w:hAnsi="SimSun" w:cs="Times New Roman"/>
          <w:color w:val="333333"/>
        </w:rPr>
        <w:t xml:space="preserve">   </w:t>
      </w:r>
      <w:r w:rsidRPr="007C74BE">
        <w:rPr>
          <w:rFonts w:ascii="SimSun" w:eastAsia="SimSun" w:hAnsi="SimSun" w:cs="Times New Roman" w:hint="eastAsia"/>
          <w:color w:val="333333"/>
        </w:rPr>
        <w:t>清华大学</w:t>
      </w:r>
      <w:r>
        <w:rPr>
          <w:rFonts w:ascii="SimSun" w:eastAsia="SimSun" w:hAnsi="SimSun" w:cs="Times New Roman" w:hint="eastAsia"/>
          <w:color w:val="333333"/>
        </w:rPr>
        <w:t xml:space="preserve"> </w:t>
      </w:r>
      <w:r>
        <w:rPr>
          <w:rFonts w:ascii="SimSun" w:eastAsia="SimSun" w:hAnsi="SimSun" w:cs="Times New Roman"/>
          <w:color w:val="333333"/>
        </w:rPr>
        <w:t xml:space="preserve">  </w:t>
      </w:r>
      <w:r w:rsidRPr="007C74BE">
        <w:rPr>
          <w:rFonts w:ascii="SimSun" w:eastAsia="SimSun" w:hAnsi="SimSun" w:cs="Times New Roman" w:hint="eastAsia"/>
          <w:color w:val="333333"/>
        </w:rPr>
        <w:t>学士，硕士</w:t>
      </w:r>
    </w:p>
    <w:p w14:paraId="6212807D" w14:textId="461825C6" w:rsidR="007C74BE" w:rsidRPr="007C74BE" w:rsidRDefault="007C74BE" w:rsidP="007C74BE">
      <w:pPr>
        <w:shd w:val="clear" w:color="auto" w:fill="FFFFFF"/>
        <w:rPr>
          <w:rFonts w:ascii="SimSun" w:eastAsia="SimSun" w:hAnsi="SimSun" w:cs="Times New Roman"/>
          <w:color w:val="333333"/>
        </w:rPr>
      </w:pPr>
      <w:r w:rsidRPr="007C74BE">
        <w:rPr>
          <w:rFonts w:ascii="SimSun" w:eastAsia="SimSun" w:hAnsi="SimSun" w:cs="Times New Roman" w:hint="eastAsia"/>
          <w:color w:val="333333"/>
        </w:rPr>
        <w:t>2010–2013</w:t>
      </w:r>
      <w:r>
        <w:rPr>
          <w:rFonts w:ascii="SimSun" w:eastAsia="SimSun" w:hAnsi="SimSun" w:cs="Times New Roman"/>
          <w:color w:val="333333"/>
        </w:rPr>
        <w:t xml:space="preserve">   </w:t>
      </w:r>
      <w:r w:rsidRPr="007C74BE">
        <w:rPr>
          <w:rFonts w:ascii="SimSun" w:eastAsia="SimSun" w:hAnsi="SimSun" w:cs="Times New Roman" w:hint="eastAsia"/>
          <w:color w:val="333333"/>
        </w:rPr>
        <w:t xml:space="preserve">东京大学 </w:t>
      </w:r>
      <w:r>
        <w:rPr>
          <w:rFonts w:ascii="SimSun" w:eastAsia="SimSun" w:hAnsi="SimSun" w:cs="Times New Roman"/>
          <w:color w:val="333333"/>
        </w:rPr>
        <w:t xml:space="preserve">  </w:t>
      </w:r>
      <w:r w:rsidRPr="007C74BE">
        <w:rPr>
          <w:rFonts w:ascii="SimSun" w:eastAsia="SimSun" w:hAnsi="SimSun" w:cs="Times New Roman" w:hint="eastAsia"/>
          <w:color w:val="333333"/>
        </w:rPr>
        <w:t>博士</w:t>
      </w:r>
    </w:p>
    <w:p w14:paraId="7AD8213C" w14:textId="52BABB81" w:rsidR="007C74BE" w:rsidRPr="007C74BE" w:rsidRDefault="007C74BE" w:rsidP="007C74BE">
      <w:pPr>
        <w:shd w:val="clear" w:color="auto" w:fill="FFFFFF"/>
        <w:rPr>
          <w:rFonts w:ascii="SimSun" w:eastAsia="SimSun" w:hAnsi="SimSun" w:cs="Times New Roman"/>
          <w:color w:val="333333"/>
        </w:rPr>
      </w:pPr>
      <w:r w:rsidRPr="007C74BE">
        <w:rPr>
          <w:rFonts w:ascii="SimSun" w:eastAsia="SimSun" w:hAnsi="SimSun" w:cs="Times New Roman" w:hint="eastAsia"/>
          <w:color w:val="333333"/>
        </w:rPr>
        <w:t xml:space="preserve">2014–2018  </w:t>
      </w:r>
      <w:r>
        <w:rPr>
          <w:rFonts w:ascii="SimSun" w:eastAsia="SimSun" w:hAnsi="SimSun" w:cs="Times New Roman"/>
          <w:color w:val="333333"/>
        </w:rPr>
        <w:t xml:space="preserve"> </w:t>
      </w:r>
      <w:r w:rsidRPr="007C74BE">
        <w:rPr>
          <w:rFonts w:ascii="SimSun" w:eastAsia="SimSun" w:hAnsi="SimSun" w:cs="Times New Roman" w:hint="eastAsia"/>
          <w:color w:val="333333"/>
        </w:rPr>
        <w:t xml:space="preserve">卡罗林斯卡医学院 </w:t>
      </w:r>
      <w:r>
        <w:rPr>
          <w:rFonts w:ascii="SimSun" w:eastAsia="SimSun" w:hAnsi="SimSun" w:cs="Times New Roman"/>
          <w:color w:val="333333"/>
        </w:rPr>
        <w:t xml:space="preserve">  </w:t>
      </w:r>
      <w:r>
        <w:rPr>
          <w:rFonts w:ascii="SimSun" w:eastAsia="SimSun" w:hAnsi="SimSun" w:cs="Times New Roman" w:hint="eastAsia"/>
          <w:color w:val="333333"/>
        </w:rPr>
        <w:t>博士后</w:t>
      </w:r>
    </w:p>
    <w:p w14:paraId="507FF53B" w14:textId="09E7483B" w:rsidR="007C74BE" w:rsidRPr="007C74BE" w:rsidRDefault="007C74BE" w:rsidP="007C74BE">
      <w:pPr>
        <w:shd w:val="clear" w:color="auto" w:fill="FFFFFF"/>
        <w:rPr>
          <w:rFonts w:ascii="SimSun" w:eastAsia="SimSun" w:hAnsi="SimSun" w:cs="Times New Roman"/>
          <w:color w:val="333333"/>
        </w:rPr>
      </w:pPr>
      <w:r w:rsidRPr="007C74BE">
        <w:rPr>
          <w:rFonts w:ascii="SimSun" w:eastAsia="SimSun" w:hAnsi="SimSun" w:cs="Times New Roman" w:hint="eastAsia"/>
          <w:color w:val="333333"/>
        </w:rPr>
        <w:t>2018–2020   剑桥大学</w:t>
      </w:r>
      <w:r>
        <w:rPr>
          <w:rFonts w:ascii="SimSun" w:eastAsia="SimSun" w:hAnsi="SimSun" w:cs="Times New Roman" w:hint="eastAsia"/>
          <w:color w:val="333333"/>
        </w:rPr>
        <w:t xml:space="preserve"> </w:t>
      </w:r>
      <w:r>
        <w:rPr>
          <w:rFonts w:ascii="SimSun" w:eastAsia="SimSun" w:hAnsi="SimSun" w:cs="Times New Roman"/>
          <w:color w:val="333333"/>
        </w:rPr>
        <w:t xml:space="preserve">  </w:t>
      </w:r>
      <w:r>
        <w:rPr>
          <w:rFonts w:ascii="SimSun" w:eastAsia="SimSun" w:hAnsi="SimSun" w:cs="Times New Roman" w:hint="eastAsia"/>
          <w:color w:val="333333"/>
        </w:rPr>
        <w:t>R</w:t>
      </w:r>
      <w:r w:rsidRPr="007C74BE">
        <w:rPr>
          <w:rFonts w:ascii="SimSun" w:eastAsia="SimSun" w:hAnsi="SimSun" w:cs="Times New Roman" w:hint="eastAsia"/>
          <w:color w:val="333333"/>
        </w:rPr>
        <w:t>esearch Associate</w:t>
      </w:r>
    </w:p>
    <w:p w14:paraId="57C3F842" w14:textId="458F5E04" w:rsidR="007C74BE" w:rsidRPr="007C74BE" w:rsidRDefault="007C74BE" w:rsidP="007C74BE">
      <w:pPr>
        <w:shd w:val="clear" w:color="auto" w:fill="FFFFFF"/>
        <w:rPr>
          <w:rFonts w:ascii="SimSun" w:eastAsia="SimSun" w:hAnsi="SimSun" w:cs="Times New Roman"/>
          <w:color w:val="333333"/>
        </w:rPr>
      </w:pPr>
      <w:r w:rsidRPr="007C74BE">
        <w:rPr>
          <w:rFonts w:ascii="SimSun" w:eastAsia="SimSun" w:hAnsi="SimSun" w:cs="Times New Roman" w:hint="eastAsia"/>
          <w:color w:val="333333"/>
        </w:rPr>
        <w:t>2020–       福建农林大学海峡联合研究院</w:t>
      </w:r>
      <w:r>
        <w:rPr>
          <w:rFonts w:ascii="SimSun" w:eastAsia="SimSun" w:hAnsi="SimSun" w:cs="Times New Roman" w:hint="eastAsia"/>
          <w:color w:val="333333"/>
        </w:rPr>
        <w:t xml:space="preserve"> </w:t>
      </w:r>
      <w:r>
        <w:rPr>
          <w:rFonts w:ascii="SimSun" w:eastAsia="SimSun" w:hAnsi="SimSun" w:cs="Times New Roman"/>
          <w:color w:val="333333"/>
        </w:rPr>
        <w:t xml:space="preserve">  </w:t>
      </w:r>
      <w:r w:rsidRPr="007C74BE">
        <w:rPr>
          <w:rFonts w:ascii="SimSun" w:eastAsia="SimSun" w:hAnsi="SimSun" w:cs="Times New Roman" w:hint="eastAsia"/>
          <w:color w:val="333333"/>
        </w:rPr>
        <w:t>教授</w:t>
      </w:r>
    </w:p>
    <w:p w14:paraId="79685AB7" w14:textId="77777777" w:rsidR="008D0EC9" w:rsidRDefault="008D0EC9" w:rsidP="007C74BE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4D14DE6B" w14:textId="54DB3AB7" w:rsidR="008A726A" w:rsidRDefault="007C74BE" w:rsidP="007C74BE">
      <w:pPr>
        <w:shd w:val="clear" w:color="auto" w:fill="FFFFFF"/>
        <w:rPr>
          <w:rFonts w:ascii="SimSun" w:eastAsia="SimSun" w:hAnsi="SimSun" w:cs="Times New Roman"/>
          <w:color w:val="333333"/>
        </w:rPr>
      </w:pPr>
      <w:r w:rsidRPr="007C74BE">
        <w:rPr>
          <w:rFonts w:ascii="Times New Roman" w:eastAsia="Times New Roman" w:hAnsi="Times New Roman" w:cs="Times New Roman"/>
          <w:color w:val="333333"/>
        </w:rPr>
        <w:br/>
      </w:r>
      <w:r w:rsidRPr="007C74BE">
        <w:rPr>
          <w:rFonts w:ascii="SimSun" w:eastAsia="SimSun" w:hAnsi="SimSun" w:cs="Times New Roman" w:hint="eastAsia"/>
          <w:b/>
          <w:bCs/>
          <w:color w:val="0070C0"/>
          <w:sz w:val="27"/>
          <w:szCs w:val="27"/>
        </w:rPr>
        <w:t>研究兴趣：</w:t>
      </w:r>
      <w:r w:rsidRPr="007C74BE">
        <w:rPr>
          <w:rFonts w:ascii="Times New Roman" w:eastAsia="Times New Roman" w:hAnsi="Times New Roman" w:cs="Times New Roman"/>
          <w:color w:val="333333"/>
        </w:rPr>
        <w:br/>
      </w:r>
      <w:r w:rsidRPr="007C74BE">
        <w:rPr>
          <w:rFonts w:ascii="SimSun" w:eastAsia="SimSun" w:hAnsi="SimSun" w:cs="Times New Roman"/>
          <w:color w:val="333333"/>
        </w:rPr>
        <w:t>1</w:t>
      </w:r>
      <w:r w:rsidRPr="007C74BE">
        <w:rPr>
          <w:rFonts w:ascii="SimSun" w:eastAsia="SimSun" w:hAnsi="SimSun" w:cs="Times New Roman" w:hint="eastAsia"/>
          <w:color w:val="333333"/>
        </w:rPr>
        <w:t>）</w:t>
      </w:r>
      <w:r w:rsidR="008A726A">
        <w:rPr>
          <w:rFonts w:ascii="SimSun" w:eastAsia="SimSun" w:hAnsi="SimSun" w:cs="Times New Roman" w:hint="eastAsia"/>
          <w:color w:val="333333"/>
        </w:rPr>
        <w:t>转录调控与细胞命运决定机制</w:t>
      </w:r>
    </w:p>
    <w:p w14:paraId="7269B979" w14:textId="325408DA" w:rsidR="007C74BE" w:rsidRPr="007C74BE" w:rsidRDefault="008A726A" w:rsidP="007C74BE">
      <w:pPr>
        <w:shd w:val="clear" w:color="auto" w:fill="FFFFFF"/>
        <w:rPr>
          <w:rFonts w:ascii="SimSun" w:eastAsia="SimSun" w:hAnsi="SimSun" w:cs="Times New Roman"/>
          <w:color w:val="333333"/>
        </w:rPr>
      </w:pPr>
      <w:r>
        <w:rPr>
          <w:rFonts w:ascii="SimSun" w:eastAsia="SimSun" w:hAnsi="SimSun" w:cs="Times New Roman"/>
          <w:color w:val="333333"/>
        </w:rPr>
        <w:t>2</w:t>
      </w:r>
      <w:r>
        <w:rPr>
          <w:rFonts w:ascii="SimSun" w:eastAsia="SimSun" w:hAnsi="SimSun" w:cs="Times New Roman" w:hint="eastAsia"/>
          <w:color w:val="333333"/>
        </w:rPr>
        <w:t>）植物再生中的细胞命运</w:t>
      </w:r>
      <w:r w:rsidR="007C74BE" w:rsidRPr="007C74BE">
        <w:rPr>
          <w:rFonts w:ascii="SimSun" w:eastAsia="SimSun" w:hAnsi="SimSun" w:cs="Times New Roman"/>
          <w:color w:val="333333"/>
        </w:rPr>
        <w:br/>
      </w:r>
      <w:r w:rsidR="0034409C" w:rsidRPr="0034409C">
        <w:rPr>
          <w:rFonts w:ascii="SimSun" w:eastAsia="SimSun" w:hAnsi="SimSun" w:cs="Times New Roman"/>
          <w:color w:val="333333"/>
        </w:rPr>
        <w:t>3</w:t>
      </w:r>
      <w:r w:rsidR="007C74BE" w:rsidRPr="007C74BE">
        <w:rPr>
          <w:rFonts w:ascii="SimSun" w:eastAsia="SimSun" w:hAnsi="SimSun" w:cs="Times New Roman" w:hint="eastAsia"/>
          <w:color w:val="333333"/>
        </w:rPr>
        <w:t>）</w:t>
      </w:r>
      <w:r w:rsidR="00BF6B07">
        <w:rPr>
          <w:rFonts w:ascii="SimSun" w:eastAsia="SimSun" w:hAnsi="SimSun" w:cs="Times New Roman" w:hint="eastAsia"/>
          <w:color w:val="333333"/>
        </w:rPr>
        <w:t>新型</w:t>
      </w:r>
      <w:r>
        <w:rPr>
          <w:rFonts w:ascii="SimSun" w:eastAsia="SimSun" w:hAnsi="SimSun" w:cs="Times New Roman" w:hint="eastAsia"/>
          <w:color w:val="333333"/>
        </w:rPr>
        <w:t>表观遗传</w:t>
      </w:r>
      <w:r w:rsidR="00BF6B07">
        <w:rPr>
          <w:rFonts w:ascii="SimSun" w:eastAsia="SimSun" w:hAnsi="SimSun" w:cs="Times New Roman" w:hint="eastAsia"/>
          <w:color w:val="333333"/>
        </w:rPr>
        <w:t>组</w:t>
      </w:r>
      <w:r>
        <w:rPr>
          <w:rFonts w:ascii="SimSun" w:eastAsia="SimSun" w:hAnsi="SimSun" w:cs="Times New Roman" w:hint="eastAsia"/>
          <w:color w:val="333333"/>
        </w:rPr>
        <w:t>学</w:t>
      </w:r>
      <w:r w:rsidR="00BF6B07">
        <w:rPr>
          <w:rFonts w:ascii="SimSun" w:eastAsia="SimSun" w:hAnsi="SimSun" w:cs="Times New Roman" w:hint="eastAsia"/>
          <w:color w:val="333333"/>
        </w:rPr>
        <w:t>技术</w:t>
      </w:r>
      <w:r>
        <w:rPr>
          <w:rFonts w:ascii="SimSun" w:eastAsia="SimSun" w:hAnsi="SimSun" w:cs="Times New Roman" w:hint="eastAsia"/>
          <w:color w:val="333333"/>
        </w:rPr>
        <w:t>的开发</w:t>
      </w:r>
    </w:p>
    <w:p w14:paraId="79F1ABE8" w14:textId="77777777" w:rsidR="008D0EC9" w:rsidRDefault="008D0EC9" w:rsidP="007C74BE">
      <w:pPr>
        <w:jc w:val="both"/>
        <w:rPr>
          <w:rFonts w:ascii="Times New Roman" w:eastAsia="Times New Roman" w:hAnsi="Times New Roman" w:cs="Times New Roman"/>
          <w:color w:val="333333"/>
        </w:rPr>
      </w:pPr>
    </w:p>
    <w:p w14:paraId="104F9D26" w14:textId="336D0F53" w:rsidR="008A726A" w:rsidRDefault="007C74BE" w:rsidP="007C74BE">
      <w:pPr>
        <w:jc w:val="both"/>
        <w:rPr>
          <w:rFonts w:ascii="SimSun" w:eastAsia="SimSun" w:hAnsi="SimSun" w:cs="Times New Roman"/>
          <w:b/>
          <w:bCs/>
          <w:color w:val="0070C0"/>
          <w:sz w:val="27"/>
          <w:szCs w:val="27"/>
        </w:rPr>
      </w:pPr>
      <w:r w:rsidRPr="007C74BE">
        <w:rPr>
          <w:rFonts w:ascii="Times New Roman" w:eastAsia="Times New Roman" w:hAnsi="Times New Roman" w:cs="Times New Roman"/>
          <w:color w:val="333333"/>
        </w:rPr>
        <w:br/>
      </w:r>
      <w:r w:rsidRPr="007C74BE">
        <w:rPr>
          <w:rFonts w:ascii="SimSun" w:eastAsia="SimSun" w:hAnsi="SimSun" w:cs="Times New Roman" w:hint="eastAsia"/>
          <w:b/>
          <w:bCs/>
          <w:color w:val="0070C0"/>
          <w:sz w:val="27"/>
          <w:szCs w:val="27"/>
        </w:rPr>
        <w:t>研究方向：</w:t>
      </w:r>
    </w:p>
    <w:p w14:paraId="589FC80D" w14:textId="4BBD3DB1" w:rsidR="000575C7" w:rsidRDefault="008D0EC9" w:rsidP="007C74BE">
      <w:pPr>
        <w:jc w:val="both"/>
        <w:rPr>
          <w:rFonts w:ascii="SimSun" w:eastAsia="SimSun" w:hAnsi="SimSun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</w:rPr>
        <w:t xml:space="preserve"> </w:t>
      </w:r>
      <w:r>
        <w:rPr>
          <w:rFonts w:ascii="SimSun" w:eastAsia="SimSun" w:hAnsi="SimSun" w:cs="Times New Roman"/>
          <w:color w:val="333333"/>
        </w:rPr>
        <w:t xml:space="preserve">   </w:t>
      </w:r>
      <w:r w:rsidRPr="008D0EC9">
        <w:rPr>
          <w:rFonts w:ascii="SimSun" w:eastAsia="SimSun" w:hAnsi="SimSun" w:cs="Times New Roman" w:hint="eastAsia"/>
          <w:color w:val="333333"/>
        </w:rPr>
        <w:t>植物个体的所有细胞基因组相同，然而基因的差异表达导致了细胞命运的不同。</w:t>
      </w:r>
      <w:r>
        <w:rPr>
          <w:rFonts w:ascii="SimSun" w:eastAsia="SimSun" w:hAnsi="SimSun" w:cs="Times New Roman" w:hint="eastAsia"/>
          <w:color w:val="333333"/>
        </w:rPr>
        <w:t>我们</w:t>
      </w:r>
      <w:r w:rsidRPr="008D0EC9">
        <w:rPr>
          <w:rFonts w:ascii="SimSun" w:eastAsia="SimSun" w:hAnsi="SimSun" w:cs="Times New Roman" w:hint="eastAsia"/>
          <w:color w:val="333333"/>
        </w:rPr>
        <w:t>结合超分子化学、表观基因组学、生物信息学等多学科</w:t>
      </w:r>
      <w:r>
        <w:rPr>
          <w:rFonts w:ascii="SimSun" w:eastAsia="SimSun" w:hAnsi="SimSun" w:cs="Times New Roman" w:hint="eastAsia"/>
          <w:color w:val="333333"/>
        </w:rPr>
        <w:t>研究手段</w:t>
      </w:r>
      <w:r w:rsidRPr="008D0EC9">
        <w:rPr>
          <w:rFonts w:ascii="SimSun" w:eastAsia="SimSun" w:hAnsi="SimSun" w:cs="Times New Roman" w:hint="eastAsia"/>
          <w:color w:val="333333"/>
        </w:rPr>
        <w:t>，运用并开发基于测序和大数据的新型高通量生物技术，探讨植物基因表达的转录调控原理，解析植物细胞命运的决定机制</w:t>
      </w:r>
      <w:r w:rsidR="0017711F">
        <w:rPr>
          <w:rFonts w:ascii="SimSun" w:eastAsia="SimSun" w:hAnsi="SimSun" w:cs="Times New Roman" w:hint="eastAsia"/>
          <w:color w:val="333333"/>
        </w:rPr>
        <w:t>。</w:t>
      </w:r>
      <w:r w:rsidR="00FC41CA">
        <w:rPr>
          <w:rFonts w:ascii="SimSun" w:eastAsia="SimSun" w:hAnsi="SimSun" w:cs="Times New Roman" w:hint="eastAsia"/>
          <w:color w:val="333333"/>
        </w:rPr>
        <w:t>用于</w:t>
      </w:r>
      <w:r w:rsidRPr="008D0EC9">
        <w:rPr>
          <w:rFonts w:ascii="SimSun" w:eastAsia="SimSun" w:hAnsi="SimSun" w:cs="Times New Roman" w:hint="eastAsia"/>
          <w:color w:val="333333"/>
        </w:rPr>
        <w:t>有效诱导植物再生，</w:t>
      </w:r>
      <w:r w:rsidR="0034409C">
        <w:rPr>
          <w:rFonts w:ascii="SimSun" w:eastAsia="SimSun" w:hAnsi="SimSun" w:cs="Times New Roman" w:hint="eastAsia"/>
          <w:color w:val="333333"/>
        </w:rPr>
        <w:t>并</w:t>
      </w:r>
      <w:r w:rsidRPr="008D0EC9">
        <w:rPr>
          <w:rFonts w:ascii="SimSun" w:eastAsia="SimSun" w:hAnsi="SimSun" w:cs="Times New Roman" w:hint="eastAsia"/>
          <w:color w:val="333333"/>
        </w:rPr>
        <w:t>贡献于植物基因编辑技术。</w:t>
      </w:r>
    </w:p>
    <w:p w14:paraId="615552CA" w14:textId="6C94DD7B" w:rsidR="0017711F" w:rsidRDefault="0017711F" w:rsidP="007C74BE">
      <w:pPr>
        <w:jc w:val="both"/>
        <w:rPr>
          <w:rFonts w:ascii="SimSun" w:eastAsia="SimSun" w:hAnsi="SimSun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</w:rPr>
        <w:lastRenderedPageBreak/>
        <w:t xml:space="preserve"> </w:t>
      </w:r>
      <w:r>
        <w:rPr>
          <w:rFonts w:ascii="SimSun" w:eastAsia="SimSun" w:hAnsi="SimSun" w:cs="Times New Roman"/>
          <w:color w:val="333333"/>
        </w:rPr>
        <w:t xml:space="preserve">   </w:t>
      </w:r>
      <w:r w:rsidRPr="0017711F">
        <w:rPr>
          <w:rFonts w:ascii="SimSun" w:eastAsia="SimSun" w:hAnsi="SimSun" w:cs="Times New Roman" w:hint="eastAsia"/>
          <w:color w:val="333333"/>
        </w:rPr>
        <w:t>植物基因编辑技术在基础研究中是验证基因组位点功能的必备工具，在农业应用研究中广泛应用于作物的精准遗传改良。目前常用的CRISPR-Cas9技术利用农杆菌将Cas9核酸酶和gRNA导入到外植体中，编辑目的基因后，再通过添加生长素、激动素等因子将被编辑的植物组织诱导分化成完整植株。然而一些植物如香蕉、草莓中，组织再生的成功率低，导致基因编辑效率低下，阻碍了相关物种的深入研究。因此，阐明植物再生机制，探索提高组织再生效率的新途径，对植物学的理论和应用研究具有重要意义。</w:t>
      </w:r>
    </w:p>
    <w:p w14:paraId="137C2EEF" w14:textId="7F56630F" w:rsidR="007C74BE" w:rsidRPr="007C74BE" w:rsidRDefault="0017711F" w:rsidP="008D0EC9">
      <w:pPr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</w:rPr>
        <w:t xml:space="preserve"> </w:t>
      </w:r>
      <w:r>
        <w:rPr>
          <w:rFonts w:ascii="SimSun" w:eastAsia="SimSun" w:hAnsi="SimSun" w:cs="Times New Roman"/>
          <w:color w:val="333333"/>
        </w:rPr>
        <w:t xml:space="preserve">   </w:t>
      </w:r>
      <w:r w:rsidR="00BF6B07" w:rsidRPr="00BF6B07">
        <w:rPr>
          <w:rFonts w:ascii="SimSun" w:eastAsia="SimSun" w:hAnsi="SimSun" w:cs="Times New Roman" w:hint="eastAsia"/>
          <w:color w:val="333333"/>
        </w:rPr>
        <w:t>植物组织再生形成完整植株可通过器官从头再生或体细胞胚再生，再生过程包含脱分化与再分化等细胞命运的显著转变，分子水平体现为基因表达谱的全局性变化。干细胞研究表明，少数关键转录因子足以决定基因表达和细胞命运。在植物再生过程中，也有报导WUS、PLT、LEC、BBM等转录因子可调控细胞命运，诱导体细胞胚再生。然而，基因表达在真核生物中由转录因子与核小体两类主要元件协同控制，二者竞争性结合转录调控区域，决定染色质可及性与基因表达水平。植物再生时，转录因子结合、重塑、转移、修饰核小体的机制仍有待研究。为此，</w:t>
      </w:r>
      <w:r w:rsidR="008D0EC9">
        <w:rPr>
          <w:rFonts w:ascii="SimSun" w:eastAsia="SimSun" w:hAnsi="SimSun" w:cs="Times New Roman" w:hint="eastAsia"/>
          <w:color w:val="333333"/>
        </w:rPr>
        <w:t>我们</w:t>
      </w:r>
      <w:r w:rsidR="00BF6B07" w:rsidRPr="00BF6B07">
        <w:rPr>
          <w:rFonts w:ascii="SimSun" w:eastAsia="SimSun" w:hAnsi="SimSun" w:cs="Times New Roman" w:hint="eastAsia"/>
          <w:color w:val="333333"/>
        </w:rPr>
        <w:t>计划</w:t>
      </w:r>
      <w:r w:rsidR="008D0EC9">
        <w:rPr>
          <w:rFonts w:ascii="SimSun" w:eastAsia="SimSun" w:hAnsi="SimSun" w:cs="Times New Roman" w:hint="eastAsia"/>
          <w:color w:val="333333"/>
        </w:rPr>
        <w:t>应用各种</w:t>
      </w:r>
      <w:r w:rsidR="00BF6B07" w:rsidRPr="00BF6B07">
        <w:rPr>
          <w:rFonts w:ascii="SimSun" w:eastAsia="SimSun" w:hAnsi="SimSun" w:cs="Times New Roman" w:hint="eastAsia"/>
          <w:color w:val="333333"/>
        </w:rPr>
        <w:t>表观基因组学技术</w:t>
      </w:r>
      <w:r w:rsidR="008D0EC9">
        <w:rPr>
          <w:rFonts w:ascii="SimSun" w:eastAsia="SimSun" w:hAnsi="SimSun" w:cs="Times New Roman" w:hint="eastAsia"/>
          <w:color w:val="333333"/>
        </w:rPr>
        <w:t>如</w:t>
      </w:r>
      <w:r w:rsidR="00F349AC">
        <w:rPr>
          <w:rFonts w:ascii="SimSun" w:eastAsia="SimSun" w:hAnsi="SimSun" w:cs="Times New Roman" w:hint="eastAsia"/>
          <w:color w:val="333333"/>
        </w:rPr>
        <w:t>N</w:t>
      </w:r>
      <w:r w:rsidR="00F349AC">
        <w:rPr>
          <w:rFonts w:ascii="SimSun" w:eastAsia="SimSun" w:hAnsi="SimSun" w:cs="Times New Roman"/>
          <w:color w:val="333333"/>
        </w:rPr>
        <w:t>CAP-</w:t>
      </w:r>
      <w:r w:rsidR="008D0EC9">
        <w:rPr>
          <w:rFonts w:ascii="SimSun" w:eastAsia="SimSun" w:hAnsi="SimSun" w:cs="Times New Roman"/>
          <w:color w:val="333333"/>
        </w:rPr>
        <w:t>SELEX</w:t>
      </w:r>
      <w:r w:rsidR="008D0EC9">
        <w:rPr>
          <w:rFonts w:ascii="SimSun" w:eastAsia="SimSun" w:hAnsi="SimSun" w:cs="Times New Roman" w:hint="eastAsia"/>
          <w:color w:val="333333"/>
        </w:rPr>
        <w:t>，A</w:t>
      </w:r>
      <w:r w:rsidR="008D0EC9">
        <w:rPr>
          <w:rFonts w:ascii="SimSun" w:eastAsia="SimSun" w:hAnsi="SimSun" w:cs="Times New Roman"/>
          <w:color w:val="333333"/>
        </w:rPr>
        <w:t xml:space="preserve">ctive TF identification, </w:t>
      </w:r>
      <w:r w:rsidR="008D0EC9">
        <w:rPr>
          <w:rFonts w:ascii="SimSun" w:eastAsia="SimSun" w:hAnsi="SimSun" w:cs="Times New Roman" w:hint="eastAsia"/>
          <w:color w:val="333333"/>
        </w:rPr>
        <w:t>M</w:t>
      </w:r>
      <w:r w:rsidR="008D0EC9">
        <w:rPr>
          <w:rFonts w:ascii="SimSun" w:eastAsia="SimSun" w:hAnsi="SimSun" w:cs="Times New Roman"/>
          <w:color w:val="333333"/>
        </w:rPr>
        <w:t>Nase-seq</w:t>
      </w:r>
      <w:r w:rsidR="008D0EC9">
        <w:rPr>
          <w:rFonts w:ascii="SimSun" w:eastAsia="SimSun" w:hAnsi="SimSun" w:cs="Times New Roman" w:hint="eastAsia"/>
          <w:color w:val="333333"/>
        </w:rPr>
        <w:t>，C</w:t>
      </w:r>
      <w:r w:rsidR="008D0EC9">
        <w:rPr>
          <w:rFonts w:ascii="SimSun" w:eastAsia="SimSun" w:hAnsi="SimSun" w:cs="Times New Roman"/>
          <w:color w:val="333333"/>
        </w:rPr>
        <w:t>hIP-seq</w:t>
      </w:r>
      <w:r w:rsidR="008D0EC9">
        <w:rPr>
          <w:rFonts w:ascii="SimSun" w:eastAsia="SimSun" w:hAnsi="SimSun" w:cs="Times New Roman" w:hint="eastAsia"/>
          <w:color w:val="333333"/>
        </w:rPr>
        <w:t>等</w:t>
      </w:r>
      <w:r w:rsidR="00BF6B07" w:rsidRPr="00BF6B07">
        <w:rPr>
          <w:rFonts w:ascii="SimSun" w:eastAsia="SimSun" w:hAnsi="SimSun" w:cs="Times New Roman" w:hint="eastAsia"/>
          <w:color w:val="333333"/>
        </w:rPr>
        <w:t>，</w:t>
      </w:r>
      <w:r>
        <w:rPr>
          <w:rFonts w:ascii="SimSun" w:eastAsia="SimSun" w:hAnsi="SimSun" w:cs="Times New Roman" w:hint="eastAsia"/>
          <w:color w:val="333333"/>
        </w:rPr>
        <w:t>同时研发新型表观遗传组学技术，</w:t>
      </w:r>
      <w:r w:rsidR="00BF6B07" w:rsidRPr="00BF6B07">
        <w:rPr>
          <w:rFonts w:ascii="SimSun" w:eastAsia="SimSun" w:hAnsi="SimSun" w:cs="Times New Roman" w:hint="eastAsia"/>
          <w:color w:val="333333"/>
        </w:rPr>
        <w:t>系统研究转录因子与核小体互作</w:t>
      </w:r>
      <w:r w:rsidR="0004699A">
        <w:rPr>
          <w:rFonts w:ascii="SimSun" w:eastAsia="SimSun" w:hAnsi="SimSun" w:cs="Times New Roman" w:hint="eastAsia"/>
          <w:color w:val="333333"/>
        </w:rPr>
        <w:t>对转录过程</w:t>
      </w:r>
      <w:r w:rsidR="004A09A7">
        <w:rPr>
          <w:rFonts w:ascii="SimSun" w:eastAsia="SimSun" w:hAnsi="SimSun" w:cs="Times New Roman" w:hint="eastAsia"/>
          <w:color w:val="333333"/>
        </w:rPr>
        <w:t>和细胞命运</w:t>
      </w:r>
      <w:r w:rsidR="0004699A">
        <w:rPr>
          <w:rFonts w:ascii="SimSun" w:eastAsia="SimSun" w:hAnsi="SimSun" w:cs="Times New Roman" w:hint="eastAsia"/>
          <w:color w:val="333333"/>
        </w:rPr>
        <w:t>的调控</w:t>
      </w:r>
      <w:r w:rsidR="00BF6B07" w:rsidRPr="00BF6B07">
        <w:rPr>
          <w:rFonts w:ascii="SimSun" w:eastAsia="SimSun" w:hAnsi="SimSun" w:cs="Times New Roman" w:hint="eastAsia"/>
          <w:color w:val="333333"/>
        </w:rPr>
        <w:t>，阐明其在植物再生中的作用，寻找再生相关的功能性基因组位点</w:t>
      </w:r>
      <w:r w:rsidR="00F349AC">
        <w:rPr>
          <w:rFonts w:ascii="SimSun" w:eastAsia="SimSun" w:hAnsi="SimSun" w:cs="Times New Roman" w:hint="eastAsia"/>
          <w:color w:val="333333"/>
        </w:rPr>
        <w:t>，开发促进外植体高效再生的方法。</w:t>
      </w:r>
    </w:p>
    <w:p w14:paraId="1E21477D" w14:textId="5AA0F992" w:rsidR="007C74BE" w:rsidRPr="007C74BE" w:rsidRDefault="007C74BE" w:rsidP="007C74BE">
      <w:pPr>
        <w:spacing w:after="90"/>
        <w:jc w:val="center"/>
        <w:rPr>
          <w:rFonts w:ascii="Times New Roman" w:eastAsia="Times New Roman" w:hAnsi="Times New Roman" w:cs="Times New Roman"/>
          <w:color w:val="333333"/>
        </w:rPr>
      </w:pPr>
    </w:p>
    <w:p w14:paraId="7DC056E1" w14:textId="77777777" w:rsidR="007C74BE" w:rsidRPr="007C74BE" w:rsidRDefault="007C74BE" w:rsidP="007C74BE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</w:rPr>
      </w:pPr>
      <w:r w:rsidRPr="007C74BE">
        <w:rPr>
          <w:rFonts w:ascii="Times New Roman" w:eastAsia="Times New Roman" w:hAnsi="Times New Roman" w:cs="Times New Roman"/>
          <w:color w:val="333333"/>
        </w:rPr>
        <w:t> </w:t>
      </w:r>
    </w:p>
    <w:p w14:paraId="56D1F916" w14:textId="77777777" w:rsidR="007C74BE" w:rsidRPr="007C74BE" w:rsidRDefault="007C74BE" w:rsidP="000575C7">
      <w:pPr>
        <w:jc w:val="both"/>
        <w:rPr>
          <w:rFonts w:ascii="SimSun" w:eastAsia="SimSun" w:hAnsi="SimSun" w:cs="Times New Roman"/>
          <w:b/>
          <w:bCs/>
          <w:color w:val="0070C0"/>
          <w:sz w:val="27"/>
          <w:szCs w:val="27"/>
        </w:rPr>
      </w:pPr>
      <w:r w:rsidRPr="007C74BE">
        <w:rPr>
          <w:rFonts w:ascii="SimSun" w:eastAsia="SimSun" w:hAnsi="SimSun" w:cs="Times New Roman" w:hint="eastAsia"/>
          <w:b/>
          <w:bCs/>
          <w:color w:val="0070C0"/>
          <w:sz w:val="27"/>
          <w:szCs w:val="27"/>
        </w:rPr>
        <w:t>发表文章：</w:t>
      </w:r>
    </w:p>
    <w:p w14:paraId="4BD468FD" w14:textId="4734DA95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60" w:lineRule="exact"/>
        <w:ind w:left="357" w:hanging="357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606706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  <w:lang w:val="sv-SE" w:eastAsia="zh-CN"/>
        </w:rPr>
        <w:t xml:space="preserve">F. </w:t>
      </w:r>
      <w:r w:rsidRPr="00606706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  <w:lang w:val="sv-SE"/>
        </w:rPr>
        <w:t>Zhu</w:t>
      </w:r>
      <w:r w:rsidRPr="00606706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sv-SE"/>
        </w:rPr>
        <w:t xml:space="preserve">, </w:t>
      </w:r>
      <w:r w:rsidRPr="00606706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sv-SE" w:eastAsia="zh-CN"/>
        </w:rPr>
        <w:t xml:space="preserve">L. </w:t>
      </w:r>
      <w:r w:rsidRPr="00606706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sv-SE"/>
        </w:rPr>
        <w:t xml:space="preserve">Farnung, E. Kaasinen, B. Sahu, Y. Yin, Bei. 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Wei, S.O. Dodonova, K.R. Nitta, E. Morgunova, M. Taipale, P. Cramer, J. Taipale, The interaction landscape between transcription factors and the nucleosome. </w:t>
      </w:r>
      <w:r w:rsidRPr="00907A2A">
        <w:rPr>
          <w:rFonts w:ascii="Arial Narrow" w:eastAsia="Times New Roman" w:hAnsi="Arial Narrow" w:cs="Times New Roman"/>
          <w:b/>
          <w:i/>
          <w:noProof/>
          <w:color w:val="808080" w:themeColor="background1" w:themeShade="80"/>
          <w:szCs w:val="23"/>
        </w:rPr>
        <w:t xml:space="preserve">Nature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 xml:space="preserve">(IF =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val="sv-SE" w:eastAsia="ja-JP"/>
        </w:rPr>
        <w:t>4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1.577)</w:t>
      </w:r>
      <w:r w:rsidRPr="00907A2A">
        <w:rPr>
          <w:rFonts w:ascii="Arial Narrow" w:eastAsia="Times New Roman" w:hAnsi="Arial Narrow" w:cs="Times New Roman"/>
          <w:i/>
          <w:noProof/>
          <w:color w:val="808080" w:themeColor="background1" w:themeShade="80"/>
          <w:szCs w:val="23"/>
        </w:rPr>
        <w:t>,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2018, 562, p76.</w:t>
      </w:r>
    </w:p>
    <w:p w14:paraId="2ECC8934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T. Nishimura and T. Kato, Organic/inorganic fusion materials: cyclodextrin-based polymer/CaCO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vertAlign w:val="subscript"/>
        </w:rPr>
        <w:t>3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hybrids incorporating dye molecules through host-guest interactions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.</w:t>
      </w:r>
      <w:r w:rsidRPr="00606706">
        <w:rPr>
          <w:rFonts w:ascii="Arial Narrow" w:hAnsi="Arial Narrow" w:cs="Times New Roman"/>
          <w:noProof/>
          <w:color w:val="808080" w:themeColor="background1" w:themeShade="80"/>
          <w:szCs w:val="23"/>
          <w:lang w:val="en-GB" w:eastAsia="ja-JP"/>
        </w:rPr>
        <w:t xml:space="preserve"> </w:t>
      </w:r>
      <w:r w:rsidRPr="000575C7">
        <w:rPr>
          <w:rFonts w:ascii="Arial Narrow" w:hAnsi="Arial Narrow" w:cs="Times New Roman"/>
          <w:b/>
          <w:i/>
          <w:noProof/>
          <w:color w:val="808080" w:themeColor="background1" w:themeShade="80"/>
          <w:szCs w:val="23"/>
          <w:lang w:val="en-GB" w:eastAsia="ja-JP"/>
        </w:rPr>
        <w:t>Polym. J.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 xml:space="preserve"> (IF = 1.653)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2015, 47, p122.</w:t>
      </w:r>
    </w:p>
    <w:p w14:paraId="77B85AD1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T. Nishimura, H. Eimura, and T. Kato, Supramolecular effects on formation of CaCO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vertAlign w:val="subscript"/>
        </w:rPr>
        <w:t>3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thin films on a polymer matrix.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 xml:space="preserve"> </w:t>
      </w:r>
      <w:r w:rsidRPr="00907A2A">
        <w:rPr>
          <w:rFonts w:ascii="Arial Narrow" w:eastAsia="Times New Roman" w:hAnsi="Arial Narrow" w:cs="Times New Roman"/>
          <w:b/>
          <w:i/>
          <w:noProof/>
          <w:color w:val="808080" w:themeColor="background1" w:themeShade="80"/>
          <w:szCs w:val="23"/>
        </w:rPr>
        <w:t>CrystEngComm</w:t>
      </w:r>
      <w:r w:rsidRPr="00907A2A">
        <w:rPr>
          <w:rFonts w:ascii="Arial Narrow" w:hAnsi="Arial Narrow" w:cs="Times New Roman"/>
          <w:i/>
          <w:noProof/>
          <w:color w:val="808080" w:themeColor="background1" w:themeShade="80"/>
          <w:szCs w:val="23"/>
          <w:lang w:eastAsia="ja-JP"/>
        </w:rPr>
        <w:t xml:space="preserve">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(IF = 3.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val="sv-SE" w:eastAsia="ja-JP"/>
        </w:rPr>
        <w:t>30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sv-SE"/>
        </w:rPr>
        <w:t>4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), 201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4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16, p1496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.</w:t>
      </w:r>
    </w:p>
    <w:p w14:paraId="7680F657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T. Nishimura, T. Sakamoto, H. Tomono, H. Nada, Y. Okumura, H. Kikuchi, and T. Kato, Tuning the stability of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C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a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CO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vertAlign w:val="subscript"/>
        </w:rPr>
        <w:t>3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crystals with magnesium ions for formation of aragonite thin films on organic polymer templates.</w:t>
      </w:r>
      <w:r w:rsidRPr="00907A2A">
        <w:rPr>
          <w:rFonts w:ascii="Arial Narrow" w:eastAsia="Times New Roman" w:hAnsi="Arial Narrow" w:cs="Times New Roman"/>
          <w:i/>
          <w:noProof/>
          <w:color w:val="808080" w:themeColor="background1" w:themeShade="80"/>
          <w:szCs w:val="23"/>
        </w:rPr>
        <w:t xml:space="preserve"> </w:t>
      </w:r>
      <w:r w:rsidRPr="00907A2A">
        <w:rPr>
          <w:rFonts w:ascii="Arial Narrow" w:eastAsia="Times New Roman" w:hAnsi="Arial Narrow" w:cs="Times New Roman"/>
          <w:b/>
          <w:i/>
          <w:noProof/>
          <w:color w:val="808080" w:themeColor="background1" w:themeShade="80"/>
          <w:szCs w:val="23"/>
        </w:rPr>
        <w:t>Chem</w:t>
      </w:r>
      <w:r w:rsidRPr="00907A2A">
        <w:rPr>
          <w:rFonts w:ascii="Arial Narrow" w:eastAsia="SimSun" w:hAnsi="Arial Narrow" w:cs="Times New Roman"/>
          <w:b/>
          <w:i/>
          <w:noProof/>
          <w:color w:val="808080" w:themeColor="background1" w:themeShade="80"/>
          <w:szCs w:val="23"/>
          <w:lang w:eastAsia="zh-CN"/>
        </w:rPr>
        <w:t>.</w:t>
      </w:r>
      <w:r w:rsidRPr="00907A2A">
        <w:rPr>
          <w:rFonts w:ascii="Arial Narrow" w:eastAsia="Times New Roman" w:hAnsi="Arial Narrow" w:cs="Times New Roman"/>
          <w:b/>
          <w:i/>
          <w:noProof/>
          <w:color w:val="808080" w:themeColor="background1" w:themeShade="80"/>
          <w:szCs w:val="23"/>
        </w:rPr>
        <w:t xml:space="preserve"> Asian J</w:t>
      </w:r>
      <w:r w:rsidRPr="00907A2A">
        <w:rPr>
          <w:rFonts w:ascii="Arial Narrow" w:eastAsia="SimSun" w:hAnsi="Arial Narrow" w:cs="Times New Roman"/>
          <w:i/>
          <w:noProof/>
          <w:color w:val="808080" w:themeColor="background1" w:themeShade="80"/>
          <w:szCs w:val="23"/>
          <w:lang w:eastAsia="zh-CN"/>
        </w:rPr>
        <w:t>.</w:t>
      </w:r>
      <w:r w:rsidRPr="00907A2A">
        <w:rPr>
          <w:rFonts w:ascii="Arial Narrow" w:hAnsi="Arial Narrow" w:cs="Times New Roman"/>
          <w:i/>
          <w:noProof/>
          <w:color w:val="808080" w:themeColor="background1" w:themeShade="80"/>
          <w:szCs w:val="23"/>
          <w:lang w:eastAsia="ja-JP"/>
        </w:rPr>
        <w:t xml:space="preserve">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 xml:space="preserve">(IF =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val="sv-SE" w:eastAsia="ja-JP"/>
        </w:rPr>
        <w:t>3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.692)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2013,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8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p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3232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.</w:t>
      </w:r>
    </w:p>
    <w:p w14:paraId="4C774F88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Y. Kong, J. Liang, C. Li, Y. Hu, Y. Zhou, X. Liu, L. Xie, and R. Zhang, Tuning calcite magnesium content by soluble shell matrices: Insights into biomineral impurity control. </w:t>
      </w:r>
      <w:r w:rsidRPr="00907A2A">
        <w:rPr>
          <w:rFonts w:ascii="Arial Narrow" w:eastAsia="Times New Roman" w:hAnsi="Arial Narrow" w:cs="Times New Roman"/>
          <w:b/>
          <w:i/>
          <w:noProof/>
          <w:color w:val="808080" w:themeColor="background1" w:themeShade="80"/>
          <w:szCs w:val="23"/>
        </w:rPr>
        <w:t>Mater. Sci. Eng. C</w:t>
      </w:r>
      <w:r w:rsidRPr="00907A2A">
        <w:rPr>
          <w:rFonts w:ascii="Arial Narrow" w:hAnsi="Arial Narrow" w:cs="Times New Roman"/>
          <w:i/>
          <w:noProof/>
          <w:color w:val="808080" w:themeColor="background1" w:themeShade="80"/>
          <w:szCs w:val="23"/>
          <w:lang w:eastAsia="ja-JP"/>
        </w:rPr>
        <w:t xml:space="preserve">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(IF = 5.080)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2010, 30, p963.</w:t>
      </w:r>
    </w:p>
    <w:p w14:paraId="1832EBDA" w14:textId="77777777" w:rsidR="000575C7" w:rsidRPr="00016DFF" w:rsidRDefault="000575C7" w:rsidP="000575C7">
      <w:pP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</w:p>
    <w:p w14:paraId="748EBCB2" w14:textId="77777777" w:rsidR="000575C7" w:rsidRPr="00FD253C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016DFF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A. </w:t>
      </w:r>
      <w:r w:rsidRPr="00016DFF">
        <w:rPr>
          <w:rFonts w:ascii="Arial Narrow" w:eastAsia="Times New Roman" w:hAnsi="Arial Narrow" w:cs="Times New Roman" w:hint="eastAsia"/>
          <w:noProof/>
          <w:color w:val="808080" w:themeColor="background1" w:themeShade="80"/>
          <w:szCs w:val="23"/>
          <w:lang w:val="en-GB" w:eastAsia="zh-CN"/>
        </w:rPr>
        <w:t>J</w:t>
      </w:r>
      <w:r w:rsidRPr="00016DFF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 w:eastAsia="zh-CN"/>
        </w:rPr>
        <w:t>olma</w:t>
      </w:r>
      <w:r w:rsidRPr="00016DFF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, J. Zhang, E. Mondragon, E. Morgunova, T. Kivioja, </w:t>
      </w:r>
      <w:r w:rsidRPr="00016DFF">
        <w:rPr>
          <w:rFonts w:ascii="Arial Narrow" w:eastAsia="Times New Roman" w:hAnsi="Arial Narrow" w:cs="Times New Roman" w:hint="eastAsia"/>
          <w:noProof/>
          <w:color w:val="808080" w:themeColor="background1" w:themeShade="80"/>
          <w:szCs w:val="23"/>
          <w:lang w:val="en-GB" w:eastAsia="zh-CN"/>
        </w:rPr>
        <w:t>K</w:t>
      </w:r>
      <w:r w:rsidRPr="00016DFF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 w:eastAsia="zh-CN"/>
        </w:rPr>
        <w:t xml:space="preserve">.U. </w:t>
      </w:r>
      <w:r w:rsidRPr="00016DFF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Laverty</w:t>
      </w: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Y. Yin,</w:t>
      </w:r>
      <w:r w:rsidRPr="00016DFF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 </w:t>
      </w:r>
      <w:r w:rsidRPr="00432E8A">
        <w:rPr>
          <w:rFonts w:ascii="Arial Narrow" w:eastAsia="Times New Roman" w:hAnsi="Arial Narrow" w:cs="Times New Roman"/>
          <w:b/>
          <w:bCs/>
          <w:noProof/>
          <w:color w:val="808080" w:themeColor="background1" w:themeShade="80"/>
          <w:szCs w:val="23"/>
          <w:lang w:val="en-GB"/>
        </w:rPr>
        <w:t>F. Zhu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, </w:t>
      </w: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G. </w:t>
      </w:r>
      <w:r w:rsidRPr="00016DFF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Bourenkov</w:t>
      </w: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>, Q. Morris, T.R. Hughes, L.J.III Maher, J. Taipale,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 </w:t>
      </w:r>
      <w:r w:rsidRPr="00016DFF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>Binding specificities of human RNA-binding proteins toward structured and linear RNA sequences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. </w:t>
      </w:r>
      <w:r w:rsidRPr="00016DFF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  <w:lang w:val="en-GB"/>
        </w:rPr>
        <w:t>Genome Res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 </w:t>
      </w: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>2020, 30, p962.</w:t>
      </w:r>
    </w:p>
    <w:p w14:paraId="22E9E2D7" w14:textId="77777777" w:rsidR="000575C7" w:rsidRPr="00606706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S.O. 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Dodonova, </w:t>
      </w:r>
      <w:r w:rsidRPr="00432E8A">
        <w:rPr>
          <w:rFonts w:ascii="Arial Narrow" w:eastAsia="Times New Roman" w:hAnsi="Arial Narrow" w:cs="Times New Roman"/>
          <w:b/>
          <w:bCs/>
          <w:noProof/>
          <w:color w:val="808080" w:themeColor="background1" w:themeShade="80"/>
          <w:szCs w:val="23"/>
          <w:lang w:val="en-GB"/>
        </w:rPr>
        <w:t>F. Zhu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, </w:t>
      </w: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C. 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Dienemann, </w:t>
      </w: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J. 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Taipale, </w:t>
      </w: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P. 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>Cramer</w:t>
      </w: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>,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 Nucleosome-bound SOX2 and SOX11 structures elucidate pioneer factor function. </w:t>
      </w:r>
      <w:r w:rsidRPr="00B963A0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  <w:lang w:val="en-GB"/>
        </w:rPr>
        <w:t>Nature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 </w:t>
      </w: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2020, </w:t>
      </w:r>
      <w:r w:rsidRPr="00B963A0">
        <w:rPr>
          <w:rFonts w:ascii="Arial Narrow" w:eastAsia="Times New Roman" w:hAnsi="Arial Narrow" w:cs="Times New Roman"/>
          <w:bCs/>
          <w:noProof/>
          <w:color w:val="808080" w:themeColor="background1" w:themeShade="80"/>
          <w:szCs w:val="23"/>
          <w:lang w:val="en-GB"/>
        </w:rPr>
        <w:t>580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 xml:space="preserve">, </w:t>
      </w: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>p</w:t>
      </w:r>
      <w:r w:rsidRPr="00B963A0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>669</w:t>
      </w:r>
      <w:r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en-GB"/>
        </w:rPr>
        <w:t>.</w:t>
      </w:r>
    </w:p>
    <w:p w14:paraId="01B0146C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B. Wei, A. Jolma, B. Sahu, L.M. Orre, F. Zhong, 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T. Kivioja, I. Sur, J. Lehtio, M. Taipale, J. Taipale, A protein activity assay to measure global transcription factor activity reveals determinants of chromatin accessibility. 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>Nat. Biotechnol</w:t>
      </w:r>
      <w:r w:rsidRPr="00606706">
        <w:rPr>
          <w:rFonts w:ascii="Arial Narrow" w:eastAsia="Times New Roman" w:hAnsi="Arial Narrow" w:cs="Times New Roman"/>
          <w:b/>
          <w:bCs/>
          <w:noProof/>
          <w:color w:val="808080" w:themeColor="background1" w:themeShade="80"/>
          <w:szCs w:val="23"/>
        </w:rPr>
        <w:t>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2018, 36, p521.</w:t>
      </w:r>
    </w:p>
    <w:p w14:paraId="5B0C1D31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</w:pP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E. Morgunova, Y. Yin,  P.K. Das, A. Jolma, 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A. Popov, Y. Xu, L. Nilsson, J. Taipale, Two distinct DNA sequences recognized by transcription factors represent enthalpy and entropy optima. 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>Elife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2018,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7.</w:t>
      </w:r>
    </w:p>
    <w:p w14:paraId="7AC8D636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J. Su, 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G. Zhang, H. Wang, L. Xie and R. Zhang, Transformation of amorphous calcium carbonate nanoparticles into aragonite controlled by ACCBP. 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>CrystEngComm</w:t>
      </w:r>
      <w:r w:rsidRPr="00907A2A">
        <w:rPr>
          <w:rFonts w:ascii="Arial Narrow" w:eastAsia="Times New Roman" w:hAnsi="Arial Narrow" w:cs="Times New Roman"/>
          <w:i/>
          <w:noProof/>
          <w:color w:val="808080" w:themeColor="background1" w:themeShade="80"/>
          <w:szCs w:val="23"/>
        </w:rPr>
        <w:t>,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2016, 18, p2125.</w:t>
      </w:r>
    </w:p>
    <w:p w14:paraId="05CEDEAA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eastAsia="ja-JP"/>
        </w:rPr>
      </w:pP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eastAsia="ja-JP"/>
        </w:rPr>
        <w:t>T.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val="sv-SE" w:eastAsia="ja-JP"/>
        </w:rPr>
        <w:t xml:space="preserve"> Nishimura,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  <w:lang w:val="sv-SE" w:eastAsia="ja-JP"/>
        </w:rPr>
        <w:t xml:space="preserve"> 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  <w:lang w:eastAsia="ja-JP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eastAsia="ja-JP"/>
        </w:rPr>
        <w:t xml:space="preserve">, H. Tomono, H. Nada, T. Kato,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バイオミネラリゼーションに学ぶ有機／無機複合体の設計と合成：高分子およびマグネシウムイオンによる炭酸カルシウムのモルホ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lastRenderedPageBreak/>
        <w:t>ロジー制御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 xml:space="preserve">, </w:t>
      </w:r>
      <w:r w:rsidRPr="00606706">
        <w:rPr>
          <w:rFonts w:ascii="Arial Narrow" w:hAnsi="Arial Narrow" w:cs="Times New Roman"/>
          <w:b/>
          <w:bCs/>
          <w:noProof/>
          <w:color w:val="808080" w:themeColor="background1" w:themeShade="80"/>
          <w:szCs w:val="23"/>
          <w:lang w:eastAsia="ja-JP"/>
        </w:rPr>
        <w:t>オレオサイエンス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  <w:lang w:eastAsia="ja-JP"/>
        </w:rPr>
        <w:t>, 2014, 14, p417.</w:t>
      </w:r>
    </w:p>
    <w:p w14:paraId="6C40DBC6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H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Tomono, H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Nada, 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</w:t>
      </w:r>
      <w:r w:rsidRPr="00907A2A">
        <w:rPr>
          <w:rFonts w:ascii="Arial Narrow" w:hAnsi="Arial Narrow" w:cs="Times New Roman"/>
          <w:b/>
          <w:noProof/>
          <w:color w:val="808080" w:themeColor="background1" w:themeShade="80"/>
          <w:szCs w:val="23"/>
          <w:lang w:eastAsia="ja-JP"/>
        </w:rPr>
        <w:t>.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 xml:space="preserve">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T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Sakamoto, T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Nishimura,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 xml:space="preserve">and 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T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Kato,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 xml:space="preserve"> 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Effects of magnesium ions and water molecules on the structure of amorphous calcium carbonate: a molecular dynamics study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 xml:space="preserve">. 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>J</w:t>
      </w:r>
      <w:r w:rsidRPr="00606706">
        <w:rPr>
          <w:rFonts w:ascii="Arial Narrow" w:hAnsi="Arial Narrow" w:cs="Times New Roman"/>
          <w:b/>
          <w:bCs/>
          <w:i/>
          <w:noProof/>
          <w:color w:val="808080" w:themeColor="background1" w:themeShade="80"/>
          <w:szCs w:val="23"/>
          <w:lang w:eastAsia="ja-JP"/>
        </w:rPr>
        <w:t xml:space="preserve">. 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>Phys</w:t>
      </w:r>
      <w:r w:rsidRPr="00606706">
        <w:rPr>
          <w:rFonts w:ascii="Arial Narrow" w:hAnsi="Arial Narrow" w:cs="Times New Roman"/>
          <w:b/>
          <w:bCs/>
          <w:i/>
          <w:noProof/>
          <w:color w:val="808080" w:themeColor="background1" w:themeShade="80"/>
          <w:szCs w:val="23"/>
          <w:lang w:eastAsia="ja-JP"/>
        </w:rPr>
        <w:t>.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 xml:space="preserve"> Chem</w:t>
      </w:r>
      <w:r w:rsidRPr="00606706">
        <w:rPr>
          <w:rFonts w:ascii="Arial Narrow" w:hAnsi="Arial Narrow" w:cs="Times New Roman"/>
          <w:b/>
          <w:bCs/>
          <w:i/>
          <w:noProof/>
          <w:color w:val="808080" w:themeColor="background1" w:themeShade="80"/>
          <w:szCs w:val="23"/>
          <w:lang w:eastAsia="ja-JP"/>
        </w:rPr>
        <w:t>.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 xml:space="preserve"> B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, 2013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117,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p14849.</w:t>
      </w:r>
    </w:p>
    <w:p w14:paraId="0F3C27BB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Y. Lin, W. Zhang, 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J. Su, D. Fang, Y. Yang, G. Zhang, L. Xie, R. Zhang, and H. Wang, Subcellular localization of N-deoxyribosyltransferase in Lactobacillus fermentum: cell surface association of an intracellular nucleotide metabolic enzyme. 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>FEMS Microbiol. Lett.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2011, 323, p132.</w:t>
      </w:r>
    </w:p>
    <w:p w14:paraId="11CCDA86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L. Xie, 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Y. Zhou, C. Yang, and R. Zhang, Molecular approaches to understand biomineralization of shell nacreous layer. 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>Prog. Mol. Subcell. Biol.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2011, 52, p331.</w:t>
      </w:r>
    </w:p>
    <w:p w14:paraId="7AE7F2E2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Y. Zhou, Z. He, C. Li, L. Xiang, 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G. Zhang, L. Xie, and R. Zhang, Correlations among mRNA expression levels of Engrailed, BMP2 and Smad3 in mantle cells of pearl oyster Pinctada </w:t>
      </w:r>
      <w:r w:rsidRPr="00907A2A">
        <w:rPr>
          <w:rFonts w:ascii="Arial Narrow" w:hAnsi="Arial Narrow" w:cs="Times New Roman"/>
          <w:noProof/>
          <w:color w:val="808080" w:themeColor="background1" w:themeShade="80"/>
          <w:szCs w:val="23"/>
          <w:lang w:eastAsia="ja-JP"/>
        </w:rPr>
        <w:t>f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ucata. 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>Prog. Biochem. Biophys.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2010, 37, p737.</w:t>
      </w:r>
    </w:p>
    <w:p w14:paraId="2F5DCEC0" w14:textId="77777777" w:rsidR="000575C7" w:rsidRPr="00907A2A" w:rsidRDefault="000575C7" w:rsidP="000575C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</w:pP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C. Li, J. Huang, S. Li, W. Fan, Y. Hu, Q. Wang, 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L. Xie, and R. Zhang, Cloning, characterization and immunolocalization of two subunits of calcineurin from pearl oyster (Pinctada fucata). 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>Comp. Biochem. Physiol. B: Biochem. Mol. Biol.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2009, 153, p43.</w:t>
      </w:r>
    </w:p>
    <w:p w14:paraId="3CD15EF6" w14:textId="77777777" w:rsidR="000575C7" w:rsidRPr="00907A2A" w:rsidRDefault="000575C7" w:rsidP="000575C7">
      <w:pPr>
        <w:pStyle w:val="ListParagraph"/>
        <w:numPr>
          <w:ilvl w:val="0"/>
          <w:numId w:val="1"/>
        </w:numPr>
        <w:tabs>
          <w:tab w:val="left" w:pos="1418"/>
        </w:tabs>
        <w:spacing w:before="4" w:after="0" w:line="240" w:lineRule="auto"/>
        <w:ind w:left="360"/>
        <w:jc w:val="both"/>
        <w:rPr>
          <w:rFonts w:ascii="Arial Narrow" w:hAnsi="Arial Narrow" w:cs="Times New Roman"/>
          <w:color w:val="808080" w:themeColor="background1" w:themeShade="80"/>
          <w:sz w:val="23"/>
          <w:szCs w:val="23"/>
          <w:lang w:eastAsia="ja-JP"/>
        </w:rPr>
      </w:pP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Y. Kong, G. Jing, Z. Yan, C. Li, N. Gong, </w:t>
      </w:r>
      <w:r w:rsidRPr="00907A2A">
        <w:rPr>
          <w:rFonts w:ascii="Arial Narrow" w:eastAsia="Times New Roman" w:hAnsi="Arial Narrow" w:cs="Times New Roman"/>
          <w:b/>
          <w:noProof/>
          <w:color w:val="808080" w:themeColor="background1" w:themeShade="80"/>
          <w:szCs w:val="23"/>
        </w:rPr>
        <w:t>F. Zhu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 xml:space="preserve">, D. Li, Y. Zhang, G. Zheng, H. Wang, L. Xie, and R. Zhang, Cloning and characterization of Prisilkin-39, a novel matrix protein serving a dual role in the prismatic layer formation from the oyster pinctada fucata. </w:t>
      </w:r>
      <w:r w:rsidRPr="00606706">
        <w:rPr>
          <w:rFonts w:ascii="Arial Narrow" w:eastAsia="Times New Roman" w:hAnsi="Arial Narrow" w:cs="Times New Roman"/>
          <w:b/>
          <w:bCs/>
          <w:i/>
          <w:noProof/>
          <w:color w:val="808080" w:themeColor="background1" w:themeShade="80"/>
          <w:szCs w:val="23"/>
        </w:rPr>
        <w:t>J. Biol. Chem.</w:t>
      </w:r>
      <w:r w:rsidRPr="00907A2A">
        <w:rPr>
          <w:rFonts w:ascii="Arial Narrow" w:eastAsia="Times New Roman" w:hAnsi="Arial Narrow" w:cs="Times New Roman"/>
          <w:noProof/>
          <w:color w:val="808080" w:themeColor="background1" w:themeShade="80"/>
          <w:szCs w:val="23"/>
        </w:rPr>
        <w:t>, 2009, 284, p10841.</w:t>
      </w:r>
    </w:p>
    <w:p w14:paraId="63EEEF9F" w14:textId="77777777" w:rsidR="000575C7" w:rsidRDefault="000575C7" w:rsidP="007C74BE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333333"/>
        </w:rPr>
      </w:pPr>
    </w:p>
    <w:p w14:paraId="0C6C5AA7" w14:textId="32A0F54A" w:rsidR="007C74BE" w:rsidRPr="007C74BE" w:rsidRDefault="007C74BE" w:rsidP="007C74BE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333333"/>
        </w:rPr>
      </w:pPr>
      <w:r w:rsidRPr="007C74BE">
        <w:rPr>
          <w:rFonts w:ascii="Times New Roman" w:eastAsia="Times New Roman" w:hAnsi="Times New Roman" w:cs="Times New Roman"/>
          <w:color w:val="333333"/>
        </w:rPr>
        <w:t>  </w:t>
      </w:r>
    </w:p>
    <w:p w14:paraId="33DE7C7B" w14:textId="77777777" w:rsidR="007C74BE" w:rsidRPr="007C74BE" w:rsidRDefault="007C74BE" w:rsidP="000575C7">
      <w:pPr>
        <w:jc w:val="both"/>
        <w:rPr>
          <w:rFonts w:ascii="SimSun" w:eastAsia="SimSun" w:hAnsi="SimSun" w:cs="Times New Roman"/>
          <w:b/>
          <w:bCs/>
          <w:color w:val="0070C0"/>
          <w:sz w:val="27"/>
          <w:szCs w:val="27"/>
        </w:rPr>
      </w:pPr>
      <w:r w:rsidRPr="007C74BE">
        <w:rPr>
          <w:rFonts w:ascii="SimSun" w:eastAsia="SimSun" w:hAnsi="SimSun" w:cs="Times New Roman" w:hint="eastAsia"/>
          <w:b/>
          <w:bCs/>
          <w:color w:val="0070C0"/>
          <w:sz w:val="27"/>
          <w:szCs w:val="27"/>
        </w:rPr>
        <w:t>实验室成员：</w:t>
      </w:r>
    </w:p>
    <w:p w14:paraId="795A3CEB" w14:textId="1C44E7AE" w:rsidR="007C74BE" w:rsidRPr="007C74BE" w:rsidRDefault="000575C7" w:rsidP="000575C7">
      <w:pPr>
        <w:shd w:val="clear" w:color="auto" w:fill="FFFFFF"/>
        <w:jc w:val="both"/>
        <w:rPr>
          <w:rFonts w:ascii="SimSun" w:eastAsia="SimSun" w:hAnsi="SimSun" w:cs="Times New Roman"/>
          <w:color w:val="333333"/>
        </w:rPr>
      </w:pPr>
      <w:r w:rsidRPr="000575C7">
        <w:rPr>
          <w:rFonts w:ascii="SimSun" w:eastAsia="SimSun" w:hAnsi="SimSun" w:cs="Times New Roman" w:hint="eastAsia"/>
          <w:color w:val="333333"/>
        </w:rPr>
        <w:t>温</w:t>
      </w:r>
      <w:r w:rsidR="008E22FD">
        <w:rPr>
          <w:rFonts w:ascii="SimSun" w:eastAsia="SimSun" w:hAnsi="SimSun" w:cs="Times New Roman" w:hint="eastAsia"/>
          <w:color w:val="333333"/>
        </w:rPr>
        <w:t>陈</w:t>
      </w:r>
      <w:r w:rsidRPr="000575C7">
        <w:rPr>
          <w:rFonts w:ascii="SimSun" w:eastAsia="SimSun" w:hAnsi="SimSun" w:cs="Times New Roman" w:hint="eastAsia"/>
          <w:color w:val="333333"/>
        </w:rPr>
        <w:t>金</w:t>
      </w:r>
      <w:r w:rsidR="007C74BE" w:rsidRPr="007C74BE">
        <w:rPr>
          <w:rFonts w:ascii="SimSun" w:eastAsia="SimSun" w:hAnsi="SimSun" w:cs="Times New Roman" w:hint="eastAsia"/>
          <w:color w:val="333333"/>
        </w:rPr>
        <w:t>（科研助理）</w:t>
      </w:r>
    </w:p>
    <w:p w14:paraId="15DFF318" w14:textId="7883656D" w:rsidR="007C74BE" w:rsidRPr="007C74BE" w:rsidRDefault="000575C7" w:rsidP="000575C7">
      <w:pPr>
        <w:shd w:val="clear" w:color="auto" w:fill="FFFFFF"/>
        <w:jc w:val="both"/>
        <w:rPr>
          <w:rFonts w:ascii="SimSun" w:eastAsia="SimSun" w:hAnsi="SimSun" w:cs="Times New Roman"/>
          <w:color w:val="333333"/>
        </w:rPr>
      </w:pPr>
      <w:r w:rsidRPr="000575C7">
        <w:rPr>
          <w:rFonts w:ascii="SimSun" w:eastAsia="SimSun" w:hAnsi="SimSun" w:cs="Times New Roman" w:hint="eastAsia"/>
          <w:color w:val="333333"/>
        </w:rPr>
        <w:t>马娜娜</w:t>
      </w:r>
      <w:r w:rsidR="007C74BE" w:rsidRPr="007C74BE">
        <w:rPr>
          <w:rFonts w:ascii="SimSun" w:eastAsia="SimSun" w:hAnsi="SimSun" w:cs="Times New Roman" w:hint="eastAsia"/>
          <w:color w:val="333333"/>
        </w:rPr>
        <w:t>（</w:t>
      </w:r>
      <w:r w:rsidRPr="000575C7">
        <w:rPr>
          <w:rFonts w:ascii="SimSun" w:eastAsia="SimSun" w:hAnsi="SimSun" w:cs="Times New Roman" w:hint="eastAsia"/>
          <w:color w:val="333333"/>
        </w:rPr>
        <w:t>2</w:t>
      </w:r>
      <w:r w:rsidRPr="000575C7">
        <w:rPr>
          <w:rFonts w:ascii="SimSun" w:eastAsia="SimSun" w:hAnsi="SimSun" w:cs="Times New Roman"/>
          <w:color w:val="333333"/>
        </w:rPr>
        <w:t>020</w:t>
      </w:r>
      <w:r w:rsidRPr="000575C7">
        <w:rPr>
          <w:rFonts w:ascii="SimSun" w:eastAsia="SimSun" w:hAnsi="SimSun" w:cs="Times New Roman" w:hint="eastAsia"/>
          <w:color w:val="333333"/>
        </w:rPr>
        <w:t>级博士研究生</w:t>
      </w:r>
      <w:r w:rsidR="007C74BE" w:rsidRPr="007C74BE">
        <w:rPr>
          <w:rFonts w:ascii="SimSun" w:eastAsia="SimSun" w:hAnsi="SimSun" w:cs="Times New Roman" w:hint="eastAsia"/>
          <w:color w:val="333333"/>
        </w:rPr>
        <w:t>）</w:t>
      </w:r>
    </w:p>
    <w:p w14:paraId="4B7D8C9A" w14:textId="5B926663" w:rsidR="007C74BE" w:rsidRPr="007C74BE" w:rsidRDefault="000575C7" w:rsidP="000575C7">
      <w:pPr>
        <w:shd w:val="clear" w:color="auto" w:fill="FFFFFF"/>
        <w:jc w:val="both"/>
        <w:rPr>
          <w:rFonts w:ascii="SimSun" w:eastAsia="SimSun" w:hAnsi="SimSun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</w:rPr>
        <w:t>袁振</w:t>
      </w:r>
      <w:r w:rsidR="007C74BE" w:rsidRPr="007C74BE">
        <w:rPr>
          <w:rFonts w:ascii="SimSun" w:eastAsia="SimSun" w:hAnsi="SimSun" w:cs="Times New Roman" w:hint="eastAsia"/>
          <w:color w:val="333333"/>
        </w:rPr>
        <w:t>（</w:t>
      </w:r>
      <w:r w:rsidR="007C74BE" w:rsidRPr="007C74BE">
        <w:rPr>
          <w:rFonts w:ascii="SimSun" w:eastAsia="SimSun" w:hAnsi="SimSun" w:cs="Times New Roman"/>
          <w:color w:val="333333"/>
        </w:rPr>
        <w:t>20</w:t>
      </w:r>
      <w:r>
        <w:rPr>
          <w:rFonts w:ascii="SimSun" w:eastAsia="SimSun" w:hAnsi="SimSun" w:cs="Times New Roman"/>
          <w:color w:val="333333"/>
        </w:rPr>
        <w:t>20</w:t>
      </w:r>
      <w:r w:rsidR="007C74BE" w:rsidRPr="007C74BE">
        <w:rPr>
          <w:rFonts w:ascii="SimSun" w:eastAsia="SimSun" w:hAnsi="SimSun" w:cs="Times New Roman" w:hint="eastAsia"/>
          <w:color w:val="333333"/>
        </w:rPr>
        <w:t>级硕士研究生）</w:t>
      </w:r>
    </w:p>
    <w:p w14:paraId="729A99BB" w14:textId="2703E789" w:rsidR="007C74BE" w:rsidRPr="007C74BE" w:rsidRDefault="000575C7" w:rsidP="000575C7">
      <w:pPr>
        <w:shd w:val="clear" w:color="auto" w:fill="FFFFFF"/>
        <w:jc w:val="both"/>
        <w:rPr>
          <w:rFonts w:ascii="SimSun" w:eastAsia="SimSun" w:hAnsi="SimSun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</w:rPr>
        <w:t>李甜</w:t>
      </w:r>
      <w:r w:rsidR="007C74BE" w:rsidRPr="007C74BE">
        <w:rPr>
          <w:rFonts w:ascii="SimSun" w:eastAsia="SimSun" w:hAnsi="SimSun" w:cs="Times New Roman" w:hint="eastAsia"/>
          <w:color w:val="333333"/>
        </w:rPr>
        <w:t>（</w:t>
      </w:r>
      <w:r w:rsidR="007C74BE" w:rsidRPr="007C74BE">
        <w:rPr>
          <w:rFonts w:ascii="SimSun" w:eastAsia="SimSun" w:hAnsi="SimSun" w:cs="Times New Roman"/>
          <w:color w:val="333333"/>
        </w:rPr>
        <w:t>20</w:t>
      </w:r>
      <w:r>
        <w:rPr>
          <w:rFonts w:ascii="SimSun" w:eastAsia="SimSun" w:hAnsi="SimSun" w:cs="Times New Roman"/>
          <w:color w:val="333333"/>
        </w:rPr>
        <w:t>20</w:t>
      </w:r>
      <w:r w:rsidR="007C74BE" w:rsidRPr="007C74BE">
        <w:rPr>
          <w:rFonts w:ascii="SimSun" w:eastAsia="SimSun" w:hAnsi="SimSun" w:cs="Times New Roman" w:hint="eastAsia"/>
          <w:color w:val="333333"/>
        </w:rPr>
        <w:t>级硕士研究生）</w:t>
      </w:r>
      <w:bookmarkStart w:id="0" w:name="_GoBack"/>
      <w:bookmarkEnd w:id="0"/>
    </w:p>
    <w:p w14:paraId="312D8920" w14:textId="77777777" w:rsidR="007C74BE" w:rsidRDefault="007C74BE"/>
    <w:sectPr w:rsidR="007C74BE" w:rsidSect="00C979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022B7"/>
    <w:multiLevelType w:val="hybridMultilevel"/>
    <w:tmpl w:val="3D54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E"/>
    <w:rsid w:val="0003479C"/>
    <w:rsid w:val="0004699A"/>
    <w:rsid w:val="000575C7"/>
    <w:rsid w:val="001569E3"/>
    <w:rsid w:val="00166352"/>
    <w:rsid w:val="0017711F"/>
    <w:rsid w:val="00196104"/>
    <w:rsid w:val="001F72A5"/>
    <w:rsid w:val="0034409C"/>
    <w:rsid w:val="00435E75"/>
    <w:rsid w:val="004A09A7"/>
    <w:rsid w:val="00566B4A"/>
    <w:rsid w:val="00586265"/>
    <w:rsid w:val="0060795D"/>
    <w:rsid w:val="00620F07"/>
    <w:rsid w:val="00632DF9"/>
    <w:rsid w:val="006363C8"/>
    <w:rsid w:val="00687A5B"/>
    <w:rsid w:val="00772B4D"/>
    <w:rsid w:val="007C74BE"/>
    <w:rsid w:val="007E517E"/>
    <w:rsid w:val="008140EE"/>
    <w:rsid w:val="00864614"/>
    <w:rsid w:val="0087017E"/>
    <w:rsid w:val="008A726A"/>
    <w:rsid w:val="008D0EC9"/>
    <w:rsid w:val="008E22FD"/>
    <w:rsid w:val="0095606D"/>
    <w:rsid w:val="00957481"/>
    <w:rsid w:val="009F1845"/>
    <w:rsid w:val="00A95D57"/>
    <w:rsid w:val="00AD3CD4"/>
    <w:rsid w:val="00B6422B"/>
    <w:rsid w:val="00BF6B07"/>
    <w:rsid w:val="00C979BF"/>
    <w:rsid w:val="00CE1317"/>
    <w:rsid w:val="00CF7070"/>
    <w:rsid w:val="00D31F53"/>
    <w:rsid w:val="00E066D1"/>
    <w:rsid w:val="00E838B4"/>
    <w:rsid w:val="00EB63C5"/>
    <w:rsid w:val="00EF4471"/>
    <w:rsid w:val="00F15711"/>
    <w:rsid w:val="00F349AC"/>
    <w:rsid w:val="00F364BB"/>
    <w:rsid w:val="00F929E2"/>
    <w:rsid w:val="00FC41CA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78D1"/>
  <w15:chartTrackingRefBased/>
  <w15:docId w15:val="{B897FE80-215F-1B4C-B54C-8F69CA30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7C74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15">
    <w:name w:val="15"/>
    <w:basedOn w:val="DefaultParagraphFont"/>
    <w:rsid w:val="007C74BE"/>
  </w:style>
  <w:style w:type="paragraph" w:styleId="NormalWeb">
    <w:name w:val="Normal (Web)"/>
    <w:basedOn w:val="Normal"/>
    <w:uiPriority w:val="99"/>
    <w:semiHidden/>
    <w:unhideWhenUsed/>
    <w:rsid w:val="007C74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16">
    <w:name w:val="16"/>
    <w:basedOn w:val="Normal"/>
    <w:rsid w:val="007C74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C74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2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26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575C7"/>
    <w:pPr>
      <w:widowControl w:val="0"/>
      <w:spacing w:after="200" w:line="276" w:lineRule="auto"/>
      <w:ind w:left="720"/>
      <w:contextualSpacing/>
    </w:pPr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57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mcsysbio.github.i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Fangjie Zhu</dc:creator>
  <cp:keywords/>
  <dc:description/>
  <cp:lastModifiedBy>Fangjie Zhu</cp:lastModifiedBy>
  <cp:revision>23</cp:revision>
  <dcterms:created xsi:type="dcterms:W3CDTF">2020-09-18T04:26:00Z</dcterms:created>
  <dcterms:modified xsi:type="dcterms:W3CDTF">2020-09-18T11:32:00Z</dcterms:modified>
</cp:coreProperties>
</file>