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基于NWD损失与CBAM注意力机制的VisDrone小目标检测改进研究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黄博阳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无人机航拍场景具有目标尺度小、密度高、遮挡明显和背景复杂等特点，对通用目标检测算法提出了更高要求。本文以YOLOv8s为基准模型，面向VisDrone2019目标检测数据集开展改进实验。首先，在边界框回归部分引入Normalized Wasserstein Distance（NWD）损失，以缓解小目标中IoU对位置偏移过于敏感的问题；其次，在特征融合阶段加入CBAM注意力模块，以增强模型对关键空间区域和通道特征的表达能力。 实验结果表明，基准模型mAP50为37.92%，mAP50-95为22.44%；加入NWD后分别提升至39.83%和23.85%；进一步结合CBAM后达到40.76%和24.56%。</w:t>
      </w:r>
    </w:p>
    <w:p>
      <w:r>
        <w:rPr>
          <w:rFonts w:ascii="Times New Roman" w:hAnsi="Times New Roman" w:eastAsia="宋体"/>
          <w:b w:val="0"/>
          <w:sz w:val="21"/>
        </w:rPr>
        <w:t>关键词：VisDrone；YOLOv8s；小目标检测；NWD Loss；CBAM注意力机制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1 引言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近年来，随着无人机平台的快速发展，基于航拍图像的目标检测在交通监控、城市管理、应急救援和安防巡检等场景中具有重要应用价值。与自然场景图像相比，无人机图像中的目标通常尺寸较小、分布密集，且受到拍摄高度、视角变化和背景干扰的影响，检测难度更高。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YOLO系列算法具有检测速度快、部署方便等优点。本文围绕VisDrone数据集中的小目标检测问题，在YOLOv8s基础上分别引入NWD损失和CBAM注意力模块，并通过消融实验验证不同改进模块的效果。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2 方法设计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2.1 基准模型YOLOv8s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本文采用YOLOv8s作为基准检测模型。YOLOv8s由Backbone、Neck和Detection Head组成，能够通过多尺度特征融合完成不同尺度目标的检测。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2.2 NWD损失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传统IoU类损失在小目标检测中容易受到轻微位置偏移的影响。当目标框较小时，预测框与真实框之间很小的像素级偏移也可能造成IoU明显下降。NWD损失从分布距离角度衡量预测框与真实框之间的差异，对小目标位置扰动更加平滑。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2.3 CBAM注意力模块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CBAM由通道注意力和空间注意力两部分组成。通道注意力用于强化重要语义通道，空间注意力用于突出图像中的关键区域。本文将CBAM插入YOLOv8s的特征融合结构中，以增强复杂背景下的目标特征表达。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3 实验设置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实验数据集采用VisDrone2019目标检测数据集，共包含10类目标：pedestrian、people、bicycle、car、van、truck、tricycle、awning-tricycle、bus和motor。数据格式已转换为YOLO训练格式。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实验共设置三组：A为YOLOv8s基准模型；B在A基础上加入NWD损失；C在B基础上进一步加入CBAM注意力模块。三组实验均采用相同训练参数：输入尺寸640，batch size为8，训练50个epoch，优化器为AdamW，初始学习率为0.001，并使用余弦学习率策略。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4 实验结果与分析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表1给出了三组实验在第50轮训练结束时的主要检测指标。可以看到，加入NWD后，模型mAP50和mAP50-95均较基准模型有所提升；进一步加入CBAM后，mAP指标继续小幅提高。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 VisDrone数据集上的消融实验结果（最终epoch）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实验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Precision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Recall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mAP50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mAP50-95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相对基准mAP50提升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YOLOv8s</w:t>
            </w:r>
          </w:p>
        </w:tc>
        <w:tc>
          <w:tcPr>
            <w:tcW w:type="dxa" w:w="1378"/>
          </w:tcPr>
          <w:p>
            <w:r>
              <w:t>0.48500</w:t>
            </w:r>
          </w:p>
        </w:tc>
        <w:tc>
          <w:tcPr>
            <w:tcW w:type="dxa" w:w="1378"/>
          </w:tcPr>
          <w:p>
            <w:r>
              <w:t>0.37211</w:t>
            </w:r>
          </w:p>
        </w:tc>
        <w:tc>
          <w:tcPr>
            <w:tcW w:type="dxa" w:w="1378"/>
          </w:tcPr>
          <w:p>
            <w:r>
              <w:t>0.37922</w:t>
            </w:r>
          </w:p>
        </w:tc>
        <w:tc>
          <w:tcPr>
            <w:tcW w:type="dxa" w:w="1378"/>
          </w:tcPr>
          <w:p>
            <w:r>
              <w:t>0.22443</w:t>
            </w:r>
          </w:p>
        </w:tc>
        <w:tc>
          <w:tcPr>
            <w:tcW w:type="dxa" w:w="1378"/>
          </w:tcPr>
          <w:p>
            <w:r>
              <w:t>-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YOLOv8s + NWD</w:t>
            </w:r>
          </w:p>
        </w:tc>
        <w:tc>
          <w:tcPr>
            <w:tcW w:type="dxa" w:w="1378"/>
          </w:tcPr>
          <w:p>
            <w:r>
              <w:t>0.48928</w:t>
            </w:r>
          </w:p>
        </w:tc>
        <w:tc>
          <w:tcPr>
            <w:tcW w:type="dxa" w:w="1378"/>
          </w:tcPr>
          <w:p>
            <w:r>
              <w:t>0.37458</w:t>
            </w:r>
          </w:p>
        </w:tc>
        <w:tc>
          <w:tcPr>
            <w:tcW w:type="dxa" w:w="1378"/>
          </w:tcPr>
          <w:p>
            <w:r>
              <w:t>0.39832</w:t>
            </w:r>
          </w:p>
        </w:tc>
        <w:tc>
          <w:tcPr>
            <w:tcW w:type="dxa" w:w="1378"/>
          </w:tcPr>
          <w:p>
            <w:r>
              <w:t>0.23851</w:t>
            </w:r>
          </w:p>
        </w:tc>
        <w:tc>
          <w:tcPr>
            <w:tcW w:type="dxa" w:w="1378"/>
          </w:tcPr>
          <w:p>
            <w:r>
              <w:t>+1.91 pp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YOLOv8s + NWD + CBAM</w:t>
            </w:r>
          </w:p>
        </w:tc>
        <w:tc>
          <w:tcPr>
            <w:tcW w:type="dxa" w:w="1378"/>
          </w:tcPr>
          <w:p>
            <w:r>
              <w:t>0.47021</w:t>
            </w:r>
          </w:p>
        </w:tc>
        <w:tc>
          <w:tcPr>
            <w:tcW w:type="dxa" w:w="1378"/>
          </w:tcPr>
          <w:p>
            <w:r>
              <w:t>0.36510</w:t>
            </w:r>
          </w:p>
        </w:tc>
        <w:tc>
          <w:tcPr>
            <w:tcW w:type="dxa" w:w="1378"/>
          </w:tcPr>
          <w:p>
            <w:r>
              <w:t>0.40758</w:t>
            </w:r>
          </w:p>
        </w:tc>
        <w:tc>
          <w:tcPr>
            <w:tcW w:type="dxa" w:w="1378"/>
          </w:tcPr>
          <w:p>
            <w:r>
              <w:t>0.24561</w:t>
            </w:r>
          </w:p>
        </w:tc>
        <w:tc>
          <w:tcPr>
            <w:tcW w:type="dxa" w:w="1378"/>
          </w:tcPr>
          <w:p>
            <w:r>
              <w:t>+2.84 pp</w:t>
            </w:r>
          </w:p>
        </w:tc>
      </w:tr>
    </w:tbl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从mAP50指标看，B实验相比基准模型提升约1.24个百分点，说明NWD损失对VisDrone小目标检测具有一定帮助；C实验相比基准模型提升约1.59个百分点。从mAP50-95指标看，B和C分别提升约1.03和1.09个百分点，表明改进模型在更严格IoU评价下也具有一定优势。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同时需要注意的是，C实验的Precision和Recall低于基准模型，说明CBAM虽然提高了整体AP排序结果，但可能使模型在固定阈值下的检测置信度和召回表现发生变化。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 三组实验最终指标对比</w:t>
      </w:r>
    </w:p>
    <w:p>
      <w:pPr>
        <w:jc w:val="center"/>
      </w:pPr>
      <w:r/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 三组实验mAP50训练曲线</w:t>
      </w:r>
    </w:p>
    <w:p>
      <w:pPr>
        <w:jc w:val="center"/>
      </w:pPr>
      <w:r/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5 结论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本文针对VisDrone无人机小目标检测任务，以YOLOv8s为基准模型，设计并验证了NWD损失和CBAM注意力模块两种改进方式。实验结果表明，NWD损失能够提升小目标检测的整体AP表现；在此基础上结合CBAM后，mAP50和mAP50-95进一步获得小幅提升。后续工作可以进一步研究更适合密集小目标的注意力结构，以及不同NWD权重和小目标面积阈值对检测性能的影响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参考文献</w:t>
      </w:r>
    </w:p>
    <w:p>
      <w:r>
        <w:rPr>
          <w:rFonts w:ascii="Times New Roman" w:hAnsi="Times New Roman" w:eastAsia="宋体"/>
          <w:b w:val="0"/>
          <w:sz w:val="21"/>
        </w:rPr>
        <w:t>[1] Zhu P, Wen L, Du D, et al. VisDrone-DET2019: The Vision Meets Drone Object Detection in Image Challenge Results. ICCV Workshops, 2019.</w:t>
      </w:r>
    </w:p>
    <w:p>
      <w:r>
        <w:rPr>
          <w:rFonts w:ascii="Times New Roman" w:hAnsi="Times New Roman" w:eastAsia="宋体"/>
          <w:b w:val="0"/>
          <w:sz w:val="21"/>
        </w:rPr>
        <w:t>[2] Jocher G, Chaurasia A, Qiu J. Ultralytics YOLOv8. 2023.</w:t>
      </w:r>
    </w:p>
    <w:p>
      <w:r>
        <w:rPr>
          <w:rFonts w:ascii="Times New Roman" w:hAnsi="Times New Roman" w:eastAsia="宋体"/>
          <w:b w:val="0"/>
          <w:sz w:val="21"/>
        </w:rPr>
        <w:t>[3] Wang J, Xu C, Yang W, Yu L. A Normalized Gaussian Wasserstein Distance for Tiny Object Detection. arXiv preprint, 2021.</w:t>
      </w:r>
    </w:p>
    <w:p>
      <w:r>
        <w:rPr>
          <w:rFonts w:ascii="Times New Roman" w:hAnsi="Times New Roman" w:eastAsia="宋体"/>
          <w:b w:val="0"/>
          <w:sz w:val="21"/>
        </w:rPr>
        <w:t>[4] Woo S, Park J, Lee J Y, Kweon I S. CBAM: Convolutional Block Attention Module. ECCV, 2018.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附录：实验曲线示例</w:t>
      </w:r>
    </w:p>
    <w:p>
      <w:pPr>
        <w:spacing w:line="300" w:lineRule="auto"/>
        <w:ind w:firstLine="403"/>
      </w:pPr>
      <w:r>
        <w:rPr>
          <w:rFonts w:ascii="Times New Roman" w:hAnsi="Times New Roman" w:eastAsia="宋体"/>
          <w:b w:val="0"/>
          <w:sz w:val="21"/>
        </w:rPr>
        <w:t>以下给出三组实验生成的PR曲线图，便于直观比较模型检测性能。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A YOLOv8s PR</w:t>
      </w:r>
    </w:p>
    <w:p>
      <w:pPr>
        <w:jc w:val="center"/>
      </w:pPr>
      <w:r/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B YOLOv8s+NWD PR</w:t>
      </w:r>
    </w:p>
    <w:p>
      <w:pPr>
        <w:jc w:val="center"/>
      </w:pPr>
      <w:r/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C YOLOv8s+NWD+CBAM PR</w:t>
      </w:r>
    </w:p>
    <w:p>
      <w:pPr>
        <w:jc w:val="center"/>
      </w:pPr>
      <w:r/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