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6"/>
        <w:ind w:left="0" w:right="0"/>
      </w:pPr>
    </w:p>
    <w:p>
      <w:pPr>
        <w:autoSpaceDN w:val="0"/>
        <w:autoSpaceDE w:val="0"/>
        <w:widowControl/>
        <w:spacing w:line="262" w:lineRule="auto" w:before="0" w:after="0"/>
        <w:ind w:left="6048" w:right="288" w:firstLine="0"/>
        <w:jc w:val="center"/>
      </w:pPr>
      <w:r>
        <w:rPr>
          <w:rFonts w:ascii="FreeSerif" w:hAnsi="FreeSerif" w:eastAsia="FreeSerif"/>
          <w:b/>
          <w:i w:val="0"/>
          <w:color w:val="000000"/>
          <w:sz w:val="28"/>
        </w:rPr>
        <w:t xml:space="preserve">Давлат солиқ қўмитаси </w:t>
      </w:r>
      <w:r>
        <w:br/>
      </w:r>
      <w:r>
        <w:rPr>
          <w:rFonts w:ascii="FreeSerif" w:hAnsi="FreeSerif" w:eastAsia="FreeSerif"/>
          <w:b/>
          <w:i w:val="0"/>
          <w:color w:val="000000"/>
          <w:sz w:val="28"/>
        </w:rPr>
        <w:t xml:space="preserve">Раисининг биринчи </w:t>
      </w:r>
      <w:r>
        <w:br/>
      </w:r>
      <w:r>
        <w:rPr>
          <w:rFonts w:ascii="FreeSerif" w:hAnsi="FreeSerif" w:eastAsia="FreeSerif"/>
          <w:b/>
          <w:i w:val="0"/>
          <w:color w:val="000000"/>
          <w:sz w:val="28"/>
        </w:rPr>
        <w:t xml:space="preserve">ўринбосари </w:t>
      </w:r>
      <w:r>
        <w:br/>
      </w:r>
      <w:r>
        <w:rPr>
          <w:rFonts w:ascii="FreeSerif" w:hAnsi="FreeSerif" w:eastAsia="FreeSerif"/>
          <w:b/>
          <w:i w:val="0"/>
          <w:color w:val="000000"/>
          <w:sz w:val="28"/>
        </w:rPr>
        <w:t>М.Мирзаевга</w:t>
      </w:r>
    </w:p>
    <w:p>
      <w:pPr>
        <w:autoSpaceDN w:val="0"/>
        <w:autoSpaceDE w:val="0"/>
        <w:widowControl/>
        <w:spacing w:line="221" w:lineRule="auto" w:before="750" w:after="338"/>
        <w:ind w:left="1252" w:right="0" w:firstLine="0"/>
        <w:jc w:val="left"/>
      </w:pPr>
      <w:r>
        <w:rPr>
          <w:rFonts w:ascii="FreeSerif" w:hAnsi="FreeSerif" w:eastAsia="FreeSerif"/>
          <w:b/>
          <w:i w:val="0"/>
          <w:color w:val="000000"/>
          <w:sz w:val="28"/>
        </w:rPr>
        <w:t>Ҳурматли Мубин Мухидинович,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1942"/>
        <w:gridCol w:w="1942"/>
        <w:gridCol w:w="1942"/>
        <w:gridCol w:w="1942"/>
        <w:gridCol w:w="1942"/>
      </w:tblGrid>
      <w:tr>
        <w:trPr>
          <w:trHeight w:hRule="exact" w:val="398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0" w:right="114" w:firstLine="0"/>
              <w:jc w:val="right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8"/>
              </w:rPr>
              <w:t xml:space="preserve">Жисмоний 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0" w:right="0" w:firstLine="0"/>
              <w:jc w:val="center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8"/>
              </w:rPr>
              <w:t xml:space="preserve">шахсларнинг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0" w:right="0" w:firstLine="0"/>
              <w:jc w:val="center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8"/>
              </w:rPr>
              <w:t xml:space="preserve">шахсий 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0" w:right="0" w:firstLine="0"/>
              <w:jc w:val="center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8"/>
              </w:rPr>
              <w:t xml:space="preserve">ҳисобварақаси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124" w:right="0" w:firstLine="0"/>
              <w:jc w:val="left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8"/>
              </w:rPr>
              <w:t xml:space="preserve">юритилишини </w:t>
            </w:r>
          </w:p>
        </w:tc>
      </w:tr>
    </w:tbl>
    <w:p>
      <w:pPr>
        <w:autoSpaceDN w:val="0"/>
        <w:tabs>
          <w:tab w:pos="1254" w:val="left"/>
        </w:tabs>
        <w:autoSpaceDE w:val="0"/>
        <w:widowControl/>
        <w:spacing w:line="257" w:lineRule="auto" w:before="32" w:after="0"/>
        <w:ind w:left="262" w:right="0" w:firstLine="0"/>
        <w:jc w:val="left"/>
      </w:pP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такомиллаштириш мақсадида </w:t>
      </w:r>
      <w:r>
        <w:rPr>
          <w:rFonts w:ascii="FreeSerif" w:hAnsi="FreeSerif" w:eastAsia="FreeSerif"/>
          <w:b/>
          <w:i w:val="0"/>
          <w:color w:val="000000"/>
          <w:sz w:val="28"/>
        </w:rPr>
        <w:t>“СИАИЖ-5 (Жисмоний) – Кадастр”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 ва </w:t>
      </w:r>
      <w:r>
        <w:rPr>
          <w:rFonts w:ascii="FreeSerif" w:hAnsi="FreeSerif" w:eastAsia="FreeSerif"/>
          <w:b/>
          <w:i w:val="0"/>
          <w:color w:val="000000"/>
          <w:sz w:val="28"/>
        </w:rPr>
        <w:t>“СИАИЖ-5 (Жисмоний)”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 дастурий маҳсулларига қуйидаги қўшимча ҳамда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тузатишларни киритиш лозим: </w:t>
      </w:r>
      <w:r>
        <w:br/>
      </w:r>
      <w:r>
        <w:tab/>
      </w:r>
      <w:r>
        <w:rPr>
          <w:rFonts w:ascii="FreeSerif" w:hAnsi="FreeSerif" w:eastAsia="FreeSerif"/>
          <w:b/>
          <w:i w:val="0"/>
          <w:color w:val="000000"/>
          <w:sz w:val="28"/>
        </w:rPr>
        <w:t>1.</w:t>
      </w:r>
      <w:r>
        <w:rPr>
          <w:rFonts w:ascii="FreeSerif" w:hAnsi="FreeSerif" w:eastAsia="FreeSerif"/>
          <w:b/>
          <w:i w:val="0"/>
          <w:color w:val="000000"/>
          <w:sz w:val="28"/>
        </w:rPr>
        <w:t>“СИАИЖ-5 (Жисмоний)”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 дастурий маҳсулида солиқ тўловчи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якка тартибдаги тадбиркорларни ДСИдан ДСБга ёки ДСБдан ДСИга кўчириш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>имконияти ДСБ поғонасида берилиши мақсадга мувофиқ.</w:t>
      </w:r>
    </w:p>
    <w:p>
      <w:pPr>
        <w:autoSpaceDN w:val="0"/>
        <w:tabs>
          <w:tab w:pos="1254" w:val="left"/>
          <w:tab w:pos="9042" w:val="left"/>
        </w:tabs>
        <w:autoSpaceDE w:val="0"/>
        <w:widowControl/>
        <w:spacing w:line="259" w:lineRule="auto" w:before="62" w:after="0"/>
        <w:ind w:left="262" w:right="0" w:firstLine="0"/>
        <w:jc w:val="left"/>
      </w:pPr>
      <w:r>
        <w:tab/>
      </w:r>
      <w:r>
        <w:rPr>
          <w:rFonts w:ascii="FreeSerif" w:hAnsi="FreeSerif" w:eastAsia="FreeSerif"/>
          <w:b/>
          <w:i w:val="0"/>
          <w:color w:val="000000"/>
          <w:sz w:val="28"/>
        </w:rPr>
        <w:t>2.</w:t>
      </w:r>
      <w:r>
        <w:rPr>
          <w:rFonts w:ascii="FreeSerif" w:hAnsi="FreeSerif" w:eastAsia="FreeSerif"/>
          <w:b/>
          <w:i w:val="0"/>
          <w:color w:val="000000"/>
          <w:sz w:val="28"/>
        </w:rPr>
        <w:t>“СИАИЖ-5 (Жисмоний)”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 ҳамда </w:t>
      </w:r>
      <w:r>
        <w:rPr>
          <w:rFonts w:ascii="FreeSerif" w:hAnsi="FreeSerif" w:eastAsia="FreeSerif"/>
          <w:b/>
          <w:i w:val="0"/>
          <w:color w:val="000000"/>
          <w:sz w:val="28"/>
        </w:rPr>
        <w:t xml:space="preserve">“СИАИЖ-5 (Жисмоний) – </w:t>
      </w:r>
      <w:r>
        <w:rPr>
          <w:rFonts w:ascii="FreeSerif" w:hAnsi="FreeSerif" w:eastAsia="FreeSerif"/>
          <w:b/>
          <w:i w:val="0"/>
          <w:color w:val="000000"/>
          <w:sz w:val="28"/>
        </w:rPr>
        <w:t>Кадастр”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 дастурий маҳсулларида солиқ тўловчининг айни бир солиқ тури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бўйича салъдо ҳисобланиши унинг жами солиқлари ойнасида ҳам охирги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салъдо суммалари акс этишини таъминлаш, шунингдек, жами солиқлар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ойнасидан кўчирма (excel) юкланганда, жами салъдо қаторининг тўғри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шаклланишини йўлга қўйиш лозим. (1-расм) </w:t>
      </w:r>
      <w:r>
        <w:br/>
      </w:r>
      <w:r>
        <w:tab/>
      </w:r>
      <w:r>
        <w:rPr>
          <w:rFonts w:ascii="FreeSerif" w:hAnsi="FreeSerif" w:eastAsia="FreeSerif"/>
          <w:b w:val="0"/>
          <w:i/>
          <w:color w:val="000000"/>
          <w:sz w:val="20"/>
        </w:rPr>
        <w:t>1-расм</w:t>
      </w:r>
    </w:p>
    <w:p>
      <w:pPr>
        <w:autoSpaceDN w:val="0"/>
        <w:autoSpaceDE w:val="0"/>
        <w:widowControl/>
        <w:spacing w:line="240" w:lineRule="auto" w:before="82" w:after="0"/>
        <w:ind w:left="51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22950" cy="702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702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4" w:lineRule="auto" w:before="158" w:after="0"/>
        <w:ind w:left="262" w:right="20" w:firstLine="992"/>
        <w:jc w:val="both"/>
      </w:pPr>
      <w:r>
        <w:rPr>
          <w:rFonts w:ascii="FreeSerif" w:hAnsi="FreeSerif" w:eastAsia="FreeSerif"/>
          <w:b/>
          <w:i w:val="0"/>
          <w:color w:val="000000"/>
          <w:sz w:val="28"/>
        </w:rPr>
        <w:t>3.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 Ҳозирги кунда юридик шахслар томонидан тўланган тўловларни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солиқ тўловчиларга қайтариш учун хулоса шакллантирилгач уни, ўзгартириш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ва (ёки) ўчириш имкони мавжуд эмас. Ушбу жараёнда инсон омили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қатнашишини инобатга олиб, ўзгартириш ҳамда ўчириш имкониятини ДСҚ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>поғонасида қўшиш зарур.</w:t>
      </w:r>
    </w:p>
    <w:p>
      <w:pPr>
        <w:autoSpaceDN w:val="0"/>
        <w:tabs>
          <w:tab w:pos="1254" w:val="left"/>
          <w:tab w:pos="8984" w:val="left"/>
        </w:tabs>
        <w:autoSpaceDE w:val="0"/>
        <w:widowControl/>
        <w:spacing w:line="257" w:lineRule="auto" w:before="62" w:after="0"/>
        <w:ind w:left="262" w:right="0" w:firstLine="0"/>
        <w:jc w:val="left"/>
      </w:pPr>
      <w:r>
        <w:tab/>
      </w:r>
      <w:r>
        <w:rPr>
          <w:rFonts w:ascii="FreeSerif" w:hAnsi="FreeSerif" w:eastAsia="FreeSerif"/>
          <w:b/>
          <w:i w:val="0"/>
          <w:color w:val="000000"/>
          <w:sz w:val="28"/>
        </w:rPr>
        <w:t>4.</w:t>
      </w:r>
      <w:r>
        <w:rPr>
          <w:rFonts w:ascii="FreeSerif" w:hAnsi="FreeSerif" w:eastAsia="FreeSerif"/>
          <w:b/>
          <w:i w:val="0"/>
          <w:color w:val="000000"/>
          <w:sz w:val="28"/>
        </w:rPr>
        <w:t>“СИАИЖ-5 (Жисмоний)”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 дастурий маҳсулида хулосалар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шакллантириш ойнасининг Банк маълумотлари бўлимида солиқ тўловчига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тегишли барча очиқ ҳисобрақамлар кўриниб, бирини танлаш имкониятини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яратиш зарур. (2-расм) </w:t>
      </w:r>
      <w:r>
        <w:br/>
      </w:r>
      <w:r>
        <w:tab/>
      </w:r>
      <w:r>
        <w:rPr>
          <w:rFonts w:ascii="FreeSerif" w:hAnsi="FreeSerif" w:eastAsia="FreeSerif"/>
          <w:b w:val="0"/>
          <w:i/>
          <w:color w:val="000000"/>
          <w:sz w:val="22"/>
        </w:rPr>
        <w:t>2-расм</w:t>
      </w:r>
    </w:p>
    <w:p>
      <w:pPr>
        <w:autoSpaceDN w:val="0"/>
        <w:autoSpaceDE w:val="0"/>
        <w:widowControl/>
        <w:spacing w:line="240" w:lineRule="auto" w:before="112" w:after="0"/>
        <w:ind w:left="4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30570" cy="723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0" w:after="0"/>
        <w:ind w:left="262" w:right="0" w:firstLine="992"/>
        <w:jc w:val="left"/>
      </w:pPr>
      <w:r>
        <w:rPr>
          <w:rFonts w:ascii="FreeSerif" w:hAnsi="FreeSerif" w:eastAsia="FreeSerif"/>
          <w:b/>
          <w:i w:val="0"/>
          <w:color w:val="000000"/>
          <w:sz w:val="28"/>
        </w:rPr>
        <w:t>5.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 ДСБ тўловчиси бўлган якка тартибдаги тадбиркорлар фаолият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манзилини ўзгартириб ДХМ орқали қайта рўйхатдан ўтганда аввал фаолият </w:t>
      </w:r>
    </w:p>
    <w:p>
      <w:pPr>
        <w:sectPr>
          <w:pgSz w:w="11906" w:h="16838"/>
          <w:pgMar w:top="426" w:right="758" w:bottom="600" w:left="1440" w:header="720" w:footer="720" w:gutter="0"/>
          <w:cols w:space="720" w:num="1" w:equalWidth="0">
            <w:col w:w="97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02" w:right="0" w:firstLine="0"/>
        <w:jc w:val="left"/>
      </w:pP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юритган туманидан ДСБга кўчиб келган шахсий ҳисобварағи ўчиб кетиш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ҳолати кузатилмоқда. </w:t>
      </w:r>
    </w:p>
    <w:p>
      <w:pPr>
        <w:autoSpaceDN w:val="0"/>
        <w:autoSpaceDE w:val="0"/>
        <w:widowControl/>
        <w:spacing w:line="257" w:lineRule="auto" w:before="62" w:after="0"/>
        <w:ind w:left="1502" w:right="20" w:firstLine="992"/>
        <w:jc w:val="both"/>
      </w:pPr>
      <w:r>
        <w:rPr>
          <w:rFonts w:ascii="FreeSerif" w:hAnsi="FreeSerif" w:eastAsia="FreeSerif"/>
          <w:b w:val="0"/>
          <w:i/>
          <w:color w:val="000000"/>
          <w:sz w:val="28"/>
        </w:rPr>
        <w:t xml:space="preserve">Мисол учун: Тошкент шаҳар ДСБ тўловчиси бўлган якка тартибдаги </w:t>
      </w:r>
      <w:r>
        <w:rPr>
          <w:rFonts w:ascii="FreeSerif" w:hAnsi="FreeSerif" w:eastAsia="FreeSerif"/>
          <w:b w:val="0"/>
          <w:i/>
          <w:color w:val="000000"/>
          <w:sz w:val="28"/>
        </w:rPr>
        <w:t xml:space="preserve">тадбиркор Степанова Антонина Михайловна (ЖШШИР: 40506790260043) </w:t>
      </w:r>
      <w:r>
        <w:rPr>
          <w:rFonts w:ascii="FreeSerif" w:hAnsi="FreeSerif" w:eastAsia="FreeSerif"/>
          <w:b w:val="0"/>
          <w:i/>
          <w:color w:val="000000"/>
          <w:sz w:val="28"/>
        </w:rPr>
        <w:t xml:space="preserve">2021-йил 28-май куни Сирғали туманидан, 2022-йил 17-май куни Чилонзор </w:t>
      </w:r>
      <w:r>
        <w:rPr>
          <w:rFonts w:ascii="FreeSerif" w:hAnsi="FreeSerif" w:eastAsia="FreeSerif"/>
          <w:b w:val="0"/>
          <w:i/>
          <w:color w:val="000000"/>
          <w:sz w:val="28"/>
        </w:rPr>
        <w:t xml:space="preserve">туманидан Тошкент шаҳар ДСБга кўчирилган. Бунинг натижасида ДСБда </w:t>
      </w:r>
      <w:r>
        <w:rPr>
          <w:rFonts w:ascii="FreeSerif" w:hAnsi="FreeSerif" w:eastAsia="FreeSerif"/>
          <w:b w:val="0"/>
          <w:i/>
          <w:color w:val="000000"/>
          <w:sz w:val="28"/>
        </w:rPr>
        <w:t xml:space="preserve">Сирғали туманидан кўчиб келган шахсий ҳисобварағи ўчиб кетганлиги </w:t>
      </w:r>
      <w:r>
        <w:rPr>
          <w:rFonts w:ascii="FreeSerif" w:hAnsi="FreeSerif" w:eastAsia="FreeSerif"/>
          <w:b w:val="0"/>
          <w:i/>
          <w:color w:val="000000"/>
          <w:sz w:val="28"/>
        </w:rPr>
        <w:t>аниқланган.</w:t>
      </w:r>
    </w:p>
    <w:p>
      <w:pPr>
        <w:autoSpaceDN w:val="0"/>
        <w:autoSpaceDE w:val="0"/>
        <w:widowControl/>
        <w:spacing w:line="252" w:lineRule="auto" w:before="62" w:after="0"/>
        <w:ind w:left="1502" w:right="20" w:firstLine="992"/>
        <w:jc w:val="both"/>
      </w:pP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ДСБ тўловчиси бўлган якка тартибдаги тадбиркорлар фаолият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манзилини ўзгартириб ДХМ орқали қайта рўйхатдан ўтганда аввал фаолият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юритган туманидан келган шахсий ҳисобварағи ўчиб кетмаслигини таъминлаш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>лозим.</w:t>
      </w:r>
    </w:p>
    <w:p>
      <w:pPr>
        <w:autoSpaceDN w:val="0"/>
        <w:autoSpaceDE w:val="0"/>
        <w:widowControl/>
        <w:spacing w:line="250" w:lineRule="auto" w:before="62" w:after="0"/>
        <w:ind w:left="1502" w:right="20" w:firstLine="992"/>
        <w:jc w:val="both"/>
      </w:pPr>
      <w:r>
        <w:rPr>
          <w:rFonts w:ascii="FreeSerif" w:hAnsi="FreeSerif" w:eastAsia="FreeSerif"/>
          <w:b/>
          <w:i w:val="0"/>
          <w:color w:val="000000"/>
          <w:sz w:val="28"/>
        </w:rPr>
        <w:t>6.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 Юридик шахслар томонидан тўланган ШЖБПБ (ИНПС) суммалари </w:t>
      </w:r>
      <w:r>
        <w:rPr>
          <w:rFonts w:ascii="FreeSerif" w:hAnsi="FreeSerif" w:eastAsia="FreeSerif"/>
          <w:b/>
          <w:i w:val="0"/>
          <w:color w:val="000000"/>
          <w:sz w:val="28"/>
        </w:rPr>
        <w:t>“СИАИЖ-5 (Жисмоний)”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 дастурий маҳсули «Выписки из банка» модулига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>ҳам келиб тушишини (кўриниши) тўхтатиш зарур.</w:t>
      </w:r>
    </w:p>
    <w:p>
      <w:pPr>
        <w:autoSpaceDN w:val="0"/>
        <w:autoSpaceDE w:val="0"/>
        <w:widowControl/>
        <w:spacing w:line="257" w:lineRule="auto" w:before="62" w:after="32"/>
        <w:ind w:left="1502" w:right="20" w:firstLine="992"/>
        <w:jc w:val="both"/>
      </w:pPr>
      <w:r>
        <w:rPr>
          <w:rFonts w:ascii="FreeSerif" w:hAnsi="FreeSerif" w:eastAsia="FreeSerif"/>
          <w:b/>
          <w:i w:val="0"/>
          <w:color w:val="000000"/>
          <w:sz w:val="28"/>
        </w:rPr>
        <w:t xml:space="preserve">7.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Солиқ тўловчилар томонидан тўланган онлайн тўловларнинг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дастлабки маълумоти ШҲга келиб тушади, сўнг Ғазначилик ҳисобрақамларига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ўтказиб берилади ва у ҳам маълумотлар базасига кирим қилинади. Ҳозирги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кунда тўлов келиб тушган аммо дастлабки маълумот келмаганлиги сабабли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ШҲга киритилмасдан қолган ҳолатлар юзага келмоқда. Ушбу ҳолатларни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бартараф этиш мақсадида «Выписки из банка» модулида юклаш имкониятини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>ДСҚ поғонасида қўшиш мақсадга мувофиқ.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1564"/>
        <w:gridCol w:w="1564"/>
        <w:gridCol w:w="1564"/>
        <w:gridCol w:w="1564"/>
        <w:gridCol w:w="1564"/>
        <w:gridCol w:w="1564"/>
        <w:gridCol w:w="1564"/>
      </w:tblGrid>
      <w:tr>
        <w:trPr>
          <w:trHeight w:hRule="exact" w:val="37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0" w:after="0"/>
              <w:ind w:left="0" w:right="156" w:firstLine="0"/>
              <w:jc w:val="right"/>
            </w:pPr>
            <w:r>
              <w:rPr>
                <w:rFonts w:ascii="FreeSerif" w:hAnsi="FreeSerif" w:eastAsia="FreeSerif"/>
                <w:b/>
                <w:i w:val="0"/>
                <w:color w:val="000000"/>
                <w:sz w:val="28"/>
              </w:rPr>
              <w:t>8.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0" w:after="0"/>
              <w:ind w:left="0" w:right="0" w:firstLine="0"/>
              <w:jc w:val="center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8"/>
              </w:rPr>
              <w:t xml:space="preserve">Юридик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0" w:after="0"/>
              <w:ind w:left="0" w:right="0" w:firstLine="0"/>
              <w:jc w:val="center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8"/>
              </w:rPr>
              <w:t xml:space="preserve">шахслар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0" w:after="0"/>
              <w:ind w:left="0" w:right="0" w:firstLine="0"/>
              <w:jc w:val="center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8"/>
              </w:rPr>
              <w:t xml:space="preserve">томонидан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0" w:after="0"/>
              <w:ind w:left="0" w:right="0" w:firstLine="0"/>
              <w:jc w:val="center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8"/>
              </w:rPr>
              <w:t xml:space="preserve">тўланган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0" w:after="0"/>
              <w:ind w:left="0" w:right="0" w:firstLine="0"/>
              <w:jc w:val="center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8"/>
              </w:rPr>
              <w:t xml:space="preserve">тўлов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0" w:after="0"/>
              <w:ind w:left="144" w:right="0" w:firstLine="0"/>
              <w:jc w:val="left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8"/>
              </w:rPr>
              <w:t xml:space="preserve">суммалари </w:t>
            </w:r>
          </w:p>
        </w:tc>
      </w:tr>
    </w:tbl>
    <w:p>
      <w:pPr>
        <w:autoSpaceDN w:val="0"/>
        <w:autoSpaceDE w:val="0"/>
        <w:widowControl/>
        <w:spacing w:line="245" w:lineRule="auto" w:before="30" w:after="0"/>
        <w:ind w:left="1502" w:right="0" w:firstLine="0"/>
        <w:jc w:val="left"/>
      </w:pPr>
      <w:r>
        <w:rPr>
          <w:rFonts w:ascii="FreeSerif" w:hAnsi="FreeSerif" w:eastAsia="FreeSerif"/>
          <w:b/>
          <w:i w:val="0"/>
          <w:color w:val="000000"/>
          <w:sz w:val="28"/>
        </w:rPr>
        <w:t>“СИАИЖ-5 (Жисмоний)”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 дастурий маҳсули «Выписки из банка» модулида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>тўловчи СТИРини ўзгартириш имкониятини яратиш лозим.</w:t>
      </w:r>
    </w:p>
    <w:p>
      <w:pPr>
        <w:autoSpaceDN w:val="0"/>
        <w:autoSpaceDE w:val="0"/>
        <w:widowControl/>
        <w:spacing w:line="250" w:lineRule="auto" w:before="60" w:after="32"/>
        <w:ind w:left="1502" w:right="20" w:firstLine="992"/>
        <w:jc w:val="both"/>
      </w:pP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Юқоридагилардан келиб чиқиб, </w:t>
      </w:r>
      <w:r>
        <w:rPr>
          <w:rFonts w:ascii="FreeSerif" w:hAnsi="FreeSerif" w:eastAsia="FreeSerif"/>
          <w:b/>
          <w:i w:val="0"/>
          <w:color w:val="000000"/>
          <w:sz w:val="28"/>
        </w:rPr>
        <w:t>“СИАИЖ-5 (Жисмоний)”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 ҳамда </w:t>
      </w:r>
      <w:r>
        <w:rPr>
          <w:rFonts w:ascii="FreeSerif" w:hAnsi="FreeSerif" w:eastAsia="FreeSerif"/>
          <w:b/>
          <w:i w:val="0"/>
          <w:color w:val="000000"/>
          <w:sz w:val="28"/>
        </w:rPr>
        <w:t xml:space="preserve">“СИАИЖ-5 (Жисмоний) – Кадастр”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 xml:space="preserve">дастурий маҳсулларига тегишли </w:t>
      </w:r>
      <w:r>
        <w:rPr>
          <w:rFonts w:ascii="FreeSerif" w:hAnsi="FreeSerif" w:eastAsia="FreeSerif"/>
          <w:b w:val="0"/>
          <w:i w:val="0"/>
          <w:color w:val="000000"/>
          <w:sz w:val="28"/>
        </w:rPr>
        <w:t>ўзгартириш ҳамда қўшимчалар киритиш юзасидан Янги технологиялар илмий-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190"/>
        <w:gridCol w:w="2190"/>
        <w:gridCol w:w="2190"/>
        <w:gridCol w:w="2190"/>
        <w:gridCol w:w="2190"/>
      </w:tblGrid>
      <w:tr>
        <w:trPr>
          <w:trHeight w:hRule="exact" w:val="37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0" w:after="0"/>
              <w:ind w:left="0" w:right="260" w:firstLine="0"/>
              <w:jc w:val="right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8"/>
              </w:rPr>
              <w:t xml:space="preserve">ахборот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0" w:after="0"/>
              <w:ind w:left="0" w:right="0" w:firstLine="0"/>
              <w:jc w:val="center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8"/>
              </w:rPr>
              <w:t xml:space="preserve">маркази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0" w:after="0"/>
              <w:ind w:left="0" w:right="0" w:firstLine="0"/>
              <w:jc w:val="center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8"/>
              </w:rPr>
              <w:t xml:space="preserve">ва 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0" w:after="0"/>
              <w:ind w:left="0" w:right="0" w:firstLine="0"/>
              <w:jc w:val="center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8"/>
              </w:rPr>
              <w:t xml:space="preserve">Ахборот-коммуникатсия 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0" w:after="0"/>
              <w:ind w:left="284" w:right="0" w:firstLine="0"/>
              <w:jc w:val="left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8"/>
              </w:rPr>
              <w:t xml:space="preserve">технологиялари </w:t>
            </w:r>
          </w:p>
        </w:tc>
      </w:tr>
    </w:tbl>
    <w:p>
      <w:pPr>
        <w:autoSpaceDN w:val="0"/>
        <w:autoSpaceDE w:val="0"/>
        <w:widowControl/>
        <w:spacing w:line="221" w:lineRule="auto" w:before="30" w:after="290"/>
        <w:ind w:left="1502" w:right="0" w:firstLine="0"/>
        <w:jc w:val="left"/>
      </w:pPr>
      <w:r>
        <w:rPr>
          <w:rFonts w:ascii="FreeSerif" w:hAnsi="FreeSerif" w:eastAsia="FreeSerif"/>
          <w:b w:val="0"/>
          <w:i w:val="0"/>
          <w:color w:val="000000"/>
          <w:sz w:val="28"/>
        </w:rPr>
        <w:t>департаментларига кўрсатма беришингизни сўраймиз.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649"/>
        <w:gridCol w:w="3649"/>
        <w:gridCol w:w="3649"/>
      </w:tblGrid>
      <w:tr>
        <w:trPr>
          <w:trHeight w:hRule="exact" w:val="428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966" w:right="0" w:firstLine="0"/>
              <w:jc w:val="left"/>
            </w:pPr>
            <w:r>
              <w:rPr>
                <w:rFonts w:ascii="FreeSerif" w:hAnsi="FreeSerif" w:eastAsia="FreeSerif"/>
                <w:b/>
                <w:i w:val="0"/>
                <w:color w:val="000000"/>
                <w:sz w:val="28"/>
              </w:rPr>
              <w:t>Департамент директори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84" w:after="0"/>
              <w:ind w:left="0" w:right="396" w:firstLine="0"/>
              <w:jc w:val="right"/>
            </w:pPr>
            <w:r>
              <w:rPr>
                <w:rFonts w:ascii="FreeSerif" w:hAnsi="FreeSerif" w:eastAsia="FreeSerif"/>
                <w:b w:val="0"/>
                <w:i w:val="0"/>
                <w:color w:val="FFFFFF"/>
                <w:sz w:val="24"/>
              </w:rPr>
              <w:t>________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402" w:right="0" w:firstLine="0"/>
              <w:jc w:val="left"/>
            </w:pPr>
            <w:r>
              <w:rPr>
                <w:rFonts w:ascii="FreeSerif" w:hAnsi="FreeSerif" w:eastAsia="FreeSerif"/>
                <w:b/>
                <w:i w:val="0"/>
                <w:color w:val="000000"/>
                <w:sz w:val="28"/>
              </w:rPr>
              <w:t>Р.Хўжақулов</w:t>
            </w:r>
          </w:p>
        </w:tc>
      </w:tr>
    </w:tbl>
    <w:p>
      <w:pPr>
        <w:autoSpaceDN w:val="0"/>
        <w:autoSpaceDE w:val="0"/>
        <w:widowControl/>
        <w:spacing w:line="245" w:lineRule="auto" w:before="254" w:after="0"/>
        <w:ind w:left="1502" w:right="8064" w:firstLine="0"/>
        <w:jc w:val="left"/>
      </w:pPr>
      <w:r>
        <w:rPr>
          <w:rFonts w:ascii="FreeSerif" w:hAnsi="FreeSerif" w:eastAsia="FreeSerif"/>
          <w:b w:val="0"/>
          <w:i w:val="0"/>
          <w:color w:val="000000"/>
          <w:sz w:val="14"/>
        </w:rPr>
        <w:t xml:space="preserve">Ижрочи: Ҳ.Нарзуллаев </w:t>
      </w:r>
      <w:r>
        <w:br/>
      </w:r>
      <w:r>
        <w:rPr>
          <w:rFonts w:ascii="FreeSerif" w:hAnsi="FreeSerif" w:eastAsia="FreeSerif"/>
          <w:b w:val="0"/>
          <w:i w:val="0"/>
          <w:color w:val="000000"/>
          <w:sz w:val="14"/>
        </w:rPr>
        <w:t xml:space="preserve">Тел.: 01415 </w:t>
      </w:r>
      <w:r>
        <w:br/>
      </w:r>
      <w:r>
        <w:rPr>
          <w:rFonts w:ascii="FreeSerif" w:hAnsi="FreeSerif" w:eastAsia="FreeSerif"/>
          <w:b w:val="0"/>
          <w:i w:val="0"/>
          <w:color w:val="000000"/>
          <w:sz w:val="14"/>
        </w:rPr>
        <w:t xml:space="preserve">ID: 33536253 </w:t>
      </w:r>
      <w:r>
        <w:br/>
      </w:r>
      <w:r>
        <w:rPr>
          <w:rFonts w:ascii="FreeSerif" w:hAnsi="FreeSerif" w:eastAsia="FreeSerif"/>
          <w:b w:val="0"/>
          <w:i w:val="0"/>
          <w:color w:val="000000"/>
          <w:sz w:val="14"/>
        </w:rPr>
        <w:t>Сана: 01.12.2022</w:t>
      </w:r>
    </w:p>
    <w:p>
      <w:pPr>
        <w:autoSpaceDN w:val="0"/>
        <w:autoSpaceDE w:val="0"/>
        <w:widowControl/>
        <w:spacing w:line="154" w:lineRule="exact" w:before="29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[16.12.2022]  Р.ХЎЖАҚУЛОВ, Ҳ.НАРЗУЛЛАЕВ, Ҳ.БОБОЖОНОВ, А.ҚУРБОНБОЕВ, М.АТАХОНОВ, А.КАРИЕВ</w:t>
      </w:r>
    </w:p>
    <w:sectPr w:rsidR="00FC693F" w:rsidRPr="0006063C" w:rsidSect="00034616">
      <w:pgSz w:w="11906" w:h="16838"/>
      <w:pgMar w:top="426" w:right="758" w:bottom="106" w:left="200" w:header="720" w:footer="720" w:gutter="0"/>
      <w:cols w:space="720" w:num="1" w:equalWidth="0">
        <w:col w:w="10948" w:space="0"/>
        <w:col w:w="970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