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openxmlformats.org/officeDocument/2006/relationships" xmlns:w="http://schemas.openxmlformats.org/wordprocessingml/2006/main">
  <w:body>
    <w:p>
      <w:pPr>
        <w:pStyle w:val="Title"/>
      </w:pPr>
      <w:r>
        <w:t>ARC-AGI Milestone D Journal</w:t>
      </w:r>
    </w:p>
    <w:p>
      <w:pPr>
        <w:pStyle w:val="Subtitle"/>
      </w:pPr>
      <w:r>
        <w:t>Hyunkyong Boo</w:t>
      </w:r>
    </w:p>
    <w:p>
      <w:pPr>
        <w:pStyle w:val="Subtitle"/>
      </w:pPr>
      <w:r>
        <w:t>hkbbooo@gatech.edu</w:t>
      </w:r>
    </w:p>
    <w:p>
      <w:pPr>
        <w:pStyle w:val="Normal"/>
      </w:pPr>
      <w:r>
        <w:t>Abstract- This journal describes the current state of my ARC agent for Milestone D. The agent remains a deterministic, rule-based system that tests a library of candidate transformations against every training pair and only applies a rule to the test grid if it fits all provided examples. During Milestone D, I extended that library with several task-specific rules for separator-based completion, enclosed-region filling, mirroring inside borders, shape connection, tiled composition, and piece fitting. On the locally scorable Milestone D problems included with the starter code, the current version solves 9 of 16 problems. The report focuses on how the agent works, where it currently succeeds, where it still fails, how efficiently it runs, and what improvements are most likely to help before the final submission.</w:t>
      </w:r>
    </w:p>
    <w:p>
      <w:pPr>
        <w:pStyle w:val="Heading1"/>
      </w:pPr>
      <w:r>
        <w:t>1 AGENT DESCRIPTION</w:t>
      </w:r>
    </w:p>
    <w:p>
      <w:pPr>
        <w:pStyle w:val="Normal"/>
      </w:pPr>
      <w:r>
        <w:t>My agent is best described as a cascading rule engine rather than a search-heavy or learned model. For each ARC problem, it reads every training input-output pair, stores them as numpy arrays, and then evaluates a sequence of candidate rules. A rule is considered valid only if it reproduces every training output exactly. If a rule passes that consistency check, the agent applies the same rule to the test input and adds the resulting prediction to its candidate list. The agent returns up to three unique predictions, but in practice most correct solutions come from one strong rule that matches all training examples.</w:t>
      </w:r>
    </w:p>
    <w:p>
      <w:pPr>
        <w:pStyle w:val="Normal"/>
      </w:pPr>
      <w:r>
        <w:t>This design makes the agent easy to debug because each candidate transformation is explicit and interpretable. The central helper method verifies whether a rule fits all training pairs, and when debugging is enabled it prints the first failure case so I can see the mismatched prediction, shape, and expected output. That workflow let me iterate quickly on Milestone D because most of the hard problems were not generic image-processing tasks; they were specific pattern families that needed carefully designed structural checks.</w:t>
      </w:r>
    </w:p>
    <w:p>
      <w:pPr>
        <w:pStyle w:val="Heading2"/>
      </w:pPr>
      <w:r>
        <w:t>1.1 Overall architecture</w:t>
      </w:r>
    </w:p>
    <w:p>
      <w:pPr>
        <w:pStyle w:val="Normal"/>
      </w:pPr>
      <w:r>
        <w:t>The top of the pipeline contains a list of simple rules. Some are generic transformations such as identity, rotations, flips, transpose, cropping, and a small set of panel-combination operations. Others are more specialized rules that I added after inspecting Milestone D failures. The specialized rules currently include filling closed barriers with the dominant interior color, connecting flower-like center points with color 1, mirroring content inside an 8-colored border, composing a 3 by 3 mosaic from rotated and flipped copies, fitting floating pieces into a base structure, XORing top and bottom masks into color 6, overlaying two split panels when one fills the holes of the other, and completing a missing panel across full-row and full-column separators by mirroring neighboring panels.</w:t>
      </w:r>
    </w:p>
    <w:p>
      <w:pPr>
        <w:pStyle w:val="Normal"/>
      </w:pPr>
      <w:r>
        <w:t>If none of those direct rules work, the agent also tries a few lightweight learned templates that are still deterministic. For example, it can derive a single-color extraction rule from the training pairs or try a panel logic rule such as AND, OR, XOR, or NOR when the problem layout suggests that the input is composed of panels that should be combined. I still consider these rule-based because they do not optimize parameters or search over large programs; instead, they infer a narrow transformation schema from the training examples and then apply that schema once to the test input.</w:t>
      </w:r>
    </w:p>
    <w:p>
      <w:pPr>
        <w:pStyle w:val="Heading2"/>
      </w:pPr>
      <w:r>
        <w:t>1.2 Milestone D changes</w:t>
      </w:r>
    </w:p>
    <w:p>
      <w:pPr>
        <w:pStyle w:val="Normal"/>
      </w:pPr>
      <w:r>
        <w:t>Compared to my earlier milestone, the biggest change in Milestone D was shifting from broad geometric transforms toward explicit structure recognition. Several of the new D problems depended on detecting separators, closed borders, or repeated subpanels. I therefore wrote rules that first identify meaningful structural elements such as full separator rows and columns, connected components of a specific color, interior regions isolated by a barrier, or anchor points created by symmetric shapes. Once those structural elements are found, the rule performs the corresponding action: mirror, fill, attach, connect, overlay, or place pieces into slots.</w:t>
      </w:r>
    </w:p>
    <w:p>
      <w:pPr>
        <w:pStyle w:val="Normal"/>
      </w:pPr>
      <w:r>
        <w:t>A concrete example is the separator-completion rule for problems like 2546ccf6. The rule first identifies the separator color as the dominant color forming full rows and columns, partitions the grid into subpanels, then scans adjacent 2 by 2 panel groups. When exactly one panel is empty and the three existing panels agree under horizontal, vertical, or double mirroring, the agent fills the missing panel with that mirrored pattern. Another example is the closed-barrier rule for 4b6b68e5, where the agent treats nonzero connected components as potential barriers, flood-fills from the outside to find which cells are reachable, and then fills truly enclosed regions with the most common nonzero color inside that barrier while leaving non-enclosed regions as 0.</w:t>
      </w:r>
    </w:p>
    <w:p>
      <w:pPr>
        <w:pStyle w:val="Heading1"/>
      </w:pPr>
      <w:r>
        <w:t>2 PERFORMANCE</w:t>
      </w:r>
    </w:p>
    <w:p>
      <w:pPr>
        <w:pStyle w:val="Normal"/>
      </w:pPr>
      <w:r>
        <w:t>On the locally scorable Milestone D set included in the starter code, the current agent solves 9 of 16 problems, which is 56.25 percent. The solved problem IDs are 60a26a3e, 18419cfa, c48954c1, 195ba7dc, 67c52801, 2546ccf6, 31d5ba1a, bbb1b8b6, and 4b6b68e5. The remaining unsolved problems are e9b4f6fc, c1990cce, bcb3040b, 992798f6, d931c21c, 81c0276b, and c8b7cc0f.</w:t>
      </w:r>
    </w:p>
    <w:p>
      <w:pPr>
        <w:pStyle w:val="Normal"/>
      </w:pPr>
      <w:r>
        <w:t>I want to be precise about what this number means. In my local environment, I can score the provided Milestone D problems because their outputs are present in the JSON files. I can also generate predictions for hidden test tasks in a submission setting, but I cannot measure hidden-test accuracy locally because the gold outputs are not available in this workspace. For that reason, the strongest honest claim I can make is that my current agent gets 9 of the 16 locally provided D problems correct and that the same code is what I would submit for broader evaluation.</w:t>
      </w:r>
    </w:p>
    <w:p>
      <w:pPr>
        <w:pStyle w:val="Heading1"/>
      </w:pPr>
      <w:r>
        <w:t>3 AGENT SUCCESS</w:t>
      </w:r>
    </w:p>
    <w:p>
      <w:pPr>
        <w:pStyle w:val="Normal"/>
      </w:pPr>
      <w:r>
        <w:t>The agent performs best on problems whose underlying rule can be expressed as a stable structural transformation. In particular, it now does well on tasks involving clear separators, bordered regions, repeated motifs, and puzzle-piece placement. Problems such as 2546ccf6 and bbb1b8b6 benefit from detecting a dividing structure and reasoning about the relation between adjacent panels. Problems such as 18419cfa and 4b6b68e5 benefit from connected-component analysis, because the agent can identify a border or barrier first and then reason about the region inside it rather than processing the grid as raw pixels.</w:t>
      </w:r>
    </w:p>
    <w:p>
      <w:pPr>
        <w:pStyle w:val="Normal"/>
      </w:pPr>
      <w:r>
        <w:t>It also performs well when the transformation can be validated very strictly across all training examples. This is an advantage of the current design. If the same geometric or structural rule reproduces every training pair exactly, there is relatively little ambiguity about whether the rule should be trusted. The success on c48954c1 and 67c52801 came from that property. Once the agent recognized the arrangement pattern in one case and the piece-fitting logic in the other, the training examples provided a strong enough constraint that the correct rule could be applied confidently to the test input.</w:t>
      </w:r>
    </w:p>
    <w:p>
      <w:pPr>
        <w:pStyle w:val="Normal"/>
      </w:pPr>
      <w:r>
        <w:t>More broadly, the agent is strongest when a problem contains an interpretable object vocabulary: rows or columns that act as separators, closed regions that define inside versus outside, repeated subgrids that should be mirrored or tiled, or small connected components that should be joined or moved. Those settings play to the strengths of a deterministic rule library because the logic can be made explicit and tested directly.</w:t>
      </w:r>
    </w:p>
    <w:p>
      <w:pPr>
        <w:pStyle w:val="Heading1"/>
      </w:pPr>
      <w:r>
        <w:t>4 AGENT STRUGGLES</w:t>
      </w:r>
    </w:p>
    <w:p>
      <w:pPr>
        <w:pStyle w:val="Normal"/>
      </w:pPr>
      <w:r>
        <w:t>The remaining failures suggest that my current approach is still too dependent on handcrafted detection logic for specific pattern families. When a problem does not present an obvious separator, clean symmetry cue, or single dominant structural motif, the agent often has no good abstraction for what it is seeing. In those cases, the generic transforms are too weak, but writing another one-off rule for each failure is also not scalable.</w:t>
      </w:r>
    </w:p>
    <w:p>
      <w:pPr>
        <w:pStyle w:val="Normal"/>
      </w:pPr>
      <w:r>
        <w:t>The unsolved problems appear to require one or more of the following abilities that my agent does not yet handle robustly: selecting among multiple plausible objects of the same color, inferring a transformation from relative arrangement rather than from explicit borders, composing several small operations in sequence, and generalizing when the same idea appears in slightly different visual forms. In other words, the bottleneck is less about raw implementation speed and more about representation. My current rules are good at saying, "if the grid has this very specific structure, do this exact operation," but weaker at recognizing that two visually different layouts might still instantiate the same abstract relation.</w:t>
      </w:r>
    </w:p>
    <w:p>
      <w:pPr>
        <w:pStyle w:val="Normal"/>
      </w:pPr>
      <w:r>
        <w:t>Another challenge is rule interference. Because the agent tests many candidate rules in sequence and returns up to three predictions, I need the more specialized rules to be specific enough that they do not accidentally fit unrelated training sets. I reduced this risk by tightening the structural checks on several rules, but the issue remains conceptually important: if a rule is made too broad, it may pass the training examples for the wrong reason and then fail on the test case.</w:t>
      </w:r>
    </w:p>
    <w:p>
      <w:pPr>
        <w:pStyle w:val="Heading1"/>
      </w:pPr>
      <w:r>
        <w:t>5 EFFICIENCY</w:t>
      </w:r>
    </w:p>
    <w:p>
      <w:pPr>
        <w:pStyle w:val="Normal"/>
      </w:pPr>
      <w:r>
        <w:t>The current agent is computationally inexpensive. I measured per-problem runtime on the 16 local Milestone D problems by running the training-validation loop separately for each problem. The minimum runtime was about 0.00030 seconds, the maximum was about 0.00655 seconds, the mean was about 0.00137 seconds, and the median was about 0.00065 seconds per problem. Even the slowest solved tasks finished in only a few milliseconds on my machine.</w:t>
      </w:r>
    </w:p>
    <w:p>
      <w:pPr>
        <w:pStyle w:val="Normal"/>
      </w:pPr>
      <w:r>
        <w:t>The reason the agent is fast is that it does not perform large-scale search. Most rules are linear or near-linear in the number of cells, aside from repeated scans over the grid or connected-component traversals. Flood-fill and component-based rules are roughly O(hw) for a grid of height h and width w, and even when several such rules are attempted in sequence, the constants are still small because the ARC grids are small. The more expensive part of the pipeline is not any one transformation, but the fact that each candidate rule must be tested against every training pair before it can be trusted.</w:t>
      </w:r>
    </w:p>
    <w:p>
      <w:pPr>
        <w:pStyle w:val="Normal"/>
      </w:pPr>
      <w:r>
        <w:t>The slowest cases in my current measurements were 4b6b68e5 and 18419cfa. That makes sense because both rely on region reasoning with flood-fill-style exploration of reachable and enclosed cells. Even so, the slowdown is minor in absolute terms. At the moment, efficiency is not my main limitation. The bigger issue is coverage: I can afford to test many more candidate rules if I can design them in a way that stays interpretable and avoids false positives.</w:t>
      </w:r>
    </w:p>
    <w:p>
      <w:pPr>
        <w:pStyle w:val="Heading1"/>
      </w:pPr>
      <w:r>
        <w:t>6 IMPROVEMENT PLAN</w:t>
      </w:r>
    </w:p>
    <w:p>
      <w:pPr>
        <w:pStyle w:val="Normal"/>
      </w:pPr>
      <w:r>
        <w:t>Before the final project submission, I plan to improve the agent in three ways. First, I want to continue clustering failed tasks by structural family instead of treating each failure independently. That should help me write more reusable rules, such as separator-based panel completion, object relocation, or symmetry propagation, rather than creating a separate function for every single problem ID. Second, I want to add better object extraction utilities so that rules can reason about bounding boxes, relative offsets, interior versus exterior regions, and alignment relationships in a more uniform way. Right now several rules reimplement similar low-level logic.</w:t>
      </w:r>
    </w:p>
    <w:p>
      <w:pPr>
        <w:pStyle w:val="Normal"/>
      </w:pPr>
      <w:r>
        <w:t>Third, I want to make rule selection more principled. At present, the ordering of the rule list matters because the agent returns only the first few unique predictions that pass training. A better design would attach metadata to each rule describing what visual signatures it expects, then use those signatures to narrow the candidate set before evaluation. That would reduce accidental overlap between rules and make the pipeline easier to extend. If time permits, I also want to add lightweight abstractions for transformations over sets of objects rather than only over raw grids, since several remaining failures seem to demand that level of representation.</w:t>
      </w:r>
    </w:p>
    <w:p>
      <w:pPr>
        <w:pStyle w:val="Heading1"/>
      </w:pPr>
      <w:r>
        <w:t>7 FEEDBACK I WOULD LIKE FROM CLASSMATES</w:t>
      </w:r>
    </w:p>
    <w:p>
      <w:pPr>
        <w:pStyle w:val="Normal"/>
      </w:pPr>
      <w:r>
        <w:t>The most useful feedback for me would be about abstraction strategy rather than code style. In particular, I would like suggestions for how to organize a rule-based ARC agent so that it can generalize across families of tasks without becoming a collection of brittle one-off detectors. If a classmate sees a cleaner way to represent separators, panels, enclosed regions, or movable objects so that multiple rules can reuse the same intermediate representation, that would be especially valuable.</w:t>
      </w:r>
    </w:p>
    <w:p>
      <w:pPr>
        <w:pStyle w:val="Normal"/>
      </w:pPr>
      <w:r>
        <w:t>I would also appreciate feedback on the seven remaining failures: e9b4f6fc, c1990cce, bcb3040b, 992798f6, d931c21c, 81c0276b, and c8b7cc0f. The specific challenge I am facing is deciding whether each of these should motivate a new specialized rule or whether they are signals that I need a more general object-centric framework. Outside feedback would help me avoid spending too much time on local patches when a deeper redesign would be more productive.</w:t>
      </w:r>
    </w:p>
    <w:p>
      <w:pPr>
        <w:pStyle w:val="Normal"/>
      </w:pPr>
      <w:r>
        <w:t>Overall, Milestone D pushed my agent from simple geometric manipulations toward more explicit structural reasoning. That shift improved performance on several previously failing tasks and gave me a clearer picture of what is still missing. The next stage is to keep the interpretability and speed of the current rule-based approach while improving its ability to represent objects and relationships at a higher level.</w:t>
      </w:r>
    </w:p>
    <w:p>
      <w:pPr>
        <w:pStyle w:val="Heading1"/>
      </w:pPr>
      <w:r>
        <w:t>8 FIGURE PLACEHOLDERS</w:t>
      </w:r>
    </w:p>
    <w:p>
      <w:pPr>
        <w:pStyle w:val="Normal"/>
      </w:pPr>
      <w:r>
        <w:t>I was able to identify several useful visuals in the starter-code visuals folder, but I did not embed the actual images directly into this .docx in order to avoid breaking the JDF template structure. Instead, I added the placeholders below so the final PDF can easily be updated with screenshots or exported figures later.</w:t>
      </w:r>
    </w:p>
    <w:p>
      <w:pPr>
        <w:pStyle w:val="Normal"/>
      </w:pPr>
      <w:r>
        <w:t>[Figure Placeholder 1: Example of separator-based panel completion. Suggested file: Arc_Agi_export/ArcAgi_StarterCode_v1.3.0/visuals/Milestone D Training/2546ccf6.pdf]</w:t>
      </w:r>
    </w:p>
    <w:p>
      <w:pPr>
        <w:pStyle w:val="Normal"/>
      </w:pPr>
      <w:r>
        <w:t>[Figure Placeholder 2: Example of filling a closed barrier region by dominant interior color. Suggested file: Arc_Agi_export/ArcAgi_StarterCode_v1.3.0/visuals/Milestone D Training/4b6b68e5.pdf]</w:t>
      </w:r>
    </w:p>
    <w:p>
      <w:pPr>
        <w:pStyle w:val="Normal"/>
      </w:pPr>
      <w:r>
        <w:t>[Figure Placeholder 3: Example of mirroring content inside an 8-colored border. Suggested file: Arc_Agi_export/ArcAgi_StarterCode_v1.3.0/visuals/Milestone D Training/18419cfa.pdf]</w:t>
      </w:r>
    </w:p>
    <w:p>
      <w:pPr>
        <w:pStyle w:val="Normal"/>
      </w:pPr>
      <w:r>
        <w:t>[Figure Placeholder 4: Example of fitting floating pieces into a base slot structure. Suggested file: Arc_Agi_export/ArcAgi_StarterCode_v1.3.0/visuals/Milestone D Training/67c52801.pdf]</w:t>
      </w:r>
    </w:p>
    <w:p>
      <w:pPr>
        <w:pStyle w:val="Normal"/>
      </w:pPr>
      <w:r>
        <w:t>[Figure Placeholder 5: Example of a remaining unsolved problem family for future analysis. Suggested file: Arc_Agi_export/ArcAgi_StarterCode_v1.3.0/visuals/Milestone D Training/e9b4f6fc.pdf]</w:t>
      </w:r>
    </w:p>
    <w:p>
      <w:pPr>
        <w:pStyle w:val="Normal"/>
      </w:pPr>
      <w:r>
        <w:t>These figures were chosen to support the discussion in the paper: successful separator reasoning, enclosed-region reasoning, border mirroring, piece placement, and one representative failure case.</w:t>
      </w:r>
    </w:p>
    <w:sectPr>
      <w:footerReference ns1:id="rId11" w:type="default"/>
      <w:pgSz w:h="15840" w:w="12240" w:orient="portrait"/>
      <w:pgMar w:bottom="2160" w:top="1440" w:left="2160" w:right="21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latino Linotyp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1">
    <w:pPr>
      <w:pageBreakBefore w:val="0"/>
      <w:spacing w:after="680" w:lineRule="auto"/>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1">
    <w:p w:rsidR="00000000" w:rsidDel="00000000" w:rsidP="00000000" w:rsidRDefault="00000000" w:rsidRPr="00000000" w14:paraId="00000052">
      <w:pPr>
        <w:pageBreakBefore w:val="0"/>
        <w:spacing w:after="0" w:line="302.40000000000003" w:lineRule="auto"/>
        <w:rPr>
          <w:sz w:val="17"/>
          <w:szCs w:val="17"/>
        </w:rPr>
      </w:pPr>
      <w:r w:rsidDel="00000000" w:rsidR="00000000" w:rsidRPr="00000000">
        <w:rPr>
          <w:rStyle w:val="FootnoteReference"/>
          <w:vertAlign w:val="superscript"/>
        </w:rPr>
        <w:footnoteRef/>
      </w:r>
      <w:r w:rsidDel="00000000" w:rsidR="00000000" w:rsidRPr="00000000">
        <w:rPr>
          <w:sz w:val="17"/>
          <w:szCs w:val="17"/>
          <w:rtl w:val="0"/>
        </w:rPr>
        <w:t xml:space="preserve"> In-line citations are preferred over footnotes, and we favor APA citation format for both in-line citations and reference lists. Refer to the </w:t>
      </w:r>
      <w:hyperlink r:id="rId1">
        <w:r w:rsidDel="00000000" w:rsidR="00000000" w:rsidRPr="00000000">
          <w:rPr>
            <w:color w:val="1155cc"/>
            <w:sz w:val="17"/>
            <w:szCs w:val="17"/>
            <w:u w:val="single"/>
            <w:rtl w:val="0"/>
          </w:rPr>
          <w:t xml:space="preserve">Purdue Online Writing Lab</w:t>
        </w:r>
      </w:hyperlink>
      <w:r w:rsidDel="00000000" w:rsidR="00000000" w:rsidRPr="00000000">
        <w:rPr>
          <w:sz w:val="17"/>
          <w:szCs w:val="17"/>
          <w:rtl w:val="0"/>
        </w:rPr>
        <w:t xml:space="preserve">, or follow the above examples. Footnotes should use 8.5 point text with 1.26 line spacing.</w:t>
      </w:r>
    </w:p>
  </w:footnote>
  <w:footnote w:id="0">
    <w:p w:rsidR="00000000" w:rsidDel="00000000" w:rsidP="00000000" w:rsidRDefault="00000000" w:rsidRPr="00000000" w14:paraId="00000053">
      <w:pPr>
        <w:pageBreakBefore w:val="0"/>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Here are instructions for </w:t>
      </w:r>
      <w:hyperlink r:id="rId2">
        <w:r w:rsidDel="00000000" w:rsidR="00000000" w:rsidRPr="00000000">
          <w:rPr>
            <w:color w:val="1155cc"/>
            <w:sz w:val="20"/>
            <w:szCs w:val="20"/>
            <w:u w:val="single"/>
            <w:rtl w:val="0"/>
          </w:rPr>
          <w:t xml:space="preserve">Microsoft Word</w:t>
        </w:r>
      </w:hyperlink>
      <w:r w:rsidDel="00000000" w:rsidR="00000000" w:rsidRPr="00000000">
        <w:rPr>
          <w:sz w:val="20"/>
          <w:szCs w:val="20"/>
          <w:rtl w:val="0"/>
        </w:rPr>
        <w:t xml:space="preserve">, </w:t>
      </w:r>
      <w:hyperlink r:id="rId3">
        <w:r w:rsidDel="00000000" w:rsidR="00000000" w:rsidRPr="00000000">
          <w:rPr>
            <w:color w:val="1155cc"/>
            <w:sz w:val="20"/>
            <w:szCs w:val="20"/>
            <w:u w:val="single"/>
            <w:rtl w:val="0"/>
          </w:rPr>
          <w:t xml:space="preserve">Apple Pages</w:t>
        </w:r>
      </w:hyperlink>
      <w:r w:rsidDel="00000000" w:rsidR="00000000" w:rsidRPr="00000000">
        <w:rPr>
          <w:sz w:val="20"/>
          <w:szCs w:val="20"/>
          <w:rtl w:val="0"/>
        </w:rPr>
        <w:t xml:space="preserve">, and </w:t>
      </w:r>
      <w:hyperlink r:id="rId4">
        <w:r w:rsidDel="00000000" w:rsidR="00000000" w:rsidRPr="00000000">
          <w:rPr>
            <w:color w:val="1155cc"/>
            <w:sz w:val="20"/>
            <w:szCs w:val="20"/>
            <w:u w:val="single"/>
            <w:rtl w:val="0"/>
          </w:rPr>
          <w:t xml:space="preserve">Google Docs</w:t>
        </w:r>
      </w:hyperlink>
      <w:r w:rsidDel="00000000" w:rsidR="00000000" w:rsidRPr="00000000">
        <w:rPr>
          <w:sz w:val="20"/>
          <w:szCs w:val="20"/>
          <w:rtl w:val="0"/>
        </w:rPr>
        <w:t xml:space="preserve">.</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alatino Linotype" w:cs="Palatino Linotype" w:eastAsia="Palatino Linotype" w:hAnsi="Palatino Linotype"/>
        <w:sz w:val="22"/>
        <w:szCs w:val="22"/>
        <w:lang w:val="en"/>
      </w:rPr>
    </w:rPrDefault>
    <w:pPrDefault>
      <w:pPr>
        <w:spacing w:after="170" w:line="302.40000000000003"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pPr>
    <w:rPr>
      <w:b w:val="1"/>
      <w:smallCaps w:val="1"/>
    </w:rPr>
  </w:style>
  <w:style w:type="paragraph" w:styleId="Heading2">
    <w:name w:val="heading 2"/>
    <w:basedOn w:val="Normal"/>
    <w:next w:val="Normal"/>
    <w:pPr>
      <w:keepNext w:val="1"/>
      <w:keepLines w:val="1"/>
      <w:pageBreakBefore w:val="0"/>
      <w:spacing w:before="170" w:lineRule="auto"/>
    </w:pPr>
    <w:rPr>
      <w:b w:val="1"/>
    </w:rPr>
  </w:style>
  <w:style w:type="paragraph" w:styleId="Heading3">
    <w:name w:val="heading 3"/>
    <w:basedOn w:val="Normal"/>
    <w:next w:val="Normal"/>
    <w:pPr>
      <w:keepNext w:val="1"/>
      <w:keepLines w:val="1"/>
      <w:pageBreakBefore w:val="0"/>
      <w:spacing w:before="170" w:lineRule="auto"/>
    </w:pPr>
    <w:rPr>
      <w:b w:val="1"/>
      <w:i w:val="1"/>
    </w:rPr>
  </w:style>
  <w:style w:type="paragraph" w:styleId="Heading4">
    <w:name w:val="heading 4"/>
    <w:basedOn w:val="Normal"/>
    <w:next w:val="Normal"/>
    <w:pPr>
      <w:keepNext w:val="1"/>
      <w:keepLines w:val="1"/>
      <w:pageBreakBefore w:val="0"/>
    </w:pPr>
    <w:rPr>
      <w:b w:val="1"/>
      <w:i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110" w:line="276" w:lineRule="auto"/>
      <w:jc w:val="center"/>
    </w:pPr>
    <w:rPr>
      <w:sz w:val="34"/>
      <w:szCs w:val="34"/>
    </w:rPr>
  </w:style>
  <w:style w:type="paragraph" w:styleId="Subtitle">
    <w:name w:val="Subtitle"/>
    <w:basedOn w:val="Normal"/>
    <w:next w:val="Normal"/>
    <w:pPr>
      <w:keepNext w:val="1"/>
      <w:keepLines w:val="1"/>
      <w:pageBreakBefore w:val="0"/>
      <w:jc w:val="center"/>
    </w:pPr>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footer" Target="footer1.xml"/><Relationship Id="rId10" Type="http://schemas.openxmlformats.org/officeDocument/2006/relationships/hyperlink" Target="https://practicaltypography.com/tabs-and-tab-stops.html" TargetMode="External"/><Relationship Id="rId9" Type="http://schemas.openxmlformats.org/officeDocument/2006/relationships/hyperlink" Target="https://xkcd.com/1195/"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 Id="rId5" Type="http://schemas.openxmlformats.org/officeDocument/2006/relationships/font" Target="fonts/PalatinoLinotype-regular.ttf"/><Relationship Id="rId6" Type="http://schemas.openxmlformats.org/officeDocument/2006/relationships/font" Target="fonts/PalatinoLinotype-bold.ttf"/><Relationship Id="rId7" Type="http://schemas.openxmlformats.org/officeDocument/2006/relationships/font" Target="fonts/PalatinoLinotype-italic.ttf"/><Relationship Id="rId8" Type="http://schemas.openxmlformats.org/officeDocument/2006/relationships/font" Target="fonts/PalatinoLinotype-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owl.purdue.edu/owl/research_and_citation/apa_style/apa_formatting_and_style_guide/in_text_citations_the_basics.html" TargetMode="External"/><Relationship Id="rId2" Type="http://schemas.openxmlformats.org/officeDocument/2006/relationships/hyperlink" Target="https://support.office.com/en-us/article/Video-Using-Styles-in-Word-9db4c0f4-2754-4294-9758-c14a0abd8cfa" TargetMode="External"/><Relationship Id="rId3" Type="http://schemas.openxmlformats.org/officeDocument/2006/relationships/hyperlink" Target="https://support.apple.com/guide/pages/intro-to-paragraph-styles-tanaa39b0aa3/mac" TargetMode="External"/><Relationship Id="rId4" Type="http://schemas.openxmlformats.org/officeDocument/2006/relationships/hyperlink" Target="https://www.bazroberts.com/2016/04/19/google-docs-paragraph-styles-head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