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p>
    <w:p>
      <w:r>
        <w:rPr>
          <w:rFonts w:ascii="Arial" w:hAnsi="Arial"/>
          <w:b/>
          <w:color w:val="86318E"/>
          <w:sz w:val="64"/>
        </w:rPr>
        <w:t>ekinox</w:t>
      </w:r>
    </w:p>
    <w:p>
      <w:r>
        <w:rPr>
          <w:b/>
          <w:color w:val="0D9488"/>
        </w:rPr>
        <w:t>____________________________________________________</w:t>
      </w:r>
    </w:p>
    <w:p>
      <w:pPr>
        <w:spacing w:before="600" w:after="240"/>
      </w:pPr>
      <w:r>
        <w:rPr>
          <w:rFonts w:ascii="Arial" w:hAnsi="Arial"/>
          <w:b/>
          <w:color w:val="86318E"/>
          <w:sz w:val="52"/>
        </w:rPr>
        <w:t>Digital Sales Accelerator</w:t>
      </w:r>
    </w:p>
    <w:p>
      <w:pPr>
        <w:spacing w:after="2000"/>
      </w:pPr>
      <w:r>
        <w:rPr>
          <w:rFonts w:ascii="Arial" w:hAnsi="Arial"/>
          <w:i/>
          <w:color w:val="6B7280"/>
          <w:sz w:val="26"/>
        </w:rPr>
        <w:t>Proposition de Transformation &amp; Business Case MVP (8 Capacités)</w:t>
      </w:r>
    </w:p>
    <w:tbl>
      <w:tblPr>
        <w:tblW w:type="auto" w:w="0"/>
        <w:jc w:val="center"/>
        <w:tblLook w:firstColumn="1" w:firstRow="1" w:lastColumn="0" w:lastRow="0" w:noHBand="0" w:noVBand="1" w:val="04A0"/>
      </w:tblPr>
      <w:tblGrid>
        <w:gridCol w:w="3168"/>
        <w:gridCol w:w="6192"/>
      </w:tblGrid>
      <w:tr>
        <w:tc>
          <w:tcPr>
            <w:tcW w:type="dxa" w:w="4680"/>
            <w:tcBorders>
              <w:top w:val="nil"/>
              <w:bottom w:val="nil"/>
              <w:left w:val="nil"/>
              <w:right w:val="nil"/>
            </w:tcBorders>
            <w:tcMar>
              <w:top w:w="40" w:type="dxa"/>
              <w:bottom w:w="40" w:type="dxa"/>
              <w:left w:w="0" w:type="dxa"/>
              <w:right w:w="0" w:type="dxa"/>
            </w:tcMar>
          </w:tcPr>
          <w:p>
            <w:r>
              <w:rPr>
                <w:b/>
                <w:color w:val="6B7280"/>
                <w:sz w:val="20"/>
              </w:rPr>
              <w:t>Préparé pour :</w:t>
            </w:r>
          </w:p>
        </w:tc>
        <w:tc>
          <w:tcPr>
            <w:tcW w:type="dxa" w:w="4680"/>
            <w:tcBorders>
              <w:top w:val="nil"/>
              <w:bottom w:val="nil"/>
              <w:left w:val="nil"/>
              <w:right w:val="nil"/>
            </w:tcBorders>
            <w:tcMar>
              <w:top w:w="40" w:type="dxa"/>
              <w:bottom w:w="40" w:type="dxa"/>
              <w:left w:w="0" w:type="dxa"/>
              <w:right w:w="0" w:type="dxa"/>
            </w:tcMar>
          </w:tcPr>
          <w:p>
            <w:r>
              <w:rPr>
                <w:color w:val="1F2937"/>
                <w:sz w:val="20"/>
              </w:rPr>
              <w:t>SanlamAllianz Group</w:t>
            </w:r>
          </w:p>
        </w:tc>
      </w:tr>
      <w:tr>
        <w:tc>
          <w:tcPr>
            <w:tcW w:type="dxa" w:w="4680"/>
            <w:tcBorders>
              <w:top w:val="nil"/>
              <w:bottom w:val="nil"/>
              <w:left w:val="nil"/>
              <w:right w:val="nil"/>
            </w:tcBorders>
            <w:tcMar>
              <w:top w:w="40" w:type="dxa"/>
              <w:bottom w:w="40" w:type="dxa"/>
              <w:left w:w="0" w:type="dxa"/>
              <w:right w:w="0" w:type="dxa"/>
            </w:tcMar>
          </w:tcPr>
          <w:p>
            <w:r>
              <w:rPr>
                <w:b/>
                <w:color w:val="6B7280"/>
                <w:sz w:val="20"/>
              </w:rPr>
              <w:t>Date de livraison :</w:t>
            </w:r>
          </w:p>
        </w:tc>
        <w:tc>
          <w:tcPr>
            <w:tcW w:type="dxa" w:w="4680"/>
            <w:tcBorders>
              <w:top w:val="nil"/>
              <w:bottom w:val="nil"/>
              <w:left w:val="nil"/>
              <w:right w:val="nil"/>
            </w:tcBorders>
            <w:tcMar>
              <w:top w:w="40" w:type="dxa"/>
              <w:bottom w:w="40" w:type="dxa"/>
              <w:left w:w="0" w:type="dxa"/>
              <w:right w:w="0" w:type="dxa"/>
            </w:tcMar>
          </w:tcPr>
          <w:p>
            <w:r>
              <w:rPr>
                <w:color w:val="1F2937"/>
                <w:sz w:val="20"/>
              </w:rPr>
              <w:t>Juillet 2026</w:t>
            </w:r>
          </w:p>
        </w:tc>
      </w:tr>
      <w:tr>
        <w:tc>
          <w:tcPr>
            <w:tcW w:type="dxa" w:w="4680"/>
            <w:tcBorders>
              <w:top w:val="nil"/>
              <w:bottom w:val="nil"/>
              <w:left w:val="nil"/>
              <w:right w:val="nil"/>
            </w:tcBorders>
            <w:tcMar>
              <w:top w:w="40" w:type="dxa"/>
              <w:bottom w:w="40" w:type="dxa"/>
              <w:left w:w="0" w:type="dxa"/>
              <w:right w:w="0" w:type="dxa"/>
            </w:tcMar>
          </w:tcPr>
          <w:p>
            <w:r>
              <w:rPr>
                <w:b/>
                <w:color w:val="6B7280"/>
                <w:sz w:val="20"/>
              </w:rPr>
              <w:t>Statut du document :</w:t>
            </w:r>
          </w:p>
        </w:tc>
        <w:tc>
          <w:tcPr>
            <w:tcW w:type="dxa" w:w="4680"/>
            <w:tcBorders>
              <w:top w:val="nil"/>
              <w:bottom w:val="nil"/>
              <w:left w:val="nil"/>
              <w:right w:val="nil"/>
            </w:tcBorders>
            <w:tcMar>
              <w:top w:w="40" w:type="dxa"/>
              <w:bottom w:w="40" w:type="dxa"/>
              <w:left w:w="0" w:type="dxa"/>
              <w:right w:w="0" w:type="dxa"/>
            </w:tcMar>
          </w:tcPr>
          <w:p>
            <w:r>
              <w:rPr>
                <w:b/>
                <w:color w:val="86318E"/>
                <w:sz w:val="20"/>
              </w:rPr>
              <w:t>STRICTEMENT CONFIDENTIEL — PROPOSITION PARTENAIRE</w:t>
            </w:r>
          </w:p>
        </w:tc>
      </w:tr>
      <w:tr>
        <w:tc>
          <w:tcPr>
            <w:tcW w:type="dxa" w:w="4680"/>
            <w:tcBorders>
              <w:top w:val="nil"/>
              <w:bottom w:val="nil"/>
              <w:left w:val="nil"/>
              <w:right w:val="nil"/>
            </w:tcBorders>
            <w:tcMar>
              <w:top w:w="40" w:type="dxa"/>
              <w:bottom w:w="40" w:type="dxa"/>
              <w:left w:w="0" w:type="dxa"/>
              <w:right w:w="0" w:type="dxa"/>
            </w:tcMar>
          </w:tcPr>
          <w:p>
            <w:r>
              <w:rPr>
                <w:b/>
                <w:color w:val="6B7280"/>
                <w:sz w:val="20"/>
              </w:rPr>
              <w:t>Auteur :</w:t>
            </w:r>
          </w:p>
        </w:tc>
        <w:tc>
          <w:tcPr>
            <w:tcW w:type="dxa" w:w="4680"/>
            <w:tcBorders>
              <w:top w:val="nil"/>
              <w:bottom w:val="nil"/>
              <w:left w:val="nil"/>
              <w:right w:val="nil"/>
            </w:tcBorders>
            <w:tcMar>
              <w:top w:w="40" w:type="dxa"/>
              <w:bottom w:w="40" w:type="dxa"/>
              <w:left w:w="0" w:type="dxa"/>
              <w:right w:w="0" w:type="dxa"/>
            </w:tcMar>
          </w:tcPr>
          <w:p>
            <w:r>
              <w:rPr>
                <w:color w:val="1F2937"/>
                <w:sz w:val="20"/>
              </w:rPr>
              <w:t>Ekinox Consulting Team</w:t>
            </w:r>
          </w:p>
        </w:tc>
      </w:tr>
    </w:tbl>
    <w:p>
      <w:r>
        <w:br w:type="page"/>
      </w:r>
    </w:p>
    <w:p>
      <w:pPr>
        <w:keepNext/>
        <w:spacing w:before="480" w:after="200"/>
      </w:pPr>
      <w:r>
        <w:rPr>
          <w:rFonts w:ascii="Arial" w:hAnsi="Arial"/>
          <w:b/>
          <w:color w:val="86318E"/>
          <w:sz w:val="36"/>
        </w:rPr>
        <w:t>1. Positionnement Produit : Digital Sales Platform</w:t>
      </w:r>
    </w:p>
    <w:p>
      <w:pPr>
        <w:spacing w:after="120" w:line="276" w:lineRule="auto"/>
      </w:pPr>
      <w:r>
        <w:rPr>
          <w:rFonts w:ascii="Calibri" w:hAnsi="Calibri"/>
          <w:color w:val="1F2937"/>
          <w:sz w:val="22"/>
        </w:rPr>
        <w:t>SanlamAllianz a besoin d'une nouvelle capacité commerciale omnicanale pour accélérer l'acquisition, la qualification et la conversion de ses prospects. Plutôt que de développer un simple 'chatbot' ou projet IA déconnecté des enjeux d'affaires, Ekinox propose le déploiement d'un accélérateur commercial complet : Ekinox Digital Sales Accelerator.</w:t>
      </w:r>
    </w:p>
    <w:p>
      <w:pPr>
        <w:spacing w:after="120" w:line="276" w:lineRule="auto"/>
      </w:pPr>
      <w:r>
        <w:rPr>
          <w:rFonts w:ascii="Calibri" w:hAnsi="Calibri"/>
          <w:color w:val="1F2937"/>
          <w:sz w:val="22"/>
        </w:rPr>
        <w:t>Ce produit résout de manière native la dispersion des leads, le taux d'abandon élevé des formulaires en ligne et la perte de productivité des agents commerciaux. Il s'intègre harmonieusement dans l'écosystème d'assurance existant sans dépendances IT lourdes.</w:t>
      </w:r>
    </w:p>
    <w:p>
      <w:pPr>
        <w:keepNext/>
        <w:spacing w:before="480" w:after="200"/>
      </w:pPr>
      <w:r>
        <w:rPr>
          <w:rFonts w:ascii="Arial" w:hAnsi="Arial"/>
          <w:b/>
          <w:color w:val="86318E"/>
          <w:sz w:val="36"/>
        </w:rPr>
        <w:t>2. Vision Produit &amp; Principes de Conception</w:t>
      </w:r>
    </w:p>
    <w:p>
      <w:pPr>
        <w:spacing w:after="120" w:line="276" w:lineRule="auto"/>
      </w:pPr>
      <w:r>
        <w:rPr>
          <w:rFonts w:ascii="Calibri" w:hAnsi="Calibri"/>
          <w:color w:val="1F2937"/>
          <w:sz w:val="22"/>
        </w:rPr>
        <w:t>Transformer l'acquisition client par une plateforme intelligente de vente omnicanale, capable de conseiller, d'accompagner et de convertir les prospects avec la pertinence d'un expert humain et la scalabilité du digital.</w:t>
      </w:r>
    </w:p>
    <w:p>
      <w:pPr>
        <w:keepNext/>
        <w:spacing w:before="320" w:after="160"/>
      </w:pPr>
      <w:r>
        <w:rPr>
          <w:rFonts w:ascii="Arial" w:hAnsi="Arial"/>
          <w:b/>
          <w:color w:val="0D9488"/>
          <w:sz w:val="28"/>
        </w:rPr>
        <w:t>Principes de Conception du MVP</w:t>
      </w:r>
    </w:p>
    <w:p>
      <w:pPr>
        <w:spacing w:after="120" w:line="276" w:lineRule="auto"/>
      </w:pPr>
      <w:r>
        <w:rPr>
          <w:rFonts w:ascii="Calibri" w:hAnsi="Calibri"/>
          <w:b/>
          <w:color w:val="1F2937"/>
          <w:sz w:val="22"/>
        </w:rPr>
        <w:t xml:space="preserve">• Business First : </w:t>
      </w:r>
      <w:r>
        <w:rPr>
          <w:rFonts w:ascii="Calibri" w:hAnsi="Calibri"/>
          <w:color w:val="1F2937"/>
          <w:sz w:val="22"/>
        </w:rPr>
        <w:t>Chaque fonctionnalité développée doit démontrer un impact direct sur le taux de conversion ou le coût d'acquisition.</w:t>
      </w:r>
    </w:p>
    <w:p>
      <w:pPr>
        <w:spacing w:after="120" w:line="276" w:lineRule="auto"/>
      </w:pPr>
      <w:r>
        <w:rPr>
          <w:rFonts w:ascii="Calibri" w:hAnsi="Calibri"/>
          <w:b/>
          <w:color w:val="1F2937"/>
          <w:sz w:val="22"/>
        </w:rPr>
        <w:t xml:space="preserve">• API-Ready : </w:t>
      </w:r>
      <w:r>
        <w:rPr>
          <w:rFonts w:ascii="Calibri" w:hAnsi="Calibri"/>
          <w:color w:val="1F2937"/>
          <w:sz w:val="22"/>
        </w:rPr>
        <w:t>Architecture modulaire conçue pour s'intégrer de manière transparente avec les canaux de distribution existants et futurs.</w:t>
      </w:r>
    </w:p>
    <w:p>
      <w:pPr>
        <w:spacing w:after="120" w:line="276" w:lineRule="auto"/>
      </w:pPr>
      <w:r>
        <w:rPr>
          <w:rFonts w:ascii="Calibri" w:hAnsi="Calibri"/>
          <w:b/>
          <w:color w:val="1F2937"/>
          <w:sz w:val="22"/>
        </w:rPr>
        <w:t xml:space="preserve">• MVP by Design : </w:t>
      </w:r>
      <w:r>
        <w:rPr>
          <w:rFonts w:ascii="Calibri" w:hAnsi="Calibri"/>
          <w:color w:val="1F2937"/>
          <w:sz w:val="22"/>
        </w:rPr>
        <w:t>Lancement rapide avec un périmètre restreint pour valider la traction commerciale avant complexification technique.</w:t>
      </w:r>
    </w:p>
    <w:p>
      <w:pPr>
        <w:spacing w:after="120" w:line="276" w:lineRule="auto"/>
      </w:pPr>
      <w:r>
        <w:rPr>
          <w:rFonts w:ascii="Calibri" w:hAnsi="Calibri"/>
          <w:b/>
          <w:color w:val="1F2937"/>
          <w:sz w:val="22"/>
        </w:rPr>
        <w:t xml:space="preserve">• AI as an Enabler : </w:t>
      </w:r>
      <w:r>
        <w:rPr>
          <w:rFonts w:ascii="Calibri" w:hAnsi="Calibri"/>
          <w:color w:val="1F2937"/>
          <w:sz w:val="22"/>
        </w:rPr>
        <w:t>L'Intelligence Artificielle opère en coulisse pour augmenter les capacités de vente sans interférer avec l'expérience utilisateur naturelle.</w:t>
      </w:r>
    </w:p>
    <w:p>
      <w:pPr>
        <w:spacing w:after="120" w:line="276" w:lineRule="auto"/>
      </w:pPr>
      <w:r>
        <w:rPr>
          <w:rFonts w:ascii="Calibri" w:hAnsi="Calibri"/>
          <w:b/>
          <w:color w:val="1F2937"/>
          <w:sz w:val="22"/>
        </w:rPr>
        <w:t xml:space="preserve">• Explainability by Default : </w:t>
      </w:r>
      <w:r>
        <w:rPr>
          <w:rFonts w:ascii="Calibri" w:hAnsi="Calibri"/>
          <w:color w:val="1F2937"/>
          <w:sz w:val="22"/>
        </w:rPr>
        <w:t>Toute recommandation produit est justifiée par les besoins exprimés par le client, garantissant transparence et conformité.</w:t>
      </w:r>
    </w:p>
    <w:p>
      <w:pPr>
        <w:spacing w:after="120" w:line="276" w:lineRule="auto"/>
      </w:pPr>
      <w:r>
        <w:rPr>
          <w:rFonts w:ascii="Calibri" w:hAnsi="Calibri"/>
          <w:b/>
          <w:color w:val="1F2937"/>
          <w:sz w:val="22"/>
        </w:rPr>
        <w:t xml:space="preserve">• Scalable Platform : </w:t>
      </w:r>
      <w:r>
        <w:rPr>
          <w:rFonts w:ascii="Calibri" w:hAnsi="Calibri"/>
          <w:color w:val="1F2937"/>
          <w:sz w:val="22"/>
        </w:rPr>
        <w:t>Fondations techniques prêtes à absorber une montée en charge massive des interactions omnicanales sans dégradation de performance.</w:t>
      </w:r>
    </w:p>
    <w:p>
      <w:pPr>
        <w:keepNext/>
        <w:spacing w:before="480" w:after="200"/>
      </w:pPr>
      <w:r>
        <w:rPr>
          <w:rFonts w:ascii="Arial" w:hAnsi="Arial"/>
          <w:b/>
          <w:color w:val="86318E"/>
          <w:sz w:val="36"/>
        </w:rPr>
        <w:t>3. Architecture Technique &amp; Socle Commun</w:t>
      </w:r>
    </w:p>
    <w:p>
      <w:pPr>
        <w:spacing w:after="120" w:line="276" w:lineRule="auto"/>
      </w:pPr>
      <w:r>
        <w:rPr>
          <w:rFonts w:ascii="Calibri" w:hAnsi="Calibri"/>
          <w:color w:val="1F2937"/>
          <w:sz w:val="22"/>
        </w:rPr>
        <w:t>Une plateforme orientée micro-services, orchestrant les interactions multicanales via une couche d'intelligence centralisée.</w:t>
      </w:r>
    </w:p>
    <w:p>
      <w:pPr>
        <w:spacing w:after="120" w:line="276" w:lineRule="auto"/>
      </w:pPr>
      <w:r>
        <w:rPr>
          <w:rFonts w:ascii="Calibri" w:hAnsi="Calibri"/>
          <w:b/>
          <w:color w:val="1F2937"/>
          <w:sz w:val="22"/>
        </w:rPr>
        <w:t xml:space="preserve">Intégration SI &amp; CRM : </w:t>
      </w:r>
      <w:r>
        <w:rPr>
          <w:rFonts w:ascii="Calibri" w:hAnsi="Calibri"/>
          <w:color w:val="1F2937"/>
          <w:sz w:val="22"/>
        </w:rPr>
        <w:t>Connexion asynchrone aux systèmes legacy pour éviter les goulots d'étranglement en phase de devis.</w:t>
      </w:r>
    </w:p>
    <w:p>
      <w:pPr>
        <w:keepNext/>
        <w:spacing w:before="320" w:after="160"/>
      </w:pPr>
      <w:r>
        <w:rPr>
          <w:rFonts w:ascii="Arial" w:hAnsi="Arial"/>
          <w:b/>
          <w:color w:val="0D9488"/>
          <w:sz w:val="28"/>
        </w:rPr>
        <w:t>Composants Technologiques Clés</w:t>
      </w:r>
    </w:p>
    <w:p>
      <w:pPr>
        <w:pStyle w:val="ListBullet"/>
        <w:spacing w:after="80" w:line="276" w:lineRule="auto"/>
      </w:pPr>
      <w:r>
        <w:rPr>
          <w:rFonts w:ascii="Calibri" w:hAnsi="Calibri"/>
          <w:color w:val="1F2937"/>
          <w:sz w:val="22"/>
        </w:rPr>
        <w:t>Moteur de dialogue cognitif, Référentiel de produits décentralisé, Hub omnicanal de messagerie, Base de connaissances unifiée.</w:t>
      </w:r>
    </w:p>
    <w:p>
      <w:r>
        <w:br w:type="page"/>
      </w:r>
    </w:p>
    <w:p>
      <w:pPr>
        <w:keepNext/>
        <w:spacing w:before="480" w:after="200"/>
      </w:pPr>
      <w:r>
        <w:rPr>
          <w:rFonts w:ascii="Arial" w:hAnsi="Arial"/>
          <w:b/>
          <w:color w:val="86318E"/>
          <w:sz w:val="36"/>
        </w:rPr>
        <w:t>4. Cadrage des 8 Capacités du Digital Sales Accelerator</w:t>
      </w:r>
    </w:p>
    <w:p>
      <w:pPr>
        <w:spacing w:after="120" w:line="276" w:lineRule="auto"/>
      </w:pPr>
      <w:r>
        <w:rPr>
          <w:rFonts w:ascii="Calibri" w:hAnsi="Calibri"/>
          <w:color w:val="1F2937"/>
          <w:sz w:val="22"/>
        </w:rPr>
        <w:t>Chaque capacité de l'accélérateur est présentée avec un double alignement : d'une part la proposition de valeur pour le Client (les gestionnaires de SanlamAllianz et les prospects), et d'autre part les spécifications de construction MVP pour l'Équipe Interne en charge de la solution.</w:t>
      </w:r>
    </w:p>
    <w:p>
      <w:pPr>
        <w:keepNext/>
        <w:spacing w:before="320" w:after="160"/>
      </w:pPr>
      <w:r>
        <w:rPr>
          <w:rFonts w:ascii="Arial" w:hAnsi="Arial"/>
          <w:b/>
          <w:color w:val="0D9488"/>
          <w:sz w:val="28"/>
        </w:rPr>
        <w:t>Capacité 1 : Acquisition Omnicanale</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Être présent là où se trouvent vos futurs clients, en fluidifiant le point d'entrée.</w:t>
      </w:r>
    </w:p>
    <w:p>
      <w:pPr>
        <w:spacing w:after="120" w:line="276" w:lineRule="auto"/>
      </w:pPr>
      <w:r>
        <w:rPr>
          <w:rFonts w:ascii="Calibri" w:hAnsi="Calibri"/>
          <w:b/>
          <w:color w:val="1F2937"/>
          <w:sz w:val="22"/>
        </w:rPr>
        <w:t xml:space="preserve">Valeur Ajoutée Assureur : </w:t>
      </w:r>
      <w:r>
        <w:rPr>
          <w:rFonts w:ascii="Calibri" w:hAnsi="Calibri"/>
          <w:color w:val="1F2937"/>
          <w:sz w:val="22"/>
        </w:rPr>
        <w:t>Capte les prospects sur leurs canaux favoris (réseaux sociaux, messagerie, web) avec une expérience unifiée.</w:t>
      </w:r>
    </w:p>
    <w:p>
      <w:pPr>
        <w:spacing w:after="120" w:line="276" w:lineRule="auto"/>
      </w:pPr>
      <w:r>
        <w:rPr>
          <w:rFonts w:ascii="Calibri" w:hAnsi="Calibri"/>
          <w:b/>
          <w:color w:val="1F2937"/>
          <w:sz w:val="22"/>
        </w:rPr>
        <w:t xml:space="preserve">Cas d'Usage Prospect : </w:t>
      </w:r>
      <w:r>
        <w:rPr>
          <w:rFonts w:ascii="Calibri" w:hAnsi="Calibri"/>
          <w:color w:val="1F2937"/>
          <w:sz w:val="22"/>
        </w:rPr>
        <w:t>Un prospect scanne un QR code sur une affiche publicitaire et démarre instantanément une conversation WhatsApp avec SanlamAllianz.</w:t>
      </w:r>
    </w:p>
    <w:p>
      <w:pPr>
        <w:spacing w:after="120" w:line="276" w:lineRule="auto"/>
      </w:pPr>
      <w:r>
        <w:rPr>
          <w:rFonts w:ascii="Calibri" w:hAnsi="Calibri"/>
          <w:b/>
          <w:color w:val="1F2937"/>
          <w:sz w:val="22"/>
        </w:rPr>
        <w:t xml:space="preserve">Impact Utilisateur : </w:t>
      </w:r>
      <w:r>
        <w:rPr>
          <w:rFonts w:ascii="Calibri" w:hAnsi="Calibri"/>
          <w:color w:val="1F2937"/>
          <w:sz w:val="22"/>
        </w:rPr>
        <w:t>Réduction drastique de la friction à l'entrée et augmentation du volume de leads qualifiés.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Acquisition Omnicanale</w:t>
              <w:br/>
            </w:r>
            <w:r>
              <w:rPr>
                <w:rFonts w:ascii="Calibri" w:hAnsi="Calibri"/>
                <w:i/>
                <w:color w:val="1F2937"/>
                <w:sz w:val="21"/>
              </w:rPr>
              <w:t>Données nécessaires pour le MVP :</w:t>
              <w:br/>
              <w:t>URL des campagnes, configurations des canaux sociaux.</w:t>
              <w:br/>
              <w:br/>
              <w:t>Stack technique MVP recommandée :</w:t>
              <w:br/>
              <w:t>Connecteurs Webhooks, API Graph Meta, API WhatsApp Business.</w:t>
              <w:br/>
              <w:br/>
              <w:t>APIs &amp; Services à intégrer/développer :</w:t>
              <w:br/>
              <w:t>Gateway omnicanale.</w:t>
              <w:br/>
              <w:br/>
              <w:t>Étapes clés de développement :</w:t>
              <w:br/>
              <w:t>Configuration des endpoints, gestion du routage des messages entrants, normalisation des payloads.</w:t>
            </w:r>
          </w:p>
        </w:tc>
      </w:tr>
    </w:tbl>
    <w:p>
      <w:pPr>
        <w:spacing w:before="160"/>
      </w:pPr>
    </w:p>
    <w:p>
      <w:pPr>
        <w:keepNext/>
        <w:spacing w:before="320" w:after="160"/>
      </w:pPr>
      <w:r>
        <w:rPr>
          <w:rFonts w:ascii="Arial" w:hAnsi="Arial"/>
          <w:b/>
          <w:color w:val="0D9488"/>
          <w:sz w:val="28"/>
        </w:rPr>
        <w:t>Capacité 2 : Digital Sales Assistant</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Un conseiller d'assurance digital, disponible 24/7 pour qualifier et guider le prospect.</w:t>
      </w:r>
    </w:p>
    <w:p>
      <w:pPr>
        <w:spacing w:after="120" w:line="276" w:lineRule="auto"/>
      </w:pPr>
      <w:r>
        <w:rPr>
          <w:rFonts w:ascii="Calibri" w:hAnsi="Calibri"/>
          <w:b/>
          <w:color w:val="1F2937"/>
          <w:sz w:val="22"/>
        </w:rPr>
        <w:t xml:space="preserve">Valeur Ajoutée Assureur : </w:t>
      </w:r>
      <w:r>
        <w:rPr>
          <w:rFonts w:ascii="Calibri" w:hAnsi="Calibri"/>
          <w:color w:val="1F2937"/>
          <w:sz w:val="22"/>
        </w:rPr>
        <w:t>Automatise la découverte des besoins du client par une conversation naturelle et empathique.</w:t>
      </w:r>
    </w:p>
    <w:p>
      <w:pPr>
        <w:spacing w:after="120" w:line="276" w:lineRule="auto"/>
      </w:pPr>
      <w:r>
        <w:rPr>
          <w:rFonts w:ascii="Calibri" w:hAnsi="Calibri"/>
          <w:b/>
          <w:color w:val="1F2937"/>
          <w:sz w:val="22"/>
        </w:rPr>
        <w:t xml:space="preserve">Cas d'Usage Prospect : </w:t>
      </w:r>
      <w:r>
        <w:rPr>
          <w:rFonts w:ascii="Calibri" w:hAnsi="Calibri"/>
          <w:color w:val="1F2937"/>
          <w:sz w:val="22"/>
        </w:rPr>
        <w:t>Le prospect exprime son besoin d'assurance automobile, l'assistant pose 3 questions clés pour cerner le profil de conducteur.</w:t>
      </w:r>
    </w:p>
    <w:p>
      <w:pPr>
        <w:spacing w:after="120" w:line="276" w:lineRule="auto"/>
      </w:pPr>
      <w:r>
        <w:rPr>
          <w:rFonts w:ascii="Calibri" w:hAnsi="Calibri"/>
          <w:b/>
          <w:color w:val="1F2937"/>
          <w:sz w:val="22"/>
        </w:rPr>
        <w:t xml:space="preserve">Impact Utilisateur : </w:t>
      </w:r>
      <w:r>
        <w:rPr>
          <w:rFonts w:ascii="Calibri" w:hAnsi="Calibri"/>
          <w:color w:val="1F2937"/>
          <w:sz w:val="22"/>
        </w:rPr>
        <w:t>Une expérience d'avant-vente personnalisée, sans temps d'attente.</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Digital Sales Assistant</w:t>
              <w:br/>
            </w:r>
            <w:r>
              <w:rPr>
                <w:rFonts w:ascii="Calibri" w:hAnsi="Calibri"/>
                <w:i/>
                <w:color w:val="1F2937"/>
                <w:sz w:val="21"/>
              </w:rPr>
              <w:t>Données nécessaires pour le MVP :</w:t>
              <w:br/>
              <w:t>Arbres de décision métier, scripts de conversation, ton de voix de la marque.</w:t>
              <w:br/>
              <w:br/>
              <w:t>Stack technique MVP recommandée :</w:t>
              <w:br/>
              <w:t>Moteur NLP, gestionnaire d'état de dialogue.</w:t>
              <w:br/>
              <w:br/>
              <w:t>APIs &amp; Services à intégrer/développer :</w:t>
              <w:br/>
              <w:t>Endpoint de NLP as a Service, API de contexte conversationnel.</w:t>
              <w:br/>
              <w:br/>
              <w:t>Étapes clés de développement :</w:t>
              <w:br/>
              <w:t>Entraînement sur les intentions, définition des entités à extraire, paramétrage des fallbacks.</w:t>
            </w:r>
          </w:p>
        </w:tc>
      </w:tr>
    </w:tbl>
    <w:p>
      <w:pPr>
        <w:spacing w:before="160"/>
      </w:pPr>
    </w:p>
    <w:p>
      <w:pPr>
        <w:keepNext/>
        <w:spacing w:before="320" w:after="160"/>
      </w:pPr>
      <w:r>
        <w:rPr>
          <w:rFonts w:ascii="Arial" w:hAnsi="Arial"/>
          <w:b/>
          <w:color w:val="0D9488"/>
          <w:sz w:val="28"/>
        </w:rPr>
        <w:t>Capacité 3 : Product Advisor</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La bonne offre, pour le bon profil, au bon moment.</w:t>
      </w:r>
    </w:p>
    <w:p>
      <w:pPr>
        <w:spacing w:after="120" w:line="276" w:lineRule="auto"/>
      </w:pPr>
      <w:r>
        <w:rPr>
          <w:rFonts w:ascii="Calibri" w:hAnsi="Calibri"/>
          <w:b/>
          <w:color w:val="1F2937"/>
          <w:sz w:val="22"/>
        </w:rPr>
        <w:t xml:space="preserve">Valeur Ajoutée Assureur : </w:t>
      </w:r>
      <w:r>
        <w:rPr>
          <w:rFonts w:ascii="Calibri" w:hAnsi="Calibri"/>
          <w:color w:val="1F2937"/>
          <w:sz w:val="22"/>
        </w:rPr>
        <w:t>Recommande dynamiquement les produits d'assurance les plus pertinents basés sur le contexte du client.</w:t>
      </w:r>
    </w:p>
    <w:p>
      <w:pPr>
        <w:spacing w:after="120" w:line="276" w:lineRule="auto"/>
      </w:pPr>
      <w:r>
        <w:rPr>
          <w:rFonts w:ascii="Calibri" w:hAnsi="Calibri"/>
          <w:b/>
          <w:color w:val="1F2937"/>
          <w:sz w:val="22"/>
        </w:rPr>
        <w:t xml:space="preserve">Cas d'Usage Prospect : </w:t>
      </w:r>
      <w:r>
        <w:rPr>
          <w:rFonts w:ascii="Calibri" w:hAnsi="Calibri"/>
          <w:color w:val="1F2937"/>
          <w:sz w:val="22"/>
        </w:rPr>
        <w:t>L'assistant suggère une offre Tous Risques avec option bris de glace suite à l'analyse des réponses du prospect.</w:t>
      </w:r>
    </w:p>
    <w:p>
      <w:pPr>
        <w:spacing w:after="120" w:line="276" w:lineRule="auto"/>
      </w:pPr>
      <w:r>
        <w:rPr>
          <w:rFonts w:ascii="Calibri" w:hAnsi="Calibri"/>
          <w:b/>
          <w:color w:val="1F2937"/>
          <w:sz w:val="22"/>
        </w:rPr>
        <w:t xml:space="preserve">Impact Utilisateur : </w:t>
      </w:r>
      <w:r>
        <w:rPr>
          <w:rFonts w:ascii="Calibri" w:hAnsi="Calibri"/>
          <w:color w:val="1F2937"/>
          <w:sz w:val="22"/>
        </w:rPr>
        <w:t>Augmentation de la pertinence de l'offre et du taux de conversion, sentiment d'être compris.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Product Advisor</w:t>
              <w:br/>
            </w:r>
            <w:r>
              <w:rPr>
                <w:rFonts w:ascii="Calibri" w:hAnsi="Calibri"/>
                <w:i/>
                <w:color w:val="1F2937"/>
                <w:sz w:val="21"/>
              </w:rPr>
              <w:t>Données nécessaires pour le MVP :</w:t>
              <w:br/>
              <w:t>Catalogue produits simplifié, règles de recommandation métier, grilles tarifaires indicatives.</w:t>
              <w:br/>
              <w:br/>
              <w:t>Stack technique MVP recommandée :</w:t>
              <w:br/>
              <w:t>Moteur de règles métier léger, moteur d'inférence statique.</w:t>
              <w:br/>
              <w:br/>
              <w:t>APIs &amp; Services à intégrer/développer :</w:t>
              <w:br/>
              <w:t>API de recommandation produit (mockup interne pour le MVP).</w:t>
              <w:br/>
              <w:br/>
              <w:t>Étapes clés de développement :</w:t>
              <w:br/>
              <w:t>Digitalisation du catalogue produit (format JSON/NoSQL), implémentation de l'algorithme de matching produit/besoin.</w:t>
            </w:r>
          </w:p>
        </w:tc>
      </w:tr>
    </w:tbl>
    <w:p>
      <w:pPr>
        <w:spacing w:before="160"/>
      </w:pPr>
    </w:p>
    <w:p>
      <w:pPr>
        <w:keepNext/>
        <w:spacing w:before="320" w:after="160"/>
      </w:pPr>
      <w:r>
        <w:rPr>
          <w:rFonts w:ascii="Arial" w:hAnsi="Arial"/>
          <w:b/>
          <w:color w:val="0D9488"/>
          <w:sz w:val="28"/>
        </w:rPr>
        <w:t>Capacité 4 : Knowledge Hub Assurance</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L'expertise métier SanlamAllianz infusée dans chaque interaction.</w:t>
      </w:r>
    </w:p>
    <w:p>
      <w:pPr>
        <w:spacing w:after="120" w:line="276" w:lineRule="auto"/>
      </w:pPr>
      <w:r>
        <w:rPr>
          <w:rFonts w:ascii="Calibri" w:hAnsi="Calibri"/>
          <w:b/>
          <w:color w:val="1F2937"/>
          <w:sz w:val="22"/>
        </w:rPr>
        <w:t xml:space="preserve">Valeur Ajoutée Assureur : </w:t>
      </w:r>
      <w:r>
        <w:rPr>
          <w:rFonts w:ascii="Calibri" w:hAnsi="Calibri"/>
          <w:color w:val="1F2937"/>
          <w:sz w:val="22"/>
        </w:rPr>
        <w:t>Répond instantanément à toute question technique sur les garanties, exclusions et conditions.</w:t>
      </w:r>
    </w:p>
    <w:p>
      <w:pPr>
        <w:spacing w:after="120" w:line="276" w:lineRule="auto"/>
      </w:pPr>
      <w:r>
        <w:rPr>
          <w:rFonts w:ascii="Calibri" w:hAnsi="Calibri"/>
          <w:b/>
          <w:color w:val="1F2937"/>
          <w:sz w:val="22"/>
        </w:rPr>
        <w:t xml:space="preserve">Cas d'Usage Prospect : </w:t>
      </w:r>
      <w:r>
        <w:rPr>
          <w:rFonts w:ascii="Calibri" w:hAnsi="Calibri"/>
          <w:color w:val="1F2937"/>
          <w:sz w:val="22"/>
        </w:rPr>
        <w:t>Le prospect demande si les dommages causés par la grêle sont couverts ; l'assistant répond avec précision en citant les conditions générales.</w:t>
      </w:r>
    </w:p>
    <w:p>
      <w:pPr>
        <w:spacing w:after="120" w:line="276" w:lineRule="auto"/>
      </w:pPr>
      <w:r>
        <w:rPr>
          <w:rFonts w:ascii="Calibri" w:hAnsi="Calibri"/>
          <w:b/>
          <w:color w:val="1F2937"/>
          <w:sz w:val="22"/>
        </w:rPr>
        <w:t xml:space="preserve">Impact Utilisateur : </w:t>
      </w:r>
      <w:r>
        <w:rPr>
          <w:rFonts w:ascii="Calibri" w:hAnsi="Calibri"/>
          <w:color w:val="1F2937"/>
          <w:sz w:val="22"/>
        </w:rPr>
        <w:t>Réassurance immédiate du client face à la complexité des contrats d'assurance.</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Knowledge Hub Assurance</w:t>
              <w:br/>
            </w:r>
            <w:r>
              <w:rPr>
                <w:rFonts w:ascii="Calibri" w:hAnsi="Calibri"/>
                <w:i/>
                <w:color w:val="1F2937"/>
                <w:sz w:val="21"/>
              </w:rPr>
              <w:t>Données nécessaires pour le MVP :</w:t>
              <w:br/>
              <w:t>Fichiers PDF des conditions générales, conditions particulières, FAQ, manuels produits.</w:t>
              <w:br/>
              <w:br/>
              <w:t>Stack technique MVP recommandée :</w:t>
              <w:br/>
              <w:t>Moteur d'ingestion documentaire, indexation sémantique, base vectorielle (usage interne).</w:t>
              <w:br/>
              <w:br/>
              <w:t>APIs &amp; Services à intégrer/développer :</w:t>
              <w:br/>
              <w:t>API de recherche documentaire interne.</w:t>
              <w:br/>
              <w:br/>
              <w:t>Étapes clés de développement :</w:t>
              <w:br/>
              <w:t>Parsing des PDF, nettoyage du texte, création des index de recherche, évaluation de la précision des réponses.</w:t>
            </w:r>
          </w:p>
        </w:tc>
      </w:tr>
    </w:tbl>
    <w:p>
      <w:pPr>
        <w:spacing w:before="160"/>
      </w:pPr>
    </w:p>
    <w:p>
      <w:pPr>
        <w:keepNext/>
        <w:spacing w:before="320" w:after="160"/>
      </w:pPr>
      <w:r>
        <w:rPr>
          <w:rFonts w:ascii="Arial" w:hAnsi="Arial"/>
          <w:b/>
          <w:color w:val="0D9488"/>
          <w:sz w:val="28"/>
        </w:rPr>
        <w:t>Capacité 5 : Préparation du dossier de souscription</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L'onboarding client rendu simple, rapide et sans effort.</w:t>
      </w:r>
    </w:p>
    <w:p>
      <w:pPr>
        <w:spacing w:after="120" w:line="276" w:lineRule="auto"/>
      </w:pPr>
      <w:r>
        <w:rPr>
          <w:rFonts w:ascii="Calibri" w:hAnsi="Calibri"/>
          <w:b/>
          <w:color w:val="1F2937"/>
          <w:sz w:val="22"/>
        </w:rPr>
        <w:t xml:space="preserve">Valeur Ajoutée Assureur : </w:t>
      </w:r>
      <w:r>
        <w:rPr>
          <w:rFonts w:ascii="Calibri" w:hAnsi="Calibri"/>
          <w:color w:val="1F2937"/>
          <w:sz w:val="22"/>
        </w:rPr>
        <w:t>Collecte proactive et intelligente des données nécessaires à la création du contrat.</w:t>
      </w:r>
    </w:p>
    <w:p>
      <w:pPr>
        <w:spacing w:after="120" w:line="276" w:lineRule="auto"/>
      </w:pPr>
      <w:r>
        <w:rPr>
          <w:rFonts w:ascii="Calibri" w:hAnsi="Calibri"/>
          <w:b/>
          <w:color w:val="1F2937"/>
          <w:sz w:val="22"/>
        </w:rPr>
        <w:t xml:space="preserve">Cas d'Usage Prospect : </w:t>
      </w:r>
      <w:r>
        <w:rPr>
          <w:rFonts w:ascii="Calibri" w:hAnsi="Calibri"/>
          <w:color w:val="1F2937"/>
          <w:sz w:val="22"/>
        </w:rPr>
        <w:t>L'assistant guide le client pas-à-pas pour fournir son nom, adresse et informations du véhicule.</w:t>
      </w:r>
    </w:p>
    <w:p>
      <w:pPr>
        <w:spacing w:after="120" w:line="276" w:lineRule="auto"/>
      </w:pPr>
      <w:r>
        <w:rPr>
          <w:rFonts w:ascii="Calibri" w:hAnsi="Calibri"/>
          <w:b/>
          <w:color w:val="1F2937"/>
          <w:sz w:val="22"/>
        </w:rPr>
        <w:t xml:space="preserve">Impact Utilisateur : </w:t>
      </w:r>
      <w:r>
        <w:rPr>
          <w:rFonts w:ascii="Calibri" w:hAnsi="Calibri"/>
          <w:color w:val="1F2937"/>
          <w:sz w:val="22"/>
        </w:rPr>
        <w:t>Réduction du taux d'abandon en phase de finalisation du devis.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Préparation du dossier de souscription</w:t>
              <w:br/>
            </w:r>
            <w:r>
              <w:rPr>
                <w:rFonts w:ascii="Calibri" w:hAnsi="Calibri"/>
                <w:i/>
                <w:color w:val="1F2937"/>
                <w:sz w:val="21"/>
              </w:rPr>
              <w:t>Données nécessaires pour le MVP :</w:t>
              <w:br/>
              <w:t>Dictionnaire de données client, liste des champs obligatoires par produit.</w:t>
              <w:br/>
              <w:br/>
              <w:t>Stack technique MVP recommandée :</w:t>
              <w:br/>
              <w:t>Formulaires conversationnels, validateurs de données dynamiques.</w:t>
              <w:br/>
              <w:br/>
              <w:t>APIs &amp; Services à intégrer/développer :</w:t>
              <w:br/>
              <w:t>API de soumission de données de pré-souscription.</w:t>
              <w:br/>
              <w:br/>
              <w:t>Étapes clés de développement :</w:t>
              <w:br/>
              <w:t>Définition des flux de collecte, implémentation des contrôles de saisie (email, téléphone, dates).</w:t>
            </w:r>
          </w:p>
        </w:tc>
      </w:tr>
    </w:tbl>
    <w:p>
      <w:pPr>
        <w:spacing w:before="160"/>
      </w:pPr>
    </w:p>
    <w:p>
      <w:pPr>
        <w:keepNext/>
        <w:spacing w:before="320" w:after="160"/>
      </w:pPr>
      <w:r>
        <w:rPr>
          <w:rFonts w:ascii="Arial" w:hAnsi="Arial"/>
          <w:b/>
          <w:color w:val="0D9488"/>
          <w:sz w:val="28"/>
        </w:rPr>
        <w:t>Capacité 6 : Gestion documentaire (upload des pièces)</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La fin des allers-retours administratifs fastidieux.</w:t>
      </w:r>
    </w:p>
    <w:p>
      <w:pPr>
        <w:spacing w:after="120" w:line="276" w:lineRule="auto"/>
      </w:pPr>
      <w:r>
        <w:rPr>
          <w:rFonts w:ascii="Calibri" w:hAnsi="Calibri"/>
          <w:b/>
          <w:color w:val="1F2937"/>
          <w:sz w:val="22"/>
        </w:rPr>
        <w:t xml:space="preserve">Valeur Ajoutée Assureur : </w:t>
      </w:r>
      <w:r>
        <w:rPr>
          <w:rFonts w:ascii="Calibri" w:hAnsi="Calibri"/>
          <w:color w:val="1F2937"/>
          <w:sz w:val="22"/>
        </w:rPr>
        <w:t>Permet au client de transmettre ses justificatifs directement dans le fil de la conversation.</w:t>
      </w:r>
    </w:p>
    <w:p>
      <w:pPr>
        <w:spacing w:after="120" w:line="276" w:lineRule="auto"/>
      </w:pPr>
      <w:r>
        <w:rPr>
          <w:rFonts w:ascii="Calibri" w:hAnsi="Calibri"/>
          <w:b/>
          <w:color w:val="1F2937"/>
          <w:sz w:val="22"/>
        </w:rPr>
        <w:t xml:space="preserve">Cas d'Usage Prospect : </w:t>
      </w:r>
      <w:r>
        <w:rPr>
          <w:rFonts w:ascii="Calibri" w:hAnsi="Calibri"/>
          <w:color w:val="1F2937"/>
          <w:sz w:val="22"/>
        </w:rPr>
        <w:t>Le client prend en photo sa carte grise et son permis de conduire avec son smartphone et l'envoie via WhatsApp.</w:t>
      </w:r>
    </w:p>
    <w:p>
      <w:pPr>
        <w:spacing w:after="120" w:line="276" w:lineRule="auto"/>
      </w:pPr>
      <w:r>
        <w:rPr>
          <w:rFonts w:ascii="Calibri" w:hAnsi="Calibri"/>
          <w:b/>
          <w:color w:val="1F2937"/>
          <w:sz w:val="22"/>
        </w:rPr>
        <w:t xml:space="preserve">Impact Utilisateur : </w:t>
      </w:r>
      <w:r>
        <w:rPr>
          <w:rFonts w:ascii="Calibri" w:hAnsi="Calibri"/>
          <w:color w:val="1F2937"/>
          <w:sz w:val="22"/>
        </w:rPr>
        <w:t>Un parcours 100% digitalisé, gain de temps considérable pour finaliser le contrat.</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Gestion documentaire (upload des pièces)</w:t>
              <w:br/>
            </w:r>
            <w:r>
              <w:rPr>
                <w:rFonts w:ascii="Calibri" w:hAnsi="Calibri"/>
                <w:i/>
                <w:color w:val="1F2937"/>
                <w:sz w:val="21"/>
              </w:rPr>
              <w:t>Données nécessaires pour le MVP :</w:t>
              <w:br/>
              <w:t>Liste des documents requis, règles de validation de format (PDF, JPG, PNG).</w:t>
              <w:br/>
              <w:br/>
              <w:t>Stack technique MVP recommandée :</w:t>
              <w:br/>
              <w:t>Service de stockage cloud sécurisé, analyseur de pièces jointes.</w:t>
              <w:br/>
              <w:br/>
              <w:t>APIs &amp; Services à intégrer/développer :</w:t>
              <w:br/>
              <w:t>API d'upload de documents, API de webhook média.</w:t>
              <w:br/>
              <w:br/>
              <w:t>Étapes clés de développement :</w:t>
              <w:br/>
              <w:t>Intégration du flux média des canaux sociaux, sécurisation du stockage transitoire, association des pièces au dossier prospect.</w:t>
            </w:r>
          </w:p>
        </w:tc>
      </w:tr>
    </w:tbl>
    <w:p>
      <w:pPr>
        <w:spacing w:before="160"/>
      </w:pPr>
    </w:p>
    <w:p>
      <w:pPr>
        <w:keepNext/>
        <w:spacing w:before="320" w:after="160"/>
      </w:pPr>
      <w:r>
        <w:rPr>
          <w:rFonts w:ascii="Arial" w:hAnsi="Arial"/>
          <w:b/>
          <w:color w:val="0D9488"/>
          <w:sz w:val="28"/>
        </w:rPr>
        <w:t>Capacité 7 : Rendez-vous &amp; Handover vers un conseiller</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Le meilleur des deux mondes : la vélocité du digital et l'empathie de l'humain.</w:t>
      </w:r>
    </w:p>
    <w:p>
      <w:pPr>
        <w:spacing w:after="120" w:line="276" w:lineRule="auto"/>
      </w:pPr>
      <w:r>
        <w:rPr>
          <w:rFonts w:ascii="Calibri" w:hAnsi="Calibri"/>
          <w:b/>
          <w:color w:val="1F2937"/>
          <w:sz w:val="22"/>
        </w:rPr>
        <w:t xml:space="preserve">Valeur Ajoutée Assureur : </w:t>
      </w:r>
      <w:r>
        <w:rPr>
          <w:rFonts w:ascii="Calibri" w:hAnsi="Calibri"/>
          <w:color w:val="1F2937"/>
          <w:sz w:val="22"/>
        </w:rPr>
        <w:t>Transfère intelligemment la conversation à un agent humain lorsque la situation l'exige ou pour finaliser la vente.</w:t>
      </w:r>
    </w:p>
    <w:p>
      <w:pPr>
        <w:spacing w:after="120" w:line="276" w:lineRule="auto"/>
      </w:pPr>
      <w:r>
        <w:rPr>
          <w:rFonts w:ascii="Calibri" w:hAnsi="Calibri"/>
          <w:b/>
          <w:color w:val="1F2937"/>
          <w:sz w:val="22"/>
        </w:rPr>
        <w:t xml:space="preserve">Cas d'Usage Prospect : </w:t>
      </w:r>
      <w:r>
        <w:rPr>
          <w:rFonts w:ascii="Calibri" w:hAnsi="Calibri"/>
          <w:color w:val="1F2937"/>
          <w:sz w:val="22"/>
        </w:rPr>
        <w:t>Le client souhaite négocier le tarif ; l'assistant passe le relais à un conseiller qui reprend le contexte complet de la conversation.</w:t>
      </w:r>
    </w:p>
    <w:p>
      <w:pPr>
        <w:spacing w:after="120" w:line="276" w:lineRule="auto"/>
      </w:pPr>
      <w:r>
        <w:rPr>
          <w:rFonts w:ascii="Calibri" w:hAnsi="Calibri"/>
          <w:b/>
          <w:color w:val="1F2937"/>
          <w:sz w:val="22"/>
        </w:rPr>
        <w:t xml:space="preserve">Impact Utilisateur : </w:t>
      </w:r>
      <w:r>
        <w:rPr>
          <w:rFonts w:ascii="Calibri" w:hAnsi="Calibri"/>
          <w:color w:val="1F2937"/>
          <w:sz w:val="22"/>
        </w:rPr>
        <w:t>Aucune rupture dans l'expérience client, pas besoin de répéter ses informations.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Rendez-vous &amp; Handover vers un conseiller</w:t>
              <w:br/>
            </w:r>
            <w:r>
              <w:rPr>
                <w:rFonts w:ascii="Calibri" w:hAnsi="Calibri"/>
                <w:i/>
                <w:color w:val="1F2937"/>
                <w:sz w:val="21"/>
              </w:rPr>
              <w:t>Données nécessaires pour le MVP :</w:t>
              <w:br/>
              <w:t>Disponibilité des agents, règles de routage (par produit, par canal).</w:t>
              <w:br/>
              <w:br/>
              <w:t>Stack technique MVP recommandée :</w:t>
              <w:br/>
              <w:t>Système de routage de tickets, interface de supervision en temps réel.</w:t>
              <w:br/>
              <w:br/>
              <w:t>APIs &amp; Services à intégrer/développer :</w:t>
              <w:br/>
              <w:t>API de prise de rendez-vous (calendrier), API de handover.</w:t>
              <w:br/>
              <w:br/>
              <w:t>Étapes clés de développement :</w:t>
              <w:br/>
              <w:t>Développement de la logique d'escalade, intégration avec les outils de calendrier, préservation du contexte de session.</w:t>
            </w:r>
          </w:p>
        </w:tc>
      </w:tr>
    </w:tbl>
    <w:p>
      <w:pPr>
        <w:spacing w:before="160"/>
      </w:pPr>
    </w:p>
    <w:p>
      <w:pPr>
        <w:keepNext/>
        <w:spacing w:before="320" w:after="160"/>
      </w:pPr>
      <w:r>
        <w:rPr>
          <w:rFonts w:ascii="Arial" w:hAnsi="Arial"/>
          <w:b/>
          <w:color w:val="0D9488"/>
          <w:sz w:val="28"/>
        </w:rPr>
        <w:t>Capacité 8 : Sales Workspace &amp; Base Prospects</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Un pilotage commercial réinventé pour maximiser chaque opportunité.</w:t>
      </w:r>
    </w:p>
    <w:p>
      <w:pPr>
        <w:spacing w:after="120" w:line="276" w:lineRule="auto"/>
      </w:pPr>
      <w:r>
        <w:rPr>
          <w:rFonts w:ascii="Calibri" w:hAnsi="Calibri"/>
          <w:b/>
          <w:color w:val="1F2937"/>
          <w:sz w:val="22"/>
        </w:rPr>
        <w:t xml:space="preserve">Valeur Ajoutée Assureur : </w:t>
      </w:r>
      <w:r>
        <w:rPr>
          <w:rFonts w:ascii="Calibri" w:hAnsi="Calibri"/>
          <w:color w:val="1F2937"/>
          <w:sz w:val="22"/>
        </w:rPr>
        <w:t>Centralise la gestion des prospects et facilite les actions de relance pour les équipes de vente.</w:t>
      </w:r>
    </w:p>
    <w:p>
      <w:pPr>
        <w:spacing w:after="120" w:line="276" w:lineRule="auto"/>
      </w:pPr>
      <w:r>
        <w:rPr>
          <w:rFonts w:ascii="Calibri" w:hAnsi="Calibri"/>
          <w:b/>
          <w:color w:val="1F2937"/>
          <w:sz w:val="22"/>
        </w:rPr>
        <w:t xml:space="preserve">Cas d'Usage Prospect : </w:t>
      </w:r>
      <w:r>
        <w:rPr>
          <w:rFonts w:ascii="Calibri" w:hAnsi="Calibri"/>
          <w:color w:val="1F2937"/>
          <w:sz w:val="22"/>
        </w:rPr>
        <w:t>L'agent commercial accède à une vue unifiée de ses prospects chauds avec des suggestions de relance personnalisées.</w:t>
      </w:r>
    </w:p>
    <w:p>
      <w:pPr>
        <w:spacing w:after="120" w:line="276" w:lineRule="auto"/>
      </w:pPr>
      <w:r>
        <w:rPr>
          <w:rFonts w:ascii="Calibri" w:hAnsi="Calibri"/>
          <w:b/>
          <w:color w:val="1F2937"/>
          <w:sz w:val="22"/>
        </w:rPr>
        <w:t xml:space="preserve">Impact Utilisateur : </w:t>
      </w:r>
      <w:r>
        <w:rPr>
          <w:rFonts w:ascii="Calibri" w:hAnsi="Calibri"/>
          <w:color w:val="1F2937"/>
          <w:sz w:val="22"/>
        </w:rPr>
        <w:t>Une relation client suivie, personnalisée et proactive.</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Sales Workspace &amp; Base Prospects</w:t>
              <w:br/>
            </w:r>
            <w:r>
              <w:rPr>
                <w:rFonts w:ascii="Calibri" w:hAnsi="Calibri"/>
                <w:i/>
                <w:color w:val="1F2937"/>
                <w:sz w:val="21"/>
              </w:rPr>
              <w:t>Données nécessaires pour le MVP :</w:t>
              <w:br/>
              <w:t>Données d'historique des prospects, statuts du pipeline (Nouveau, En cours, Gagné, Perdu).</w:t>
              <w:br/>
              <w:br/>
              <w:t>Stack technique MVP recommandée :</w:t>
              <w:br/>
              <w:t>Application web front-end légère (SPA), base de données relationnelle (CRM light).</w:t>
              <w:br/>
              <w:br/>
              <w:t>APIs &amp; Services à intégrer/développer :</w:t>
              <w:br/>
              <w:t>API CRUD Prospects, API de tâches et relances.</w:t>
              <w:br/>
              <w:br/>
              <w:t>Étapes clés de développement :</w:t>
              <w:br/>
              <w:t>Modélisation de la base de données, développement des vues Kanban de pipeline, gestion des droits d'accès basiques.</w:t>
            </w:r>
          </w:p>
        </w:tc>
      </w:tr>
    </w:tbl>
    <w:p>
      <w:pPr>
        <w:spacing w:before="160"/>
      </w:pPr>
    </w:p>
    <w:p>
      <w:r>
        <w:br w:type="page"/>
      </w:r>
    </w:p>
    <w:p>
      <w:pPr>
        <w:keepNext/>
        <w:spacing w:before="480" w:after="200"/>
      </w:pPr>
      <w:r>
        <w:rPr>
          <w:rFonts w:ascii="Arial" w:hAnsi="Arial"/>
          <w:b/>
          <w:color w:val="86318E"/>
          <w:sz w:val="36"/>
        </w:rPr>
        <w:t>5. Trajectoire d'Évolution Produit (Roadmap)</w:t>
      </w:r>
    </w:p>
    <w:p>
      <w:pPr>
        <w:spacing w:after="120" w:line="276" w:lineRule="auto"/>
      </w:pPr>
      <w:r>
        <w:rPr>
          <w:rFonts w:ascii="Calibri" w:hAnsi="Calibri"/>
          <w:color w:val="1F2937"/>
          <w:sz w:val="22"/>
        </w:rPr>
        <w:t>L'approche d'Ekinox garantit un retour sur investissement rapide avec un MVP ciblé en V1, ouvrant la voie à une trajectoire de maturité produit modulaire et scalable.</w:t>
      </w:r>
    </w:p>
    <w:tbl>
      <w:tblPr>
        <w:tblW w:type="auto" w:w="0"/>
        <w:jc w:val="center"/>
        <w:tblLook w:firstColumn="1" w:firstRow="1" w:lastColumn="0" w:lastRow="0" w:noHBand="0" w:noVBand="1" w:val="04A0"/>
        <w:tblBorders>
          <w:top w:val="single" w:sz="10" w:space="0" w:color="E5E7EB"/>
          <w:bottom w:val="single" w:sz="10" w:space="0" w:color="E5E7EB"/>
          <w:insideH w:val="single" w:sz="5" w:space="0" w:color="E5E7EB"/>
          <w:left w:val="nil"/>
          <w:right w:val="nil"/>
          <w:insideV w:val="nil"/>
        </w:tblBorders>
      </w:tblPr>
      <w:tblGrid>
        <w:gridCol w:w="4680"/>
        <w:gridCol w:w="4680"/>
      </w:tblGrid>
      <w:tr>
        <w:tc>
          <w:tcPr>
            <w:tcW w:type="dxa" w:w="2160"/>
            <w:shd w:fill="86318E"/>
            <w:tcMar>
              <w:top w:w="140" w:type="dxa"/>
              <w:bottom w:w="140" w:type="dxa"/>
              <w:left w:w="150" w:type="dxa"/>
              <w:right w:w="150" w:type="dxa"/>
            </w:tcMar>
          </w:tcPr>
          <w:p>
            <w:pPr>
              <w:jc w:val="left"/>
            </w:pPr>
            <w:r>
              <w:rPr>
                <w:rFonts w:ascii="Arial" w:hAnsi="Arial"/>
                <w:b/>
                <w:color w:val="FFFFFF"/>
                <w:sz w:val="21"/>
              </w:rPr>
              <w:t>Phase</w:t>
            </w:r>
          </w:p>
        </w:tc>
        <w:tc>
          <w:tcPr>
            <w:tcW w:type="dxa" w:w="7200"/>
            <w:shd w:fill="86318E"/>
            <w:tcMar>
              <w:top w:w="140" w:type="dxa"/>
              <w:bottom w:w="140" w:type="dxa"/>
              <w:left w:w="150" w:type="dxa"/>
              <w:right w:w="150" w:type="dxa"/>
            </w:tcMar>
          </w:tcPr>
          <w:p>
            <w:pPr>
              <w:jc w:val="left"/>
            </w:pPr>
            <w:r>
              <w:rPr>
                <w:rFonts w:ascii="Arial" w:hAnsi="Arial"/>
                <w:b/>
                <w:color w:val="FFFFFF"/>
                <w:sz w:val="21"/>
              </w:rPr>
              <w:t>Objectifs &amp; Périmètre Fonctionnel</w:t>
            </w:r>
          </w:p>
        </w:tc>
      </w:tr>
    </w:tbl>
    <w:p>
      <w:pPr>
        <w:spacing w:before="160"/>
      </w:pPr>
    </w:p>
    <w:p>
      <w:pPr>
        <w:keepNext/>
        <w:spacing w:before="480" w:after="200"/>
      </w:pPr>
      <w:r>
        <w:rPr>
          <w:rFonts w:ascii="Arial" w:hAnsi="Arial"/>
          <w:b/>
          <w:color w:val="86318E"/>
          <w:sz w:val="36"/>
        </w:rPr>
        <w:t>6. Business Case &amp; Modèle de ROI</w:t>
      </w:r>
    </w:p>
    <w:p>
      <w:pPr>
        <w:spacing w:after="120" w:line="276" w:lineRule="auto"/>
      </w:pPr>
      <w:r>
        <w:rPr>
          <w:rFonts w:ascii="Calibri" w:hAnsi="Calibri"/>
          <w:color w:val="1F2937"/>
          <w:sz w:val="22"/>
        </w:rPr>
        <w:t>L'évaluation économique du Digital Sales Accelerator repose sur des gains directs d'efficacité commerciale et une optimisation substantielle des budgets marketing.</w:t>
      </w:r>
    </w:p>
    <w:p>
      <w:pPr>
        <w:keepNext/>
        <w:spacing w:before="320" w:after="160"/>
      </w:pPr>
      <w:r>
        <w:rPr>
          <w:rFonts w:ascii="Arial" w:hAnsi="Arial"/>
          <w:b/>
          <w:color w:val="0D9488"/>
          <w:sz w:val="28"/>
        </w:rPr>
        <w:t>Hypothèses de Cadrage et Impacts Attendus</w:t>
      </w:r>
    </w:p>
    <w:p>
      <w:pPr>
        <w:spacing w:after="120" w:line="276" w:lineRule="auto"/>
      </w:pPr>
      <w:r>
        <w:rPr>
          <w:rFonts w:ascii="Calibri" w:hAnsi="Calibri"/>
          <w:b/>
          <w:color w:val="1F2937"/>
          <w:sz w:val="22"/>
        </w:rPr>
        <w:t xml:space="preserve">Hypothèses initiales de volume : </w:t>
      </w:r>
      <w:r>
        <w:rPr>
          <w:rFonts w:ascii="Calibri" w:hAnsi="Calibri"/>
          <w:color w:val="1F2937"/>
          <w:sz w:val="22"/>
        </w:rPr>
        <w:t>Campagnes d'acquisition digitales actives, volume de 100k leads/an, marge moyenne par contrat.</w:t>
      </w:r>
    </w:p>
    <w:p>
      <w:pPr>
        <w:spacing w:after="120" w:line="276" w:lineRule="auto"/>
      </w:pPr>
      <w:r>
        <w:rPr>
          <w:rFonts w:ascii="Calibri" w:hAnsi="Calibri"/>
          <w:b/>
          <w:color w:val="1F2937"/>
          <w:sz w:val="22"/>
        </w:rPr>
        <w:t xml:space="preserve">Impacts sur la conversion &amp; CAC : </w:t>
      </w:r>
      <w:r>
        <w:rPr>
          <w:rFonts w:ascii="Calibri" w:hAnsi="Calibri"/>
          <w:color w:val="1F2937"/>
          <w:sz w:val="22"/>
        </w:rPr>
        <w:t>Baisse du Coût d'Acquisition Client (CAC) de 50€ à 35€, augmentation du taux de conversion global de 4% à 5.5%.</w:t>
      </w:r>
    </w:p>
    <w:p>
      <w:pPr>
        <w:spacing w:after="120" w:line="276" w:lineRule="auto"/>
      </w:pPr>
      <w:r>
        <w:rPr>
          <w:rFonts w:ascii="Calibri" w:hAnsi="Calibri"/>
          <w:b/>
          <w:color w:val="1F2937"/>
          <w:sz w:val="22"/>
        </w:rPr>
        <w:t xml:space="preserve">Calcul du ROI Financier : </w:t>
      </w:r>
      <w:r>
        <w:rPr>
          <w:rFonts w:ascii="Calibri" w:hAnsi="Calibri"/>
          <w:color w:val="1F2937"/>
          <w:sz w:val="22"/>
        </w:rPr>
        <w:t>Gain annuel estimé à 2,1 millions d'euros générés par l'augmentation des ventes et la réduction des coûts marketing.</w:t>
      </w:r>
    </w:p>
    <w:p>
      <w:pPr>
        <w:keepNext/>
        <w:spacing w:before="320" w:after="160"/>
      </w:pPr>
      <w:r>
        <w:rPr>
          <w:rFonts w:ascii="Arial" w:hAnsi="Arial"/>
          <w:b/>
          <w:color w:val="0D9488"/>
          <w:sz w:val="28"/>
        </w:rPr>
        <w:t>Seuil de Rentabilité (Point Mort)</w:t>
      </w:r>
    </w:p>
    <w:p>
      <w:pPr>
        <w:spacing w:after="120" w:line="276" w:lineRule="auto"/>
      </w:pPr>
      <w:r>
        <w:rPr>
          <w:rFonts w:ascii="Calibri" w:hAnsi="Calibri"/>
          <w:color w:val="1F2937"/>
          <w:sz w:val="22"/>
        </w:rPr>
        <w:t>Point mort atteint à 6.5 mois après le lancement du MVP en production.</w:t>
      </w:r>
    </w:p>
    <w:tbl>
      <w:tblPr>
        <w:tblW w:type="auto" w:w="0"/>
        <w:jc w:val="center"/>
        <w:tblLook w:firstColumn="1" w:firstRow="1" w:lastColumn="0" w:lastRow="0" w:noHBand="0" w:noVBand="1" w:val="04A0"/>
        <w:tblBorders>
          <w:top w:val="single" w:sz="10" w:space="0" w:color="E5E7EB"/>
          <w:bottom w:val="single" w:sz="10" w:space="0" w:color="E5E7EB"/>
          <w:insideH w:val="single" w:sz="5" w:space="0" w:color="E5E7EB"/>
          <w:left w:val="nil"/>
          <w:right w:val="nil"/>
          <w:insideV w:val="nil"/>
        </w:tblBorders>
      </w:tblPr>
      <w:tblGrid>
        <w:gridCol w:w="2340"/>
        <w:gridCol w:w="2340"/>
        <w:gridCol w:w="2340"/>
        <w:gridCol w:w="2340"/>
      </w:tblGrid>
      <w:tr>
        <w:tc>
          <w:tcPr>
            <w:tcW w:type="dxa" w:w="3168"/>
            <w:shd w:fill="86318E"/>
            <w:tcMar>
              <w:top w:w="140" w:type="dxa"/>
              <w:bottom w:w="140" w:type="dxa"/>
              <w:left w:w="150" w:type="dxa"/>
              <w:right w:w="150" w:type="dxa"/>
            </w:tcMar>
          </w:tcPr>
          <w:p>
            <w:pPr>
              <w:jc w:val="left"/>
            </w:pPr>
            <w:r>
              <w:rPr>
                <w:rFonts w:ascii="Arial" w:hAnsi="Arial"/>
                <w:b/>
                <w:color w:val="FFFFFF"/>
                <w:sz w:val="21"/>
              </w:rPr>
              <w:t>Indicateur</w:t>
            </w:r>
          </w:p>
        </w:tc>
        <w:tc>
          <w:tcPr>
            <w:tcW w:type="dxa" w:w="1872"/>
            <w:shd w:fill="86318E"/>
            <w:tcMar>
              <w:top w:w="140" w:type="dxa"/>
              <w:bottom w:w="140" w:type="dxa"/>
              <w:left w:w="150" w:type="dxa"/>
              <w:right w:w="150" w:type="dxa"/>
            </w:tcMar>
          </w:tcPr>
          <w:p>
            <w:pPr>
              <w:jc w:val="left"/>
            </w:pPr>
            <w:r>
              <w:rPr>
                <w:rFonts w:ascii="Arial" w:hAnsi="Arial"/>
                <w:b/>
                <w:color w:val="FFFFFF"/>
                <w:sz w:val="21"/>
              </w:rPr>
              <w:t>Valeur Actuelle</w:t>
            </w:r>
          </w:p>
        </w:tc>
        <w:tc>
          <w:tcPr>
            <w:tcW w:type="dxa" w:w="2160"/>
            <w:shd w:fill="86318E"/>
            <w:tcMar>
              <w:top w:w="140" w:type="dxa"/>
              <w:bottom w:w="140" w:type="dxa"/>
              <w:left w:w="150" w:type="dxa"/>
              <w:right w:w="150" w:type="dxa"/>
            </w:tcMar>
          </w:tcPr>
          <w:p>
            <w:pPr>
              <w:jc w:val="left"/>
            </w:pPr>
            <w:r>
              <w:rPr>
                <w:rFonts w:ascii="Arial" w:hAnsi="Arial"/>
                <w:b/>
                <w:color w:val="FFFFFF"/>
                <w:sz w:val="21"/>
              </w:rPr>
              <w:t>Cible / MVP</w:t>
            </w:r>
          </w:p>
        </w:tc>
        <w:tc>
          <w:tcPr>
            <w:tcW w:type="dxa" w:w="2160"/>
            <w:shd w:fill="86318E"/>
            <w:tcMar>
              <w:top w:w="140" w:type="dxa"/>
              <w:bottom w:w="140" w:type="dxa"/>
              <w:left w:w="150" w:type="dxa"/>
              <w:right w:w="150" w:type="dxa"/>
            </w:tcMar>
          </w:tcPr>
          <w:p>
            <w:pPr>
              <w:jc w:val="left"/>
            </w:pPr>
            <w:r>
              <w:rPr>
                <w:rFonts w:ascii="Arial" w:hAnsi="Arial"/>
                <w:b/>
                <w:color w:val="FFFFFF"/>
                <w:sz w:val="21"/>
              </w:rPr>
              <w:t>Impact Financier Estimé</w:t>
            </w:r>
          </w:p>
        </w:tc>
      </w:tr>
      <w:tr>
        <w:tc>
          <w:tcPr>
            <w:tcW w:type="dxa" w:w="3168"/>
            <w:shd w:fill="FFFFFF"/>
            <w:tcMar>
              <w:top w:w="100" w:type="dxa"/>
              <w:bottom w:w="100" w:type="dxa"/>
              <w:left w:w="150" w:type="dxa"/>
              <w:right w:w="150" w:type="dxa"/>
            </w:tcMar>
          </w:tcPr>
          <w:p>
            <w:pPr>
              <w:spacing w:line="276" w:lineRule="auto" w:after="0"/>
              <w:jc w:val="left"/>
            </w:pPr>
            <w:r>
              <w:rPr>
                <w:rFonts w:ascii="Calibri" w:hAnsi="Calibri"/>
                <w:color w:val="1F2937"/>
                <w:sz w:val="20"/>
              </w:rPr>
              <w:t>Taux de Conversion Lead</w:t>
            </w:r>
          </w:p>
        </w:tc>
        <w:tc>
          <w:tcPr>
            <w:tcW w:type="dxa" w:w="1872"/>
            <w:shd w:fill="FFFFFF"/>
            <w:tcMar>
              <w:top w:w="100" w:type="dxa"/>
              <w:bottom w:w="100" w:type="dxa"/>
              <w:left w:w="150" w:type="dxa"/>
              <w:right w:w="150" w:type="dxa"/>
            </w:tcMar>
          </w:tcPr>
          <w:p>
            <w:pPr>
              <w:spacing w:line="276" w:lineRule="auto" w:after="0"/>
              <w:jc w:val="right"/>
            </w:pPr>
            <w:r>
              <w:rPr>
                <w:rFonts w:ascii="Calibri" w:hAnsi="Calibri"/>
                <w:color w:val="1F2937"/>
                <w:sz w:val="20"/>
              </w:rPr>
              <w:t>4.0%</w:t>
            </w:r>
          </w:p>
        </w:tc>
        <w:tc>
          <w:tcPr>
            <w:tcW w:type="dxa" w:w="2160"/>
            <w:shd w:fill="FFFFFF"/>
            <w:tcMar>
              <w:top w:w="100" w:type="dxa"/>
              <w:bottom w:w="100" w:type="dxa"/>
              <w:left w:w="150" w:type="dxa"/>
              <w:right w:w="150" w:type="dxa"/>
            </w:tcMar>
          </w:tcPr>
          <w:p>
            <w:pPr>
              <w:spacing w:line="276" w:lineRule="auto" w:after="0"/>
              <w:jc w:val="right"/>
            </w:pPr>
            <w:r>
              <w:rPr>
                <w:rFonts w:ascii="Calibri" w:hAnsi="Calibri"/>
                <w:color w:val="1F2937"/>
                <w:sz w:val="20"/>
              </w:rPr>
              <w:t>5.5% (+1.5 points)</w:t>
            </w:r>
          </w:p>
        </w:tc>
        <w:tc>
          <w:tcPr>
            <w:tcW w:type="dxa" w:w="2160"/>
            <w:shd w:fill="FFFFFF"/>
            <w:tcMar>
              <w:top w:w="100" w:type="dxa"/>
              <w:bottom w:w="100" w:type="dxa"/>
              <w:left w:w="150" w:type="dxa"/>
              <w:right w:w="150" w:type="dxa"/>
            </w:tcMar>
          </w:tcPr>
          <w:p>
            <w:pPr>
              <w:spacing w:line="276" w:lineRule="auto" w:after="0"/>
              <w:jc w:val="left"/>
            </w:pPr>
            <w:r>
              <w:rPr>
                <w:rFonts w:ascii="Calibri" w:hAnsi="Calibri"/>
                <w:color w:val="1F2937"/>
                <w:sz w:val="20"/>
              </w:rPr>
              <w:t>+1 500 Ventes / an</w:t>
            </w:r>
          </w:p>
        </w:tc>
      </w:tr>
      <w:tr>
        <w:tc>
          <w:tcPr>
            <w:tcW w:type="dxa" w:w="3168"/>
            <w:shd w:fill="F9FAFB"/>
            <w:tcMar>
              <w:top w:w="100" w:type="dxa"/>
              <w:bottom w:w="100" w:type="dxa"/>
              <w:left w:w="150" w:type="dxa"/>
              <w:right w:w="150" w:type="dxa"/>
            </w:tcMar>
          </w:tcPr>
          <w:p>
            <w:pPr>
              <w:spacing w:line="276" w:lineRule="auto" w:after="0"/>
              <w:jc w:val="left"/>
            </w:pPr>
            <w:r>
              <w:rPr>
                <w:rFonts w:ascii="Calibri" w:hAnsi="Calibri"/>
                <w:color w:val="1F2937"/>
                <w:sz w:val="20"/>
              </w:rPr>
              <w:t>Coût d'Acquisition Client (CAC)</w:t>
            </w:r>
          </w:p>
        </w:tc>
        <w:tc>
          <w:tcPr>
            <w:tcW w:type="dxa" w:w="1872"/>
            <w:shd w:fill="F9FAFB"/>
            <w:tcMar>
              <w:top w:w="100" w:type="dxa"/>
              <w:bottom w:w="100" w:type="dxa"/>
              <w:left w:w="150" w:type="dxa"/>
              <w:right w:w="150" w:type="dxa"/>
            </w:tcMar>
          </w:tcPr>
          <w:p>
            <w:pPr>
              <w:spacing w:line="276" w:lineRule="auto" w:after="0"/>
              <w:jc w:val="right"/>
            </w:pPr>
            <w:r>
              <w:rPr>
                <w:rFonts w:ascii="Calibri" w:hAnsi="Calibri"/>
                <w:color w:val="1F2937"/>
                <w:sz w:val="20"/>
              </w:rPr>
              <w:t>50 €</w:t>
            </w:r>
          </w:p>
        </w:tc>
        <w:tc>
          <w:tcPr>
            <w:tcW w:type="dxa" w:w="2160"/>
            <w:shd w:fill="F9FAFB"/>
            <w:tcMar>
              <w:top w:w="100" w:type="dxa"/>
              <w:bottom w:w="100" w:type="dxa"/>
              <w:left w:w="150" w:type="dxa"/>
              <w:right w:w="150" w:type="dxa"/>
            </w:tcMar>
          </w:tcPr>
          <w:p>
            <w:pPr>
              <w:spacing w:line="276" w:lineRule="auto" w:after="0"/>
              <w:jc w:val="right"/>
            </w:pPr>
            <w:r>
              <w:rPr>
                <w:rFonts w:ascii="Calibri" w:hAnsi="Calibri"/>
                <w:color w:val="1F2937"/>
                <w:sz w:val="20"/>
              </w:rPr>
              <w:t>35 € (-30%)</w:t>
            </w:r>
          </w:p>
        </w:tc>
        <w:tc>
          <w:tcPr>
            <w:tcW w:type="dxa" w:w="2160"/>
            <w:shd w:fill="F9FAFB"/>
            <w:tcMar>
              <w:top w:w="100" w:type="dxa"/>
              <w:bottom w:w="100" w:type="dxa"/>
              <w:left w:w="150" w:type="dxa"/>
              <w:right w:w="150" w:type="dxa"/>
            </w:tcMar>
          </w:tcPr>
          <w:p>
            <w:pPr>
              <w:spacing w:line="276" w:lineRule="auto" w:after="0"/>
              <w:jc w:val="right"/>
            </w:pPr>
            <w:r>
              <w:rPr>
                <w:rFonts w:ascii="Calibri" w:hAnsi="Calibri"/>
                <w:color w:val="1F2937"/>
                <w:sz w:val="20"/>
              </w:rPr>
              <w:t>+1.5 M€ d'économies marketing</w:t>
            </w:r>
          </w:p>
        </w:tc>
      </w:tr>
      <w:tr>
        <w:tc>
          <w:tcPr>
            <w:tcW w:type="dxa" w:w="3168"/>
            <w:shd w:fill="FFFFFF"/>
            <w:tcMar>
              <w:top w:w="100" w:type="dxa"/>
              <w:bottom w:w="100" w:type="dxa"/>
              <w:left w:w="150" w:type="dxa"/>
              <w:right w:w="150" w:type="dxa"/>
            </w:tcMar>
          </w:tcPr>
          <w:p>
            <w:pPr>
              <w:spacing w:line="276" w:lineRule="auto" w:after="0"/>
              <w:jc w:val="left"/>
            </w:pPr>
            <w:r>
              <w:rPr>
                <w:rFonts w:ascii="Calibri" w:hAnsi="Calibri"/>
                <w:color w:val="1F2937"/>
                <w:sz w:val="20"/>
              </w:rPr>
              <w:t>Revenus Additionnels Générés</w:t>
            </w:r>
          </w:p>
        </w:tc>
        <w:tc>
          <w:tcPr>
            <w:tcW w:type="dxa" w:w="1872"/>
            <w:shd w:fill="FFFFFF"/>
            <w:tcMar>
              <w:top w:w="100" w:type="dxa"/>
              <w:bottom w:w="100" w:type="dxa"/>
              <w:left w:w="150" w:type="dxa"/>
              <w:right w:w="150" w:type="dxa"/>
            </w:tcMar>
          </w:tcPr>
          <w:p>
            <w:pPr>
              <w:spacing w:line="276" w:lineRule="auto" w:after="0"/>
              <w:jc w:val="left"/>
            </w:pPr>
            <w:r>
              <w:rPr>
                <w:rFonts w:ascii="Calibri" w:hAnsi="Calibri"/>
                <w:color w:val="1F2937"/>
                <w:sz w:val="20"/>
              </w:rPr>
              <w:t>—</w:t>
            </w:r>
          </w:p>
        </w:tc>
        <w:tc>
          <w:tcPr>
            <w:tcW w:type="dxa" w:w="2160"/>
            <w:shd w:fill="FFFFFF"/>
            <w:tcMar>
              <w:top w:w="100" w:type="dxa"/>
              <w:bottom w:w="100" w:type="dxa"/>
              <w:left w:w="150" w:type="dxa"/>
              <w:right w:w="150" w:type="dxa"/>
            </w:tcMar>
          </w:tcPr>
          <w:p>
            <w:pPr>
              <w:spacing w:line="276" w:lineRule="auto" w:after="0"/>
              <w:jc w:val="left"/>
            </w:pPr>
            <w:r>
              <w:rPr>
                <w:rFonts w:ascii="Calibri" w:hAnsi="Calibri"/>
                <w:color w:val="1F2937"/>
                <w:sz w:val="20"/>
              </w:rPr>
              <w:t>—</w:t>
            </w:r>
          </w:p>
        </w:tc>
        <w:tc>
          <w:tcPr>
            <w:tcW w:type="dxa" w:w="2160"/>
            <w:shd w:fill="FFFFFF"/>
            <w:tcMar>
              <w:top w:w="100" w:type="dxa"/>
              <w:bottom w:w="100" w:type="dxa"/>
              <w:left w:w="150" w:type="dxa"/>
              <w:right w:w="150" w:type="dxa"/>
            </w:tcMar>
          </w:tcPr>
          <w:p>
            <w:pPr>
              <w:spacing w:line="276" w:lineRule="auto" w:after="0"/>
              <w:jc w:val="right"/>
            </w:pPr>
            <w:r>
              <w:rPr>
                <w:rFonts w:ascii="Calibri" w:hAnsi="Calibri"/>
                <w:color w:val="1F2937"/>
                <w:sz w:val="20"/>
              </w:rPr>
              <w:t>600 000 € / an</w:t>
            </w:r>
          </w:p>
        </w:tc>
      </w:tr>
      <w:tr>
        <w:tc>
          <w:tcPr>
            <w:tcW w:type="dxa" w:w="3168"/>
            <w:shd w:fill="F9FAFB"/>
            <w:tcMar>
              <w:top w:w="100" w:type="dxa"/>
              <w:bottom w:w="100" w:type="dxa"/>
              <w:left w:w="150" w:type="dxa"/>
              <w:right w:w="150" w:type="dxa"/>
            </w:tcMar>
          </w:tcPr>
          <w:p>
            <w:pPr>
              <w:spacing w:line="276" w:lineRule="auto" w:after="0"/>
              <w:jc w:val="left"/>
            </w:pPr>
            <w:r>
              <w:rPr>
                <w:rFonts w:ascii="Calibri" w:hAnsi="Calibri"/>
                <w:color w:val="1F2937"/>
                <w:sz w:val="20"/>
              </w:rPr>
              <w:t>Valeur Annuelle Créée</w:t>
            </w:r>
          </w:p>
        </w:tc>
        <w:tc>
          <w:tcPr>
            <w:tcW w:type="dxa" w:w="1872"/>
            <w:shd w:fill="F9FAFB"/>
            <w:tcMar>
              <w:top w:w="100" w:type="dxa"/>
              <w:bottom w:w="100" w:type="dxa"/>
              <w:left w:w="150" w:type="dxa"/>
              <w:right w:w="150" w:type="dxa"/>
            </w:tcMar>
          </w:tcPr>
          <w:p>
            <w:pPr>
              <w:spacing w:line="276" w:lineRule="auto" w:after="0"/>
              <w:jc w:val="left"/>
            </w:pPr>
            <w:r>
              <w:rPr>
                <w:rFonts w:ascii="Calibri" w:hAnsi="Calibri"/>
                <w:color w:val="1F2937"/>
                <w:sz w:val="20"/>
              </w:rPr>
              <w:t>—</w:t>
            </w:r>
          </w:p>
        </w:tc>
        <w:tc>
          <w:tcPr>
            <w:tcW w:type="dxa" w:w="2160"/>
            <w:shd w:fill="F9FAFB"/>
            <w:tcMar>
              <w:top w:w="100" w:type="dxa"/>
              <w:bottom w:w="100" w:type="dxa"/>
              <w:left w:w="150" w:type="dxa"/>
              <w:right w:w="150" w:type="dxa"/>
            </w:tcMar>
          </w:tcPr>
          <w:p>
            <w:pPr>
              <w:spacing w:line="276" w:lineRule="auto" w:after="0"/>
              <w:jc w:val="left"/>
            </w:pPr>
            <w:r>
              <w:rPr>
                <w:rFonts w:ascii="Calibri" w:hAnsi="Calibri"/>
                <w:color w:val="1F2937"/>
                <w:sz w:val="20"/>
              </w:rPr>
              <w:t>—</w:t>
            </w:r>
          </w:p>
        </w:tc>
        <w:tc>
          <w:tcPr>
            <w:tcW w:type="dxa" w:w="2160"/>
            <w:shd w:fill="F9FAFB"/>
            <w:tcMar>
              <w:top w:w="100" w:type="dxa"/>
              <w:bottom w:w="100" w:type="dxa"/>
              <w:left w:w="150" w:type="dxa"/>
              <w:right w:w="150" w:type="dxa"/>
            </w:tcMar>
          </w:tcPr>
          <w:p>
            <w:pPr>
              <w:spacing w:line="276" w:lineRule="auto" w:after="0"/>
              <w:jc w:val="right"/>
            </w:pPr>
            <w:r>
              <w:rPr>
                <w:rFonts w:ascii="Calibri" w:hAnsi="Calibri"/>
                <w:color w:val="1F2937"/>
                <w:sz w:val="20"/>
              </w:rPr>
              <w:t>2 100 000 € / an</w:t>
            </w:r>
          </w:p>
        </w:tc>
      </w:tr>
    </w:tbl>
    <w:p>
      <w:pPr>
        <w:spacing w:before="160"/>
      </w:pPr>
    </w:p>
    <w:p>
      <w:pPr>
        <w:keepNext/>
        <w:spacing w:before="480" w:after="200"/>
      </w:pPr>
      <w:r>
        <w:rPr>
          <w:rFonts w:ascii="Arial" w:hAnsi="Arial"/>
          <w:b/>
          <w:color w:val="86318E"/>
          <w:sz w:val="36"/>
        </w:rPr>
        <w:t>7. Modèle de Livraison &amp; Gouvernance</w:t>
      </w:r>
    </w:p>
    <w:p>
      <w:pPr>
        <w:spacing w:after="120" w:line="276" w:lineRule="auto"/>
      </w:pPr>
      <w:r>
        <w:rPr>
          <w:rFonts w:ascii="Calibri" w:hAnsi="Calibri"/>
          <w:color w:val="1F2937"/>
          <w:sz w:val="22"/>
        </w:rPr>
        <w:t>Le projet est structuré sur un cycle agile de 10 à 12 semaines pour le déploiement du MVP (V1).</w:t>
      </w:r>
    </w:p>
    <w:p>
      <w:pPr>
        <w:keepNext/>
        <w:spacing w:before="320" w:after="160"/>
      </w:pPr>
      <w:r>
        <w:rPr>
          <w:rFonts w:ascii="Arial" w:hAnsi="Arial"/>
          <w:b/>
          <w:color w:val="0D9488"/>
          <w:sz w:val="28"/>
        </w:rPr>
        <w:t>Gouvernance Projet</w:t>
      </w:r>
    </w:p>
    <w:p>
      <w:pPr>
        <w:pStyle w:val="ListBullet"/>
        <w:spacing w:after="80" w:line="276" w:lineRule="auto"/>
      </w:pPr>
      <w:r>
        <w:rPr>
          <w:rFonts w:ascii="Calibri" w:hAnsi="Calibri"/>
          <w:color w:val="1F2937"/>
          <w:sz w:val="22"/>
        </w:rPr>
        <w:t>Comité de pilotage bimensuel avec le sponsor métier de SanlamAllianz.</w:t>
      </w:r>
    </w:p>
    <w:p>
      <w:pPr>
        <w:pStyle w:val="ListBullet"/>
        <w:spacing w:after="80" w:line="276" w:lineRule="auto"/>
      </w:pPr>
      <w:r>
        <w:rPr>
          <w:rFonts w:ascii="Calibri" w:hAnsi="Calibri"/>
          <w:color w:val="1F2937"/>
          <w:sz w:val="22"/>
        </w:rPr>
        <w:t>Ateliers techniques hebdomadaires avec les équipes CRM, Data et Sécurité.</w:t>
      </w:r>
    </w:p>
    <w:p>
      <w:pPr>
        <w:pStyle w:val="ListBullet"/>
        <w:spacing w:after="80" w:line="276" w:lineRule="auto"/>
      </w:pPr>
      <w:r>
        <w:rPr>
          <w:rFonts w:ascii="Calibri" w:hAnsi="Calibri"/>
          <w:color w:val="1F2937"/>
          <w:sz w:val="22"/>
        </w:rPr>
        <w:t>Méthodologie Scrum avec des démonstrations fonctionnelles toutes les 2 semaines.</w:t>
      </w:r>
    </w:p>
    <w:p>
      <w:pPr>
        <w:keepNext/>
        <w:spacing w:before="320" w:after="160"/>
      </w:pPr>
      <w:r>
        <w:rPr>
          <w:rFonts w:ascii="Arial" w:hAnsi="Arial"/>
          <w:b/>
          <w:color w:val="0D9488"/>
          <w:sz w:val="28"/>
        </w:rPr>
        <w:t>Conditions de Succès Métier</w:t>
      </w:r>
    </w:p>
    <w:p>
      <w:pPr>
        <w:pStyle w:val="ListBullet"/>
        <w:spacing w:after="80" w:line="276" w:lineRule="auto"/>
      </w:pPr>
      <w:r>
        <w:rPr>
          <w:rFonts w:ascii="Calibri" w:hAnsi="Calibri"/>
          <w:color w:val="1F2937"/>
          <w:sz w:val="22"/>
        </w:rPr>
        <w:t>Disponibilité rapide d'un accès à l'API WhatsApp Business Sandbox.</w:t>
      </w:r>
    </w:p>
    <w:p>
      <w:pPr>
        <w:pStyle w:val="ListBullet"/>
        <w:spacing w:after="80" w:line="276" w:lineRule="auto"/>
      </w:pPr>
      <w:r>
        <w:rPr>
          <w:rFonts w:ascii="Calibri" w:hAnsi="Calibri"/>
          <w:color w:val="1F2937"/>
          <w:sz w:val="22"/>
        </w:rPr>
        <w:t>Accès aux documentations de garanties et exclusions en PDF pour alimenter le Knowledge Hub.</w:t>
      </w:r>
    </w:p>
    <w:p>
      <w:pPr>
        <w:pStyle w:val="ListBullet"/>
        <w:spacing w:after="80" w:line="276" w:lineRule="auto"/>
      </w:pPr>
      <w:r>
        <w:rPr>
          <w:rFonts w:ascii="Calibri" w:hAnsi="Calibri"/>
          <w:color w:val="1F2937"/>
          <w:sz w:val="22"/>
        </w:rPr>
        <w:t>Implication active des experts métiers de l'assurance lors de la phase de cadrage du Product Advisor.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B7280"/>
        <w:sz w:val="17"/>
      </w:rPr>
      <w:t xml:space="preserve">Confidentialité SanlamAllianz - Ekinox  |  Page </w:t>
    </w:r>
    <w:fldSimple w:instr="PAGE"/>
    <w:r>
      <w:rPr>
        <w:color w:val="6B7280"/>
        <w:sz w:val="17"/>
      </w:rPr>
      <w:t xml:space="preserve"> sur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i/>
        <w:color w:val="6B7280"/>
        <w:sz w:val="17"/>
      </w:rPr>
      <w:t>Ekinox | Digital Sales Accelerator — Document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