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p>
    <w:p>
      <w:r>
        <w:rPr>
          <w:rFonts w:ascii="Arial" w:hAnsi="Arial"/>
          <w:b/>
          <w:color w:val="86318E"/>
          <w:sz w:val="64"/>
        </w:rPr>
        <w:t>ekinox</w:t>
      </w:r>
    </w:p>
    <w:p>
      <w:r>
        <w:rPr>
          <w:b/>
          <w:color w:val="0D9488"/>
        </w:rPr>
        <w:t>____________________________________________________</w:t>
      </w:r>
    </w:p>
    <w:p>
      <w:pPr>
        <w:spacing w:before="600" w:after="240"/>
      </w:pPr>
      <w:r>
        <w:rPr>
          <w:rFonts w:ascii="Arial" w:hAnsi="Arial"/>
          <w:b/>
          <w:color w:val="86318E"/>
          <w:sz w:val="52"/>
        </w:rPr>
        <w:t>Fraud Intelligence Accelerator</w:t>
      </w:r>
    </w:p>
    <w:p>
      <w:pPr>
        <w:spacing w:after="2000"/>
      </w:pPr>
      <w:r>
        <w:rPr>
          <w:rFonts w:ascii="Arial" w:hAnsi="Arial"/>
          <w:i/>
          <w:color w:val="6B7280"/>
          <w:sz w:val="26"/>
        </w:rPr>
        <w:t>Proposition de Transformation &amp; Business Case MVP (7 Piliers)</w:t>
      </w:r>
    </w:p>
    <w:tbl>
      <w:tblPr>
        <w:tblW w:type="auto" w:w="0"/>
        <w:jc w:val="center"/>
        <w:tblLook w:firstColumn="1" w:firstRow="1" w:lastColumn="0" w:lastRow="0" w:noHBand="0" w:noVBand="1" w:val="04A0"/>
      </w:tblPr>
      <w:tblGrid>
        <w:gridCol w:w="3168"/>
        <w:gridCol w:w="6192"/>
      </w:tblGrid>
      <w:tr>
        <w:tc>
          <w:tcPr>
            <w:tcW w:type="dxa" w:w="4680"/>
            <w:tcBorders>
              <w:top w:val="nil"/>
              <w:bottom w:val="nil"/>
              <w:left w:val="nil"/>
              <w:right w:val="nil"/>
            </w:tcBorders>
            <w:tcMar>
              <w:top w:w="40" w:type="dxa"/>
              <w:bottom w:w="40" w:type="dxa"/>
              <w:left w:w="0" w:type="dxa"/>
              <w:right w:w="0" w:type="dxa"/>
            </w:tcMar>
          </w:tcPr>
          <w:p>
            <w:r>
              <w:rPr>
                <w:b/>
                <w:color w:val="6B7280"/>
                <w:sz w:val="20"/>
              </w:rPr>
              <w:t>Préparé pour :</w:t>
            </w:r>
          </w:p>
        </w:tc>
        <w:tc>
          <w:tcPr>
            <w:tcW w:type="dxa" w:w="4680"/>
            <w:tcBorders>
              <w:top w:val="nil"/>
              <w:bottom w:val="nil"/>
              <w:left w:val="nil"/>
              <w:right w:val="nil"/>
            </w:tcBorders>
            <w:tcMar>
              <w:top w:w="40" w:type="dxa"/>
              <w:bottom w:w="40" w:type="dxa"/>
              <w:left w:w="0" w:type="dxa"/>
              <w:right w:w="0" w:type="dxa"/>
            </w:tcMar>
          </w:tcPr>
          <w:p>
            <w:r>
              <w:rPr>
                <w:color w:val="1F2937"/>
                <w:sz w:val="20"/>
              </w:rPr>
              <w:t>SanlamAllianz Group</w:t>
            </w:r>
          </w:p>
        </w:tc>
      </w:tr>
      <w:tr>
        <w:tc>
          <w:tcPr>
            <w:tcW w:type="dxa" w:w="4680"/>
            <w:tcBorders>
              <w:top w:val="nil"/>
              <w:bottom w:val="nil"/>
              <w:left w:val="nil"/>
              <w:right w:val="nil"/>
            </w:tcBorders>
            <w:tcMar>
              <w:top w:w="40" w:type="dxa"/>
              <w:bottom w:w="40" w:type="dxa"/>
              <w:left w:w="0" w:type="dxa"/>
              <w:right w:w="0" w:type="dxa"/>
            </w:tcMar>
          </w:tcPr>
          <w:p>
            <w:r>
              <w:rPr>
                <w:b/>
                <w:color w:val="6B7280"/>
                <w:sz w:val="20"/>
              </w:rPr>
              <w:t>Date de livraison :</w:t>
            </w:r>
          </w:p>
        </w:tc>
        <w:tc>
          <w:tcPr>
            <w:tcW w:type="dxa" w:w="4680"/>
            <w:tcBorders>
              <w:top w:val="nil"/>
              <w:bottom w:val="nil"/>
              <w:left w:val="nil"/>
              <w:right w:val="nil"/>
            </w:tcBorders>
            <w:tcMar>
              <w:top w:w="40" w:type="dxa"/>
              <w:bottom w:w="40" w:type="dxa"/>
              <w:left w:w="0" w:type="dxa"/>
              <w:right w:w="0" w:type="dxa"/>
            </w:tcMar>
          </w:tcPr>
          <w:p>
            <w:r>
              <w:rPr>
                <w:color w:val="1F2937"/>
                <w:sz w:val="20"/>
              </w:rPr>
              <w:t>Juillet 2026</w:t>
            </w:r>
          </w:p>
        </w:tc>
      </w:tr>
      <w:tr>
        <w:tc>
          <w:tcPr>
            <w:tcW w:type="dxa" w:w="4680"/>
            <w:tcBorders>
              <w:top w:val="nil"/>
              <w:bottom w:val="nil"/>
              <w:left w:val="nil"/>
              <w:right w:val="nil"/>
            </w:tcBorders>
            <w:tcMar>
              <w:top w:w="40" w:type="dxa"/>
              <w:bottom w:w="40" w:type="dxa"/>
              <w:left w:w="0" w:type="dxa"/>
              <w:right w:w="0" w:type="dxa"/>
            </w:tcMar>
          </w:tcPr>
          <w:p>
            <w:r>
              <w:rPr>
                <w:b/>
                <w:color w:val="6B7280"/>
                <w:sz w:val="20"/>
              </w:rPr>
              <w:t>Statut du document :</w:t>
            </w:r>
          </w:p>
        </w:tc>
        <w:tc>
          <w:tcPr>
            <w:tcW w:type="dxa" w:w="4680"/>
            <w:tcBorders>
              <w:top w:val="nil"/>
              <w:bottom w:val="nil"/>
              <w:left w:val="nil"/>
              <w:right w:val="nil"/>
            </w:tcBorders>
            <w:tcMar>
              <w:top w:w="40" w:type="dxa"/>
              <w:bottom w:w="40" w:type="dxa"/>
              <w:left w:w="0" w:type="dxa"/>
              <w:right w:w="0" w:type="dxa"/>
            </w:tcMar>
          </w:tcPr>
          <w:p>
            <w:r>
              <w:rPr>
                <w:b/>
                <w:color w:val="86318E"/>
                <w:sz w:val="20"/>
              </w:rPr>
              <w:t>STRICTEMENT CONFIDENTIEL — PROPOSITION PARTENAIRE</w:t>
            </w:r>
          </w:p>
        </w:tc>
      </w:tr>
      <w:tr>
        <w:tc>
          <w:tcPr>
            <w:tcW w:type="dxa" w:w="4680"/>
            <w:tcBorders>
              <w:top w:val="nil"/>
              <w:bottom w:val="nil"/>
              <w:left w:val="nil"/>
              <w:right w:val="nil"/>
            </w:tcBorders>
            <w:tcMar>
              <w:top w:w="40" w:type="dxa"/>
              <w:bottom w:w="40" w:type="dxa"/>
              <w:left w:w="0" w:type="dxa"/>
              <w:right w:w="0" w:type="dxa"/>
            </w:tcMar>
          </w:tcPr>
          <w:p>
            <w:r>
              <w:rPr>
                <w:b/>
                <w:color w:val="6B7280"/>
                <w:sz w:val="20"/>
              </w:rPr>
              <w:t>Auteur :</w:t>
            </w:r>
          </w:p>
        </w:tc>
        <w:tc>
          <w:tcPr>
            <w:tcW w:type="dxa" w:w="4680"/>
            <w:tcBorders>
              <w:top w:val="nil"/>
              <w:bottom w:val="nil"/>
              <w:left w:val="nil"/>
              <w:right w:val="nil"/>
            </w:tcBorders>
            <w:tcMar>
              <w:top w:w="40" w:type="dxa"/>
              <w:bottom w:w="40" w:type="dxa"/>
              <w:left w:w="0" w:type="dxa"/>
              <w:right w:w="0" w:type="dxa"/>
            </w:tcMar>
          </w:tcPr>
          <w:p>
            <w:r>
              <w:rPr>
                <w:color w:val="1F2937"/>
                <w:sz w:val="20"/>
              </w:rPr>
              <w:t>Ekinox Consulting Team</w:t>
            </w:r>
          </w:p>
        </w:tc>
      </w:tr>
    </w:tbl>
    <w:p>
      <w:r>
        <w:br w:type="page"/>
      </w:r>
    </w:p>
    <w:p>
      <w:pPr>
        <w:keepNext/>
        <w:spacing w:before="480" w:after="200"/>
      </w:pPr>
      <w:r>
        <w:rPr>
          <w:rFonts w:ascii="Arial" w:hAnsi="Arial"/>
          <w:b/>
          <w:color w:val="86318E"/>
          <w:sz w:val="36"/>
        </w:rPr>
        <w:t>1. Positionnement Produit : Fraud Intelligence Platform</w:t>
      </w:r>
    </w:p>
    <w:p>
      <w:pPr>
        <w:spacing w:after="120" w:line="276" w:lineRule="auto"/>
      </w:pPr>
      <w:r>
        <w:rPr>
          <w:rFonts w:ascii="Calibri" w:hAnsi="Calibri"/>
          <w:color w:val="1F2937"/>
          <w:sz w:val="22"/>
        </w:rPr>
        <w:t>Pour maîtriser son loss ratio et améliorer sa rentabilité technique, SanlamAllianz doit automatiser et fiabiliser la détection des sinistres frauduleux. Au lieu de proposer une boîte à outils algorithmique et complexe pour data scientists, Ekinox propose le déploiement d'une plateforme métier intégrée : Ekinox Fraud Intelligence Accelerator.</w:t>
      </w:r>
    </w:p>
    <w:p>
      <w:pPr>
        <w:spacing w:after="120" w:line="276" w:lineRule="auto"/>
      </w:pPr>
      <w:r>
        <w:rPr>
          <w:rFonts w:ascii="Calibri" w:hAnsi="Calibri"/>
          <w:color w:val="1F2937"/>
          <w:sz w:val="22"/>
        </w:rPr>
        <w:t>Cette solution combine l'ingestion automatique des rapports d'experts, l'évaluation sémantique, la détection des réseaux de fraude organisée, et la capitalisation immédiate des dossiers résolus. Elle permet de classer instantanément les sinistres et d'accompagner l'enquêteur pas-à-pas avec des alertes entièrement explicitables.</w:t>
      </w:r>
    </w:p>
    <w:p>
      <w:pPr>
        <w:keepNext/>
        <w:spacing w:before="480" w:after="200"/>
      </w:pPr>
      <w:r>
        <w:rPr>
          <w:rFonts w:ascii="Arial" w:hAnsi="Arial"/>
          <w:b/>
          <w:color w:val="86318E"/>
          <w:sz w:val="36"/>
        </w:rPr>
        <w:t>2. Vision Produit &amp; Principes de Conception</w:t>
      </w:r>
    </w:p>
    <w:p>
      <w:pPr>
        <w:spacing w:after="120" w:line="276" w:lineRule="auto"/>
      </w:pPr>
      <w:r>
        <w:rPr>
          <w:rFonts w:ascii="Calibri" w:hAnsi="Calibri"/>
          <w:color w:val="1F2937"/>
          <w:sz w:val="22"/>
        </w:rPr>
        <w:t>Sécuriser la rentabilité de l'entreprise par une plateforme d'investigation augmentée, capable de détecter, d'expliquer et de prévenir les comportements frauduleux à grande échelle.</w:t>
      </w:r>
    </w:p>
    <w:p>
      <w:pPr>
        <w:keepNext/>
        <w:spacing w:before="320" w:after="160"/>
      </w:pPr>
      <w:r>
        <w:rPr>
          <w:rFonts w:ascii="Arial" w:hAnsi="Arial"/>
          <w:b/>
          <w:color w:val="0D9488"/>
          <w:sz w:val="28"/>
        </w:rPr>
        <w:t>Principes de Conception du MVP</w:t>
      </w:r>
    </w:p>
    <w:p>
      <w:pPr>
        <w:spacing w:after="120" w:line="276" w:lineRule="auto"/>
      </w:pPr>
      <w:r>
        <w:rPr>
          <w:rFonts w:ascii="Calibri" w:hAnsi="Calibri"/>
          <w:b/>
          <w:color w:val="1F2937"/>
          <w:sz w:val="22"/>
        </w:rPr>
        <w:t xml:space="preserve">• Business First : </w:t>
      </w:r>
      <w:r>
        <w:rPr>
          <w:rFonts w:ascii="Calibri" w:hAnsi="Calibri"/>
          <w:color w:val="1F2937"/>
          <w:sz w:val="22"/>
        </w:rPr>
        <w:t>L'objectif principal est de réduire la charge sinistre et d'optimiser le temps des gestionnaires.</w:t>
      </w:r>
    </w:p>
    <w:p>
      <w:pPr>
        <w:spacing w:after="120" w:line="276" w:lineRule="auto"/>
      </w:pPr>
      <w:r>
        <w:rPr>
          <w:rFonts w:ascii="Calibri" w:hAnsi="Calibri"/>
          <w:b/>
          <w:color w:val="1F2937"/>
          <w:sz w:val="22"/>
        </w:rPr>
        <w:t xml:space="preserve">• API-Ready : </w:t>
      </w:r>
      <w:r>
        <w:rPr>
          <w:rFonts w:ascii="Calibri" w:hAnsi="Calibri"/>
          <w:color w:val="1F2937"/>
          <w:sz w:val="22"/>
        </w:rPr>
        <w:t>Capacité à ingérer des flux de sinistres en temps réel ou en batch depuis les systèmes core de gestion.</w:t>
      </w:r>
    </w:p>
    <w:p>
      <w:pPr>
        <w:spacing w:after="120" w:line="276" w:lineRule="auto"/>
      </w:pPr>
      <w:r>
        <w:rPr>
          <w:rFonts w:ascii="Calibri" w:hAnsi="Calibri"/>
          <w:b/>
          <w:color w:val="1F2937"/>
          <w:sz w:val="22"/>
        </w:rPr>
        <w:t xml:space="preserve">• MVP by Design : </w:t>
      </w:r>
      <w:r>
        <w:rPr>
          <w:rFonts w:ascii="Calibri" w:hAnsi="Calibri"/>
          <w:color w:val="1F2937"/>
          <w:sz w:val="22"/>
        </w:rPr>
        <w:t>Concentration initiale sur les lignes d'affaires les plus à risque (ex: Auto) avant extension globale.</w:t>
      </w:r>
    </w:p>
    <w:p>
      <w:pPr>
        <w:spacing w:after="120" w:line="276" w:lineRule="auto"/>
      </w:pPr>
      <w:r>
        <w:rPr>
          <w:rFonts w:ascii="Calibri" w:hAnsi="Calibri"/>
          <w:b/>
          <w:color w:val="1F2937"/>
          <w:sz w:val="22"/>
        </w:rPr>
        <w:t xml:space="preserve">• AI as an Enabler : </w:t>
      </w:r>
      <w:r>
        <w:rPr>
          <w:rFonts w:ascii="Calibri" w:hAnsi="Calibri"/>
          <w:color w:val="1F2937"/>
          <w:sz w:val="22"/>
        </w:rPr>
        <w:t>L'IA ne remplace pas l'investigateur humain, elle pointe les anomalies pour accélérer sa prise de décision.</w:t>
      </w:r>
    </w:p>
    <w:p>
      <w:pPr>
        <w:spacing w:after="120" w:line="276" w:lineRule="auto"/>
      </w:pPr>
      <w:r>
        <w:rPr>
          <w:rFonts w:ascii="Calibri" w:hAnsi="Calibri"/>
          <w:b/>
          <w:color w:val="1F2937"/>
          <w:sz w:val="22"/>
        </w:rPr>
        <w:t xml:space="preserve">• Explainability by Default : </w:t>
      </w:r>
      <w:r>
        <w:rPr>
          <w:rFonts w:ascii="Calibri" w:hAnsi="Calibri"/>
          <w:color w:val="1F2937"/>
          <w:sz w:val="22"/>
        </w:rPr>
        <w:t>Aucune alerte de fraude n'est levée sans une justification lisible et opposable.</w:t>
      </w:r>
    </w:p>
    <w:p>
      <w:pPr>
        <w:spacing w:after="120" w:line="276" w:lineRule="auto"/>
      </w:pPr>
      <w:r>
        <w:rPr>
          <w:rFonts w:ascii="Calibri" w:hAnsi="Calibri"/>
          <w:b/>
          <w:color w:val="1F2937"/>
          <w:sz w:val="22"/>
        </w:rPr>
        <w:t xml:space="preserve">• Scalable Platform : </w:t>
      </w:r>
      <w:r>
        <w:rPr>
          <w:rFonts w:ascii="Calibri" w:hAnsi="Calibri"/>
          <w:color w:val="1F2937"/>
          <w:sz w:val="22"/>
        </w:rPr>
        <w:t>Architecture conçue pour traiter des volumes massifs de données historiques et temps réel de manière sécurisée.</w:t>
      </w:r>
    </w:p>
    <w:p>
      <w:pPr>
        <w:keepNext/>
        <w:spacing w:before="480" w:after="200"/>
      </w:pPr>
      <w:r>
        <w:rPr>
          <w:rFonts w:ascii="Arial" w:hAnsi="Arial"/>
          <w:b/>
          <w:color w:val="86318E"/>
          <w:sz w:val="36"/>
        </w:rPr>
        <w:t>3. Architecture Technique &amp; Socle Commun</w:t>
      </w:r>
    </w:p>
    <w:p>
      <w:pPr>
        <w:spacing w:after="120" w:line="276" w:lineRule="auto"/>
      </w:pPr>
      <w:r>
        <w:rPr>
          <w:rFonts w:ascii="Calibri" w:hAnsi="Calibri"/>
          <w:color w:val="1F2937"/>
          <w:sz w:val="22"/>
        </w:rPr>
        <w:t>Une plateforme de scoring et d'investigation, couplant des règles métier déterministes à des capacités d'analyse cognitive de données non structurées.</w:t>
      </w:r>
    </w:p>
    <w:p>
      <w:pPr>
        <w:spacing w:after="120" w:line="276" w:lineRule="auto"/>
      </w:pPr>
      <w:r>
        <w:rPr>
          <w:rFonts w:ascii="Calibri" w:hAnsi="Calibri"/>
          <w:b/>
          <w:color w:val="1F2937"/>
          <w:sz w:val="22"/>
        </w:rPr>
        <w:t xml:space="preserve">Intégration SI &amp; Core Claims : </w:t>
      </w:r>
      <w:r>
        <w:rPr>
          <w:rFonts w:ascii="Calibri" w:hAnsi="Calibri"/>
          <w:color w:val="1F2937"/>
          <w:sz w:val="22"/>
        </w:rPr>
        <w:t>Récupération asynchrone des données de sinistres, découplée de la chaîne de paiement critique en MVP.</w:t>
      </w:r>
    </w:p>
    <w:p>
      <w:pPr>
        <w:keepNext/>
        <w:spacing w:before="320" w:after="160"/>
      </w:pPr>
      <w:r>
        <w:rPr>
          <w:rFonts w:ascii="Arial" w:hAnsi="Arial"/>
          <w:b/>
          <w:color w:val="0D9488"/>
          <w:sz w:val="28"/>
        </w:rPr>
        <w:t>Composants Technologiques Clés</w:t>
      </w:r>
    </w:p>
    <w:p>
      <w:pPr>
        <w:pStyle w:val="ListBullet"/>
        <w:spacing w:after="80" w:line="276" w:lineRule="auto"/>
      </w:pPr>
      <w:r>
        <w:rPr>
          <w:rFonts w:ascii="Calibri" w:hAnsi="Calibri"/>
          <w:color w:val="1F2937"/>
          <w:sz w:val="22"/>
        </w:rPr>
        <w:t>Moteur de scoring hybride, Interface d'investigation métier, Base de connaissances fraude, Module d'explicabilité.</w:t>
      </w:r>
    </w:p>
    <w:p>
      <w:r>
        <w:br w:type="page"/>
      </w:r>
    </w:p>
    <w:p>
      <w:pPr>
        <w:keepNext/>
        <w:spacing w:before="480" w:after="200"/>
      </w:pPr>
      <w:r>
        <w:rPr>
          <w:rFonts w:ascii="Arial" w:hAnsi="Arial"/>
          <w:b/>
          <w:color w:val="86318E"/>
          <w:sz w:val="36"/>
        </w:rPr>
        <w:t>4. Cadrage des 7 Capacités du Fraud Intelligence Accelerator</w:t>
      </w:r>
    </w:p>
    <w:p>
      <w:pPr>
        <w:spacing w:after="120" w:line="276" w:lineRule="auto"/>
      </w:pPr>
      <w:r>
        <w:rPr>
          <w:rFonts w:ascii="Calibri" w:hAnsi="Calibri"/>
          <w:color w:val="1F2937"/>
          <w:sz w:val="22"/>
        </w:rPr>
        <w:t>Chaque pilier de la plateforme associe des bénéfices d'affaires tangibles pour le gestionnaire de sinistres (Section Client) et des spécifications d'architecture applicative pour l'équipe technique (Section Équipe Interne).</w:t>
      </w:r>
    </w:p>
    <w:p>
      <w:pPr>
        <w:keepNext/>
        <w:spacing w:before="320" w:after="160"/>
      </w:pPr>
      <w:r>
        <w:rPr>
          <w:rFonts w:ascii="Arial" w:hAnsi="Arial"/>
          <w:b/>
          <w:color w:val="0D9488"/>
          <w:sz w:val="28"/>
        </w:rPr>
        <w:t>Capacité 1 : Fraud Knowledge Base</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La mémoire institutionnelle de lutte anti-fraude, digitalisée et accessible.</w:t>
      </w:r>
    </w:p>
    <w:p>
      <w:pPr>
        <w:spacing w:after="120" w:line="276" w:lineRule="auto"/>
      </w:pPr>
      <w:r>
        <w:rPr>
          <w:rFonts w:ascii="Calibri" w:hAnsi="Calibri"/>
          <w:b/>
          <w:color w:val="1F2937"/>
          <w:sz w:val="22"/>
        </w:rPr>
        <w:t xml:space="preserve">Valeur Ajoutée Assureur : </w:t>
      </w:r>
      <w:r>
        <w:rPr>
          <w:rFonts w:ascii="Calibri" w:hAnsi="Calibri"/>
          <w:color w:val="1F2937"/>
          <w:sz w:val="22"/>
        </w:rPr>
        <w:t>Centralise les schémas de fraude connus, les modus operandi et les cas de jurisprudence.</w:t>
      </w:r>
    </w:p>
    <w:p>
      <w:pPr>
        <w:spacing w:after="120" w:line="276" w:lineRule="auto"/>
      </w:pPr>
      <w:r>
        <w:rPr>
          <w:rFonts w:ascii="Calibri" w:hAnsi="Calibri"/>
          <w:b/>
          <w:color w:val="1F2937"/>
          <w:sz w:val="22"/>
        </w:rPr>
        <w:t xml:space="preserve">Cas d'Usage Enquêteur : </w:t>
      </w:r>
      <w:r>
        <w:rPr>
          <w:rFonts w:ascii="Calibri" w:hAnsi="Calibri"/>
          <w:color w:val="1F2937"/>
          <w:sz w:val="22"/>
        </w:rPr>
        <w:t>Lorsqu'un nouveau type d'arnaque au bris de glace est identifié, il est documenté et sert de référence pour la détection future.</w:t>
      </w:r>
    </w:p>
    <w:p>
      <w:pPr>
        <w:spacing w:after="120" w:line="276" w:lineRule="auto"/>
      </w:pPr>
      <w:r>
        <w:rPr>
          <w:rFonts w:ascii="Calibri" w:hAnsi="Calibri"/>
          <w:b/>
          <w:color w:val="1F2937"/>
          <w:sz w:val="22"/>
        </w:rPr>
        <w:t xml:space="preserve">Impact Utilisateur : </w:t>
      </w:r>
      <w:r>
        <w:rPr>
          <w:rFonts w:ascii="Calibri" w:hAnsi="Calibri"/>
          <w:color w:val="1F2937"/>
          <w:sz w:val="22"/>
        </w:rPr>
        <w:t>Augmentation immédiate du niveau de compétence de tous les gestionnaires face à des fraudes complexes.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Fraud Knowledge Base</w:t>
              <w:br/>
            </w:r>
            <w:r>
              <w:rPr>
                <w:rFonts w:ascii="Calibri" w:hAnsi="Calibri"/>
                <w:i/>
                <w:color w:val="1F2937"/>
                <w:sz w:val="21"/>
              </w:rPr>
              <w:t>Données nécessaires pour le MVP :</w:t>
              <w:br/>
              <w:t>Historique des cas avérés de fraude, fiches de typologies de fraude, rapports d'experts.</w:t>
              <w:br/>
              <w:br/>
              <w:t>Stack technique MVP recommandée :</w:t>
              <w:br/>
              <w:t>Système de gestion de contenu structuré, moteur de recherche sémantique.</w:t>
              <w:br/>
              <w:br/>
              <w:t>APIs &amp; Services à intégrer/développer :</w:t>
              <w:br/>
              <w:t>API de recherche de typologies, API d'ajout de cas de référence.</w:t>
              <w:br/>
              <w:br/>
              <w:t>Étapes clés de développement :</w:t>
              <w:br/>
              <w:t>Nettoyage de l'historique des cas de fraude, modélisation des schémas, indexation de la base.</w:t>
            </w:r>
          </w:p>
        </w:tc>
      </w:tr>
    </w:tbl>
    <w:p>
      <w:pPr>
        <w:spacing w:before="160"/>
      </w:pPr>
    </w:p>
    <w:p>
      <w:pPr>
        <w:keepNext/>
        <w:spacing w:before="320" w:after="160"/>
      </w:pPr>
      <w:r>
        <w:rPr>
          <w:rFonts w:ascii="Arial" w:hAnsi="Arial"/>
          <w:b/>
          <w:color w:val="0D9488"/>
          <w:sz w:val="28"/>
        </w:rPr>
        <w:t>Capacité 2 : Fraud Detection Engine</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Un bouclier intelligent qui analyse chaque sinistre déclaré.</w:t>
      </w:r>
    </w:p>
    <w:p>
      <w:pPr>
        <w:spacing w:after="120" w:line="276" w:lineRule="auto"/>
      </w:pPr>
      <w:r>
        <w:rPr>
          <w:rFonts w:ascii="Calibri" w:hAnsi="Calibri"/>
          <w:b/>
          <w:color w:val="1F2937"/>
          <w:sz w:val="22"/>
        </w:rPr>
        <w:t xml:space="preserve">Valeur Ajoutée Assureur : </w:t>
      </w:r>
      <w:r>
        <w:rPr>
          <w:rFonts w:ascii="Calibri" w:hAnsi="Calibri"/>
          <w:color w:val="1F2937"/>
          <w:sz w:val="22"/>
        </w:rPr>
        <w:t>Automatise le tri des sinistres pour séparer les cas légitimes des cas suspects nécessitant une investigation.</w:t>
      </w:r>
    </w:p>
    <w:p>
      <w:pPr>
        <w:spacing w:after="120" w:line="276" w:lineRule="auto"/>
      </w:pPr>
      <w:r>
        <w:rPr>
          <w:rFonts w:ascii="Calibri" w:hAnsi="Calibri"/>
          <w:b/>
          <w:color w:val="1F2937"/>
          <w:sz w:val="22"/>
        </w:rPr>
        <w:t xml:space="preserve">Cas d'Usage Enquêteur : </w:t>
      </w:r>
      <w:r>
        <w:rPr>
          <w:rFonts w:ascii="Calibri" w:hAnsi="Calibri"/>
          <w:color w:val="1F2937"/>
          <w:sz w:val="22"/>
        </w:rPr>
        <w:t>Le moteur score un sinistre avec une forte probabilité de légitimité, permettant un règlement instantané (Fast-Track).</w:t>
      </w:r>
    </w:p>
    <w:p>
      <w:pPr>
        <w:spacing w:after="120" w:line="276" w:lineRule="auto"/>
      </w:pPr>
      <w:r>
        <w:rPr>
          <w:rFonts w:ascii="Calibri" w:hAnsi="Calibri"/>
          <w:b/>
          <w:color w:val="1F2937"/>
          <w:sz w:val="22"/>
        </w:rPr>
        <w:t xml:space="preserve">Impact Utilisateur : </w:t>
      </w:r>
      <w:r>
        <w:rPr>
          <w:rFonts w:ascii="Calibri" w:hAnsi="Calibri"/>
          <w:color w:val="1F2937"/>
          <w:sz w:val="22"/>
        </w:rPr>
        <w:t>Règlement plus rapide pour les bons clients et blocage préventif des paiements suspects.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Fraud Detection Engine</w:t>
              <w:br/>
            </w:r>
            <w:r>
              <w:rPr>
                <w:rFonts w:ascii="Calibri" w:hAnsi="Calibri"/>
                <w:i/>
                <w:color w:val="1F2937"/>
                <w:sz w:val="21"/>
              </w:rPr>
              <w:t>Données nécessaires pour le MVP :</w:t>
              <w:br/>
              <w:t>Données structurées du sinistre (date, lieu, montants), historique du client.</w:t>
              <w:br/>
              <w:br/>
              <w:t>Stack technique MVP recommandée :</w:t>
              <w:br/>
              <w:t>Moteur de règles métier (Drools/Python), composant d'analyse de texte (NLP).</w:t>
              <w:br/>
              <w:br/>
              <w:t>APIs &amp; Services à intégrer/développer :</w:t>
              <w:br/>
              <w:t>API de scoring de sinistre.</w:t>
              <w:br/>
              <w:br/>
              <w:t>Étapes clés de développement :</w:t>
              <w:br/>
              <w:t>Définition des règles métier de premier niveau, implémentation de l'algorithme de tri, création du pipeline de scoring.</w:t>
            </w:r>
          </w:p>
        </w:tc>
      </w:tr>
    </w:tbl>
    <w:p>
      <w:pPr>
        <w:spacing w:before="160"/>
      </w:pPr>
    </w:p>
    <w:p>
      <w:pPr>
        <w:keepNext/>
        <w:spacing w:before="320" w:after="160"/>
      </w:pPr>
      <w:r>
        <w:rPr>
          <w:rFonts w:ascii="Arial" w:hAnsi="Arial"/>
          <w:b/>
          <w:color w:val="0D9488"/>
          <w:sz w:val="28"/>
        </w:rPr>
        <w:t>Capacité 3 : Fraud Investigation Workspace</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Le bureau digital de l'investigateur anti-fraude.</w:t>
      </w:r>
    </w:p>
    <w:p>
      <w:pPr>
        <w:spacing w:after="120" w:line="276" w:lineRule="auto"/>
      </w:pPr>
      <w:r>
        <w:rPr>
          <w:rFonts w:ascii="Calibri" w:hAnsi="Calibri"/>
          <w:b/>
          <w:color w:val="1F2937"/>
          <w:sz w:val="22"/>
        </w:rPr>
        <w:t xml:space="preserve">Valeur Ajoutée Assureur : </w:t>
      </w:r>
      <w:r>
        <w:rPr>
          <w:rFonts w:ascii="Calibri" w:hAnsi="Calibri"/>
          <w:color w:val="1F2937"/>
          <w:sz w:val="22"/>
        </w:rPr>
        <w:t>Fournit une vue à 360 degrés du dossier suspect, regroupant la chronologie, les pièces et les notes d'analyse.</w:t>
      </w:r>
    </w:p>
    <w:p>
      <w:pPr>
        <w:spacing w:after="120" w:line="276" w:lineRule="auto"/>
      </w:pPr>
      <w:r>
        <w:rPr>
          <w:rFonts w:ascii="Calibri" w:hAnsi="Calibri"/>
          <w:b/>
          <w:color w:val="1F2937"/>
          <w:sz w:val="22"/>
        </w:rPr>
        <w:t xml:space="preserve">Cas d'Usage Enquêteur : </w:t>
      </w:r>
      <w:r>
        <w:rPr>
          <w:rFonts w:ascii="Calibri" w:hAnsi="Calibri"/>
          <w:color w:val="1F2937"/>
          <w:sz w:val="22"/>
        </w:rPr>
        <w:t>L'investigateur accède à une interface centralisant la déclaration de sinistre, les photos du véhicule et les alertes du système.</w:t>
      </w:r>
    </w:p>
    <w:p>
      <w:pPr>
        <w:spacing w:after="120" w:line="276" w:lineRule="auto"/>
      </w:pPr>
      <w:r>
        <w:rPr>
          <w:rFonts w:ascii="Calibri" w:hAnsi="Calibri"/>
          <w:b/>
          <w:color w:val="1F2937"/>
          <w:sz w:val="22"/>
        </w:rPr>
        <w:t xml:space="preserve">Impact Utilisateur : </w:t>
      </w:r>
      <w:r>
        <w:rPr>
          <w:rFonts w:ascii="Calibri" w:hAnsi="Calibri"/>
          <w:color w:val="1F2937"/>
          <w:sz w:val="22"/>
        </w:rPr>
        <w:t>Gain de productivité massif dans l'instruction des dossiers suspects, décisions plus fiables.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Fraud Investigation Workspace</w:t>
              <w:br/>
            </w:r>
            <w:r>
              <w:rPr>
                <w:rFonts w:ascii="Calibri" w:hAnsi="Calibri"/>
                <w:i/>
                <w:color w:val="1F2937"/>
                <w:sz w:val="21"/>
              </w:rPr>
              <w:t>Données nécessaires pour le MVP :</w:t>
              <w:br/>
              <w:t>Données complètes du dossier de sinistre, historique des interactions, documents joints.</w:t>
              <w:br/>
              <w:br/>
              <w:t>Stack technique MVP recommandée :</w:t>
              <w:br/>
              <w:t>Interface web dédiée, module de gestion de workflow.</w:t>
              <w:br/>
              <w:br/>
              <w:t>APIs &amp; Services à intégrer/développer :</w:t>
              <w:br/>
              <w:t>API d'accès au dossier complet, API de mise à jour de statut.</w:t>
              <w:br/>
              <w:br/>
              <w:t>Étapes clés de développement :</w:t>
              <w:br/>
              <w:t>Création du tableau de bord de l'investigateur, développement de la timeline du sinistre, gestion des statuts de dossier.</w:t>
            </w:r>
          </w:p>
        </w:tc>
      </w:tr>
    </w:tbl>
    <w:p>
      <w:pPr>
        <w:spacing w:before="160"/>
      </w:pPr>
    </w:p>
    <w:p>
      <w:pPr>
        <w:keepNext/>
        <w:spacing w:before="320" w:after="160"/>
      </w:pPr>
      <w:r>
        <w:rPr>
          <w:rFonts w:ascii="Arial" w:hAnsi="Arial"/>
          <w:b/>
          <w:color w:val="0D9488"/>
          <w:sz w:val="28"/>
        </w:rPr>
        <w:t>Capacité 4 : Fraud Network Explorer</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Révéler les liens invisibles entre les acteurs d'une fraude organisée.</w:t>
      </w:r>
    </w:p>
    <w:p>
      <w:pPr>
        <w:spacing w:after="120" w:line="276" w:lineRule="auto"/>
      </w:pPr>
      <w:r>
        <w:rPr>
          <w:rFonts w:ascii="Calibri" w:hAnsi="Calibri"/>
          <w:b/>
          <w:color w:val="1F2937"/>
          <w:sz w:val="22"/>
        </w:rPr>
        <w:t xml:space="preserve">Valeur Ajoutée Assureur : </w:t>
      </w:r>
      <w:r>
        <w:rPr>
          <w:rFonts w:ascii="Calibri" w:hAnsi="Calibri"/>
          <w:color w:val="1F2937"/>
          <w:sz w:val="22"/>
        </w:rPr>
        <w:t>Visualise les connexions entre différents sinistres, assurés, experts ou garages pour détecter les réseaux de fraude.</w:t>
      </w:r>
    </w:p>
    <w:p>
      <w:pPr>
        <w:spacing w:after="120" w:line="276" w:lineRule="auto"/>
      </w:pPr>
      <w:r>
        <w:rPr>
          <w:rFonts w:ascii="Calibri" w:hAnsi="Calibri"/>
          <w:b/>
          <w:color w:val="1F2937"/>
          <w:sz w:val="22"/>
        </w:rPr>
        <w:t xml:space="preserve">Cas d'Usage Enquêteur : </w:t>
      </w:r>
      <w:r>
        <w:rPr>
          <w:rFonts w:ascii="Calibri" w:hAnsi="Calibri"/>
          <w:color w:val="1F2937"/>
          <w:sz w:val="22"/>
        </w:rPr>
        <w:t>L'interface met en évidence qu'un même numéro de téléphone est lié à trois sinistres différents déclarés par des personnes distinctes.</w:t>
      </w:r>
    </w:p>
    <w:p>
      <w:pPr>
        <w:spacing w:after="120" w:line="276" w:lineRule="auto"/>
      </w:pPr>
      <w:r>
        <w:rPr>
          <w:rFonts w:ascii="Calibri" w:hAnsi="Calibri"/>
          <w:b/>
          <w:color w:val="1F2937"/>
          <w:sz w:val="22"/>
        </w:rPr>
        <w:t xml:space="preserve">Impact Utilisateur : </w:t>
      </w:r>
      <w:r>
        <w:rPr>
          <w:rFonts w:ascii="Calibri" w:hAnsi="Calibri"/>
          <w:color w:val="1F2937"/>
          <w:sz w:val="22"/>
        </w:rPr>
        <w:t>Démantèlement de réseaux de fraude organisée, générant des économies d'échelle majeures.</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Fraud Network Explorer</w:t>
              <w:br/>
            </w:r>
            <w:r>
              <w:rPr>
                <w:rFonts w:ascii="Calibri" w:hAnsi="Calibri"/>
                <w:i/>
                <w:color w:val="1F2937"/>
                <w:sz w:val="21"/>
              </w:rPr>
              <w:t>Données nécessaires pour le MVP :</w:t>
              <w:br/>
              <w:t>Base de données clients et sinistres étendue, identifiants partagés (téléphone, IBAN, adresses).</w:t>
              <w:br/>
              <w:br/>
              <w:t>Stack technique MVP recommandée :</w:t>
              <w:br/>
              <w:t>Base de données graphe légère, bibliothèque de visualisation de graphes (ex: D3.js, Cytoscape).</w:t>
              <w:br/>
              <w:br/>
              <w:t>APIs &amp; Services à intégrer/développer :</w:t>
              <w:br/>
              <w:t>API d'extraction de sous-graphes.</w:t>
              <w:br/>
              <w:br/>
              <w:t>Étapes clés de développement :</w:t>
              <w:br/>
              <w:t>Modélisation des données en noeuds (personnes, véhicules) et relations, développement du visualiseur interactif.</w:t>
            </w:r>
          </w:p>
        </w:tc>
      </w:tr>
    </w:tbl>
    <w:p>
      <w:pPr>
        <w:spacing w:before="160"/>
      </w:pPr>
    </w:p>
    <w:p>
      <w:pPr>
        <w:keepNext/>
        <w:spacing w:before="320" w:after="160"/>
      </w:pPr>
      <w:r>
        <w:rPr>
          <w:rFonts w:ascii="Arial" w:hAnsi="Arial"/>
          <w:b/>
          <w:color w:val="0D9488"/>
          <w:sz w:val="28"/>
        </w:rPr>
        <w:t>Capacité 5 : Explainable AI</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La confiance naît de la transparence et de l'explication.</w:t>
      </w:r>
    </w:p>
    <w:p>
      <w:pPr>
        <w:spacing w:after="120" w:line="276" w:lineRule="auto"/>
      </w:pPr>
      <w:r>
        <w:rPr>
          <w:rFonts w:ascii="Calibri" w:hAnsi="Calibri"/>
          <w:b/>
          <w:color w:val="1F2937"/>
          <w:sz w:val="22"/>
        </w:rPr>
        <w:t xml:space="preserve">Valeur Ajoutée Assureur : </w:t>
      </w:r>
      <w:r>
        <w:rPr>
          <w:rFonts w:ascii="Calibri" w:hAnsi="Calibri"/>
          <w:color w:val="1F2937"/>
          <w:sz w:val="22"/>
        </w:rPr>
        <w:t>Justifie en langage clair et factuel chaque alerte de fraude remontée par le système.</w:t>
      </w:r>
    </w:p>
    <w:p>
      <w:pPr>
        <w:spacing w:after="120" w:line="276" w:lineRule="auto"/>
      </w:pPr>
      <w:r>
        <w:rPr>
          <w:rFonts w:ascii="Calibri" w:hAnsi="Calibri"/>
          <w:b/>
          <w:color w:val="1F2937"/>
          <w:sz w:val="22"/>
        </w:rPr>
        <w:t xml:space="preserve">Cas d'Usage Enquêteur : </w:t>
      </w:r>
      <w:r>
        <w:rPr>
          <w:rFonts w:ascii="Calibri" w:hAnsi="Calibri"/>
          <w:color w:val="1F2937"/>
          <w:sz w:val="22"/>
        </w:rPr>
        <w:t>Le système indique qu'une alerte est levée car : 1. La déclaration a eu lieu 2 heures après la souscription, 2. La facture du garage semble altérée.</w:t>
      </w:r>
    </w:p>
    <w:p>
      <w:pPr>
        <w:spacing w:after="120" w:line="276" w:lineRule="auto"/>
      </w:pPr>
      <w:r>
        <w:rPr>
          <w:rFonts w:ascii="Calibri" w:hAnsi="Calibri"/>
          <w:b/>
          <w:color w:val="1F2937"/>
          <w:sz w:val="22"/>
        </w:rPr>
        <w:t xml:space="preserve">Impact Utilisateur : </w:t>
      </w:r>
      <w:r>
        <w:rPr>
          <w:rFonts w:ascii="Calibri" w:hAnsi="Calibri"/>
          <w:color w:val="1F2937"/>
          <w:sz w:val="22"/>
        </w:rPr>
        <w:t>Adoption de l'outil par les équipes métier, justification solide en cas de contentieux avec l'assuré.</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Explainable AI</w:t>
              <w:br/>
            </w:r>
            <w:r>
              <w:rPr>
                <w:rFonts w:ascii="Calibri" w:hAnsi="Calibri"/>
                <w:i/>
                <w:color w:val="1F2937"/>
                <w:sz w:val="21"/>
              </w:rPr>
              <w:t>Données nécessaires pour le MVP :</w:t>
              <w:br/>
              <w:t>Poids des règles déclenchées, extraits de textes pertinents ayant généré l'alerte.</w:t>
              <w:br/>
              <w:br/>
              <w:t>Stack technique MVP recommandée :</w:t>
              <w:br/>
              <w:t>Générateur de textes à partir de templates, module de traçabilité des décisions.</w:t>
              <w:br/>
              <w:br/>
              <w:t>APIs &amp; Services à intégrer/développer :</w:t>
              <w:br/>
              <w:t>API de génération d'explications de score.</w:t>
              <w:br/>
              <w:br/>
              <w:t>Étapes clés de développement :</w:t>
              <w:br/>
              <w:t>Mapping entre règles déclenchées et explications textuelles, mise en évidence des éléments de preuve dans l'interface.</w:t>
            </w:r>
          </w:p>
        </w:tc>
      </w:tr>
    </w:tbl>
    <w:p>
      <w:pPr>
        <w:spacing w:before="160"/>
      </w:pPr>
    </w:p>
    <w:p>
      <w:pPr>
        <w:keepNext/>
        <w:spacing w:before="320" w:after="160"/>
      </w:pPr>
      <w:r>
        <w:rPr>
          <w:rFonts w:ascii="Arial" w:hAnsi="Arial"/>
          <w:b/>
          <w:color w:val="0D9488"/>
          <w:sz w:val="28"/>
        </w:rPr>
        <w:t>Capacité 6 : Case Prioritization</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Allouer le temps des experts là où l'enjeu financier est maximal.</w:t>
      </w:r>
    </w:p>
    <w:p>
      <w:pPr>
        <w:spacing w:after="120" w:line="276" w:lineRule="auto"/>
      </w:pPr>
      <w:r>
        <w:rPr>
          <w:rFonts w:ascii="Calibri" w:hAnsi="Calibri"/>
          <w:b/>
          <w:color w:val="1F2937"/>
          <w:sz w:val="22"/>
        </w:rPr>
        <w:t xml:space="preserve">Valeur Ajoutée Assureur : </w:t>
      </w:r>
      <w:r>
        <w:rPr>
          <w:rFonts w:ascii="Calibri" w:hAnsi="Calibri"/>
          <w:color w:val="1F2937"/>
          <w:sz w:val="22"/>
        </w:rPr>
        <w:t>Trie automatiquement la file de travail des investigateurs selon la probabilité de fraude et l'enjeu financier du sinistre.</w:t>
      </w:r>
    </w:p>
    <w:p>
      <w:pPr>
        <w:spacing w:after="120" w:line="276" w:lineRule="auto"/>
      </w:pPr>
      <w:r>
        <w:rPr>
          <w:rFonts w:ascii="Calibri" w:hAnsi="Calibri"/>
          <w:b/>
          <w:color w:val="1F2937"/>
          <w:sz w:val="22"/>
        </w:rPr>
        <w:t xml:space="preserve">Cas d'Usage Enquêteur : </w:t>
      </w:r>
      <w:r>
        <w:rPr>
          <w:rFonts w:ascii="Calibri" w:hAnsi="Calibri"/>
          <w:color w:val="1F2937"/>
          <w:sz w:val="22"/>
        </w:rPr>
        <w:t>En début de journée, le gestionnaire voit en haut de sa liste un dossier suspect d'incendie estimé à 50 000€, avant les petits accrochages.</w:t>
      </w:r>
    </w:p>
    <w:p>
      <w:pPr>
        <w:spacing w:after="120" w:line="276" w:lineRule="auto"/>
      </w:pPr>
      <w:r>
        <w:rPr>
          <w:rFonts w:ascii="Calibri" w:hAnsi="Calibri"/>
          <w:b/>
          <w:color w:val="1F2937"/>
          <w:sz w:val="22"/>
        </w:rPr>
        <w:t xml:space="preserve">Impact Utilisateur : </w:t>
      </w:r>
      <w:r>
        <w:rPr>
          <w:rFonts w:ascii="Calibri" w:hAnsi="Calibri"/>
          <w:color w:val="1F2937"/>
          <w:sz w:val="22"/>
        </w:rPr>
        <w:t>Optimisation drastique du Retour sur Investissement du temps passé par les équipes de contrôle.</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Case Prioritization</w:t>
              <w:br/>
            </w:r>
            <w:r>
              <w:rPr>
                <w:rFonts w:ascii="Calibri" w:hAnsi="Calibri"/>
                <w:i/>
                <w:color w:val="1F2937"/>
                <w:sz w:val="21"/>
              </w:rPr>
              <w:t>Données nécessaires pour le MVP :</w:t>
              <w:br/>
              <w:t>Montant estimé du sinistre, score de probabilité de fraude.</w:t>
              <w:br/>
              <w:br/>
              <w:t>Stack technique MVP recommandée :</w:t>
              <w:br/>
              <w:t>File de traitement priorisée, algorithmes de tri dynamiques.</w:t>
              <w:br/>
              <w:br/>
              <w:t>APIs &amp; Services à intégrer/développer :</w:t>
              <w:br/>
              <w:t>API de récupération de la liste de travail ordonnée.</w:t>
              <w:br/>
              <w:br/>
              <w:t>Étapes clés de développement :</w:t>
              <w:br/>
              <w:t>Définition de la matrice criticité/probabilité, implémentation du système de tri dans le Workspace.</w:t>
            </w:r>
          </w:p>
        </w:tc>
      </w:tr>
    </w:tbl>
    <w:p>
      <w:pPr>
        <w:spacing w:before="160"/>
      </w:pPr>
    </w:p>
    <w:p>
      <w:pPr>
        <w:keepNext/>
        <w:spacing w:before="320" w:after="160"/>
      </w:pPr>
      <w:r>
        <w:rPr>
          <w:rFonts w:ascii="Arial" w:hAnsi="Arial"/>
          <w:b/>
          <w:color w:val="0D9488"/>
          <w:sz w:val="28"/>
        </w:rPr>
        <w:t>Capacité 7 : Investigation Cockpit</w:t>
      </w:r>
    </w:p>
    <w:p>
      <w:pPr>
        <w:keepNext/>
        <w:spacing w:before="240" w:after="120"/>
      </w:pPr>
      <w:r>
        <w:rPr>
          <w:rFonts w:ascii="Calibri" w:hAnsi="Calibri"/>
          <w:b/>
          <w:color w:val="1F2937"/>
          <w:sz w:val="23"/>
        </w:rPr>
        <w:t>Section Client — Vision Métier &amp; Cas d'Usage</w:t>
      </w:r>
    </w:p>
    <w:p>
      <w:pPr>
        <w:spacing w:after="120" w:line="276" w:lineRule="auto"/>
      </w:pPr>
      <w:r>
        <w:rPr>
          <w:rFonts w:ascii="Calibri" w:hAnsi="Calibri"/>
          <w:b/>
          <w:color w:val="1F2937"/>
          <w:sz w:val="22"/>
        </w:rPr>
        <w:t xml:space="preserve">Vision &amp; Objectif : </w:t>
      </w:r>
      <w:r>
        <w:rPr>
          <w:rFonts w:ascii="Calibri" w:hAnsi="Calibri"/>
          <w:color w:val="1F2937"/>
          <w:sz w:val="22"/>
        </w:rPr>
        <w:t>Le pilotage stratégique de la lutte anti-fraude en temps réel.</w:t>
      </w:r>
    </w:p>
    <w:p>
      <w:pPr>
        <w:spacing w:after="120" w:line="276" w:lineRule="auto"/>
      </w:pPr>
      <w:r>
        <w:rPr>
          <w:rFonts w:ascii="Calibri" w:hAnsi="Calibri"/>
          <w:b/>
          <w:color w:val="1F2937"/>
          <w:sz w:val="22"/>
        </w:rPr>
        <w:t xml:space="preserve">Valeur Ajoutée Assureur : </w:t>
      </w:r>
      <w:r>
        <w:rPr>
          <w:rFonts w:ascii="Calibri" w:hAnsi="Calibri"/>
          <w:color w:val="1F2937"/>
          <w:sz w:val="22"/>
        </w:rPr>
        <w:t>Fournit des indicateurs de performance (KPIs) sur les dossiers traités, les montants sauvés et l'efficacité des équipes.</w:t>
      </w:r>
    </w:p>
    <w:p>
      <w:pPr>
        <w:spacing w:after="120" w:line="276" w:lineRule="auto"/>
      </w:pPr>
      <w:r>
        <w:rPr>
          <w:rFonts w:ascii="Calibri" w:hAnsi="Calibri"/>
          <w:b/>
          <w:color w:val="1F2937"/>
          <w:sz w:val="22"/>
        </w:rPr>
        <w:t xml:space="preserve">Cas d'Usage Enquêteur : </w:t>
      </w:r>
      <w:r>
        <w:rPr>
          <w:rFonts w:ascii="Calibri" w:hAnsi="Calibri"/>
          <w:color w:val="1F2937"/>
          <w:sz w:val="22"/>
        </w:rPr>
        <w:t>Le directeur indemnisation visualise qu'en un mois, l'outil a permis d'économiser 200 000€ sur les sinistres automobiles.</w:t>
      </w:r>
    </w:p>
    <w:p>
      <w:pPr>
        <w:spacing w:after="120" w:line="276" w:lineRule="auto"/>
      </w:pPr>
      <w:r>
        <w:rPr>
          <w:rFonts w:ascii="Calibri" w:hAnsi="Calibri"/>
          <w:b/>
          <w:color w:val="1F2937"/>
          <w:sz w:val="22"/>
        </w:rPr>
        <w:t xml:space="preserve">Impact Utilisateur : </w:t>
      </w:r>
      <w:r>
        <w:rPr>
          <w:rFonts w:ascii="Calibri" w:hAnsi="Calibri"/>
          <w:color w:val="1F2937"/>
          <w:sz w:val="22"/>
        </w:rPr>
        <w:t>Visibilité totale sur le ROI de la plateforme et facilitation du reporting à la direction générale.</w:t>
      </w:r>
    </w:p>
    <w:p>
      <w:pPr>
        <w:keepNext/>
        <w:spacing w:before="240" w:after="120"/>
      </w:pPr>
      <w:r>
        <w:rPr>
          <w:rFonts w:ascii="Calibri" w:hAnsi="Calibri"/>
          <w:b/>
          <w:color w:val="1F2937"/>
          <w:sz w:val="23"/>
        </w:rPr>
        <w:t>Section Équipe Interne — Guide d'Implémentation MVP</w:t>
      </w:r>
    </w:p>
    <w:tbl>
      <w:tblPr>
        <w:tblW w:type="auto" w:w="0"/>
        <w:jc w:val="center"/>
        <w:tblLayout w:type="fixed"/>
        <w:tblLook w:firstColumn="1" w:firstRow="1" w:lastColumn="0" w:lastRow="0" w:noHBand="0" w:noVBand="1" w:val="04A0"/>
      </w:tblPr>
      <w:tblGrid>
        <w:gridCol w:w="9360"/>
      </w:tblGrid>
      <w:tr>
        <w:tc>
          <w:tcPr>
            <w:tcW w:type="dxa" w:w="9360"/>
            <w:shd w:fill="F9FAFB"/>
            <w:tcBorders>
              <w:left w:val="single" w:sz="36" w:space="0" w:color="0D9488"/>
              <w:top w:val="nil"/>
              <w:bottom w:val="nil"/>
              <w:right w:val="nil"/>
            </w:tcBorders>
            <w:tcMar>
              <w:top w:w="140" w:type="dxa"/>
              <w:bottom w:w="140" w:type="dxa"/>
              <w:left w:w="180" w:type="dxa"/>
              <w:right w:w="180" w:type="dxa"/>
            </w:tcMar>
          </w:tcPr>
          <w:p>
            <w:pPr>
              <w:spacing w:after="0" w:line="276" w:lineRule="auto"/>
            </w:pPr>
            <w:r>
              <w:rPr>
                <w:rFonts w:ascii="Arial" w:hAnsi="Arial"/>
                <w:b/>
                <w:color w:val="0D9488"/>
                <w:sz w:val="22"/>
              </w:rPr>
              <w:t>Fiche Technique Interne - MVP Investigation Cockpit</w:t>
              <w:br/>
            </w:r>
            <w:r>
              <w:rPr>
                <w:rFonts w:ascii="Calibri" w:hAnsi="Calibri"/>
                <w:i/>
                <w:color w:val="1F2937"/>
                <w:sz w:val="21"/>
              </w:rPr>
              <w:t>Données nécessaires pour le MVP :</w:t>
              <w:br/>
              <w:t>Statuts de clôture des dossiers suspects, montants initiaux provisionnés vs montants payés réels.</w:t>
              <w:br/>
              <w:br/>
              <w:t>Stack technique MVP recommandée :</w:t>
              <w:br/>
              <w:t>Module de Business Intelligence basique, tableaux de bord de reporting.</w:t>
              <w:br/>
              <w:br/>
              <w:t>APIs &amp; Services à intégrer/développer :</w:t>
              <w:br/>
              <w:t>API d'agrégation de métriques globales.</w:t>
              <w:br/>
              <w:br/>
              <w:t>Étapes clés de développement :</w:t>
              <w:br/>
              <w:t>Définition des KPIs clés, développement des graphiques de synthèse (taux de détection, montants économisés).</w:t>
            </w:r>
          </w:p>
        </w:tc>
      </w:tr>
    </w:tbl>
    <w:p>
      <w:pPr>
        <w:spacing w:before="160"/>
      </w:pPr>
    </w:p>
    <w:p>
      <w:r>
        <w:br w:type="page"/>
      </w:r>
    </w:p>
    <w:p>
      <w:pPr>
        <w:keepNext/>
        <w:spacing w:before="480" w:after="200"/>
      </w:pPr>
      <w:r>
        <w:rPr>
          <w:rFonts w:ascii="Arial" w:hAnsi="Arial"/>
          <w:b/>
          <w:color w:val="86318E"/>
          <w:sz w:val="36"/>
        </w:rPr>
        <w:t>5. Trajectoire d'Évolution Produit (Roadmap)</w:t>
      </w:r>
    </w:p>
    <w:p>
      <w:pPr>
        <w:spacing w:after="120" w:line="276" w:lineRule="auto"/>
      </w:pPr>
      <w:r>
        <w:rPr>
          <w:rFonts w:ascii="Calibri" w:hAnsi="Calibri"/>
          <w:color w:val="1F2937"/>
          <w:sz w:val="22"/>
        </w:rPr>
        <w:t>Le déploiement de la solution anti-fraude s'organise en phases successives, démarrant par un ciblage du matériel automobile pour démontrer la valeur rapidement, avant de s'étendre aux sinistres corporels et aux intégrations avancées.</w:t>
      </w:r>
    </w:p>
    <w:tbl>
      <w:tblPr>
        <w:tblW w:type="auto" w:w="0"/>
        <w:jc w:val="center"/>
        <w:tblLook w:firstColumn="1" w:firstRow="1" w:lastColumn="0" w:lastRow="0" w:noHBand="0" w:noVBand="1" w:val="04A0"/>
        <w:tblBorders>
          <w:top w:val="single" w:sz="10" w:space="0" w:color="E5E7EB"/>
          <w:bottom w:val="single" w:sz="10" w:space="0" w:color="E5E7EB"/>
          <w:insideH w:val="single" w:sz="5" w:space="0" w:color="E5E7EB"/>
          <w:left w:val="nil"/>
          <w:right w:val="nil"/>
          <w:insideV w:val="nil"/>
        </w:tblBorders>
      </w:tblPr>
      <w:tblGrid>
        <w:gridCol w:w="4680"/>
        <w:gridCol w:w="4680"/>
      </w:tblGrid>
      <w:tr>
        <w:tc>
          <w:tcPr>
            <w:tcW w:type="dxa" w:w="2160"/>
            <w:shd w:fill="86318E"/>
            <w:tcMar>
              <w:top w:w="140" w:type="dxa"/>
              <w:bottom w:w="140" w:type="dxa"/>
              <w:left w:w="150" w:type="dxa"/>
              <w:right w:w="150" w:type="dxa"/>
            </w:tcMar>
          </w:tcPr>
          <w:p>
            <w:pPr>
              <w:jc w:val="left"/>
            </w:pPr>
            <w:r>
              <w:rPr>
                <w:rFonts w:ascii="Arial" w:hAnsi="Arial"/>
                <w:b/>
                <w:color w:val="FFFFFF"/>
                <w:sz w:val="21"/>
              </w:rPr>
              <w:t>Phase</w:t>
            </w:r>
          </w:p>
        </w:tc>
        <w:tc>
          <w:tcPr>
            <w:tcW w:type="dxa" w:w="7200"/>
            <w:shd w:fill="86318E"/>
            <w:tcMar>
              <w:top w:w="140" w:type="dxa"/>
              <w:bottom w:w="140" w:type="dxa"/>
              <w:left w:w="150" w:type="dxa"/>
              <w:right w:w="150" w:type="dxa"/>
            </w:tcMar>
          </w:tcPr>
          <w:p>
            <w:pPr>
              <w:jc w:val="left"/>
            </w:pPr>
            <w:r>
              <w:rPr>
                <w:rFonts w:ascii="Arial" w:hAnsi="Arial"/>
                <w:b/>
                <w:color w:val="FFFFFF"/>
                <w:sz w:val="21"/>
              </w:rPr>
              <w:t>Objectifs &amp; Périmètre Fonctionnel</w:t>
            </w:r>
          </w:p>
        </w:tc>
      </w:tr>
    </w:tbl>
    <w:p>
      <w:pPr>
        <w:spacing w:before="160"/>
      </w:pPr>
    </w:p>
    <w:p>
      <w:pPr>
        <w:keepNext/>
        <w:spacing w:before="480" w:after="200"/>
      </w:pPr>
      <w:r>
        <w:rPr>
          <w:rFonts w:ascii="Arial" w:hAnsi="Arial"/>
          <w:b/>
          <w:color w:val="86318E"/>
          <w:sz w:val="36"/>
        </w:rPr>
        <w:t>6. Business Case &amp; Modèle de ROI</w:t>
      </w:r>
    </w:p>
    <w:p>
      <w:pPr>
        <w:spacing w:after="120" w:line="276" w:lineRule="auto"/>
      </w:pPr>
      <w:r>
        <w:rPr>
          <w:rFonts w:ascii="Calibri" w:hAnsi="Calibri"/>
          <w:color w:val="1F2937"/>
          <w:sz w:val="22"/>
        </w:rPr>
        <w:t>L'analyse de ROI démontre le gain direct lié à la prévention des fuites financières sur les sinistres frauduleux et à l'optimisation opérationnelle de la gestion des cas sains.</w:t>
      </w:r>
    </w:p>
    <w:p>
      <w:pPr>
        <w:keepNext/>
        <w:spacing w:before="320" w:after="160"/>
      </w:pPr>
      <w:r>
        <w:rPr>
          <w:rFonts w:ascii="Arial" w:hAnsi="Arial"/>
          <w:b/>
          <w:color w:val="0D9488"/>
          <w:sz w:val="28"/>
        </w:rPr>
        <w:t>Hypothèses de Cadrage et Impacts Attendus</w:t>
      </w:r>
    </w:p>
    <w:p>
      <w:pPr>
        <w:spacing w:after="120" w:line="276" w:lineRule="auto"/>
      </w:pPr>
      <w:r>
        <w:rPr>
          <w:rFonts w:ascii="Calibri" w:hAnsi="Calibri"/>
          <w:b/>
          <w:color w:val="1F2937"/>
          <w:sz w:val="22"/>
        </w:rPr>
        <w:t xml:space="preserve">Hypothèses initiales : </w:t>
      </w:r>
      <w:r>
        <w:rPr>
          <w:rFonts w:ascii="Calibri" w:hAnsi="Calibri"/>
          <w:color w:val="1F2937"/>
          <w:sz w:val="22"/>
        </w:rPr>
        <w:t>Charge annuelle sinistre ciblée de 100M€, coût moyen de gestion d'un dossier manuel élevé.</w:t>
      </w:r>
    </w:p>
    <w:p>
      <w:pPr>
        <w:spacing w:after="120" w:line="276" w:lineRule="auto"/>
      </w:pPr>
      <w:r>
        <w:rPr>
          <w:rFonts w:ascii="Calibri" w:hAnsi="Calibri"/>
          <w:b/>
          <w:color w:val="1F2937"/>
          <w:sz w:val="22"/>
        </w:rPr>
        <w:t xml:space="preserve">Impacts sur la sinistralité &amp; OPEX : </w:t>
      </w:r>
      <w:r>
        <w:rPr>
          <w:rFonts w:ascii="Calibri" w:hAnsi="Calibri"/>
          <w:color w:val="1F2937"/>
          <w:sz w:val="22"/>
        </w:rPr>
        <w:t>Augmentation de 30% de la détection de fraude (+1,5M€ sauvés), 25% de sinistres orientés en Fast-Track (500k€ d'économies OPEX).</w:t>
      </w:r>
    </w:p>
    <w:p>
      <w:pPr>
        <w:spacing w:after="120" w:line="276" w:lineRule="auto"/>
      </w:pPr>
      <w:r>
        <w:rPr>
          <w:rFonts w:ascii="Calibri" w:hAnsi="Calibri"/>
          <w:b/>
          <w:color w:val="1F2937"/>
          <w:sz w:val="22"/>
        </w:rPr>
        <w:t xml:space="preserve">Calcul du ROI Annuel : </w:t>
      </w:r>
      <w:r>
        <w:rPr>
          <w:rFonts w:ascii="Calibri" w:hAnsi="Calibri"/>
          <w:color w:val="1F2937"/>
          <w:sz w:val="22"/>
        </w:rPr>
        <w:t>Gain annuel total estimé à 2,0 millions d'euros (réduction de charge sinistre et efficacité opérationnelle combinées).</w:t>
      </w:r>
    </w:p>
    <w:p>
      <w:pPr>
        <w:keepNext/>
        <w:spacing w:before="320" w:after="160"/>
      </w:pPr>
      <w:r>
        <w:rPr>
          <w:rFonts w:ascii="Arial" w:hAnsi="Arial"/>
          <w:b/>
          <w:color w:val="0D9488"/>
          <w:sz w:val="28"/>
        </w:rPr>
        <w:t>Seuil de Rentabilité (Point Mort)</w:t>
      </w:r>
    </w:p>
    <w:p>
      <w:pPr>
        <w:spacing w:after="120" w:line="276" w:lineRule="auto"/>
      </w:pPr>
      <w:r>
        <w:rPr>
          <w:rFonts w:ascii="Calibri" w:hAnsi="Calibri"/>
          <w:color w:val="1F2937"/>
          <w:sz w:val="22"/>
        </w:rPr>
        <w:t>Point mort atteint très rapidement à 5 mois après la mise en production du MVP.</w:t>
      </w:r>
    </w:p>
    <w:tbl>
      <w:tblPr>
        <w:tblW w:type="auto" w:w="0"/>
        <w:jc w:val="center"/>
        <w:tblLook w:firstColumn="1" w:firstRow="1" w:lastColumn="0" w:lastRow="0" w:noHBand="0" w:noVBand="1" w:val="04A0"/>
        <w:tblBorders>
          <w:top w:val="single" w:sz="10" w:space="0" w:color="E5E7EB"/>
          <w:bottom w:val="single" w:sz="10" w:space="0" w:color="E5E7EB"/>
          <w:insideH w:val="single" w:sz="5" w:space="0" w:color="E5E7EB"/>
          <w:left w:val="nil"/>
          <w:right w:val="nil"/>
          <w:insideV w:val="nil"/>
        </w:tblBorders>
      </w:tblPr>
      <w:tblGrid>
        <w:gridCol w:w="2340"/>
        <w:gridCol w:w="2340"/>
        <w:gridCol w:w="2340"/>
        <w:gridCol w:w="2340"/>
      </w:tblGrid>
      <w:tr>
        <w:tc>
          <w:tcPr>
            <w:tcW w:type="dxa" w:w="3456"/>
            <w:shd w:fill="86318E"/>
            <w:tcMar>
              <w:top w:w="140" w:type="dxa"/>
              <w:bottom w:w="140" w:type="dxa"/>
              <w:left w:w="150" w:type="dxa"/>
              <w:right w:w="150" w:type="dxa"/>
            </w:tcMar>
          </w:tcPr>
          <w:p>
            <w:pPr>
              <w:jc w:val="left"/>
            </w:pPr>
            <w:r>
              <w:rPr>
                <w:rFonts w:ascii="Arial" w:hAnsi="Arial"/>
                <w:b/>
                <w:color w:val="FFFFFF"/>
                <w:sz w:val="21"/>
              </w:rPr>
              <w:t>Indicateur Clé</w:t>
            </w:r>
          </w:p>
        </w:tc>
        <w:tc>
          <w:tcPr>
            <w:tcW w:type="dxa" w:w="1872"/>
            <w:shd w:fill="86318E"/>
            <w:tcMar>
              <w:top w:w="140" w:type="dxa"/>
              <w:bottom w:w="140" w:type="dxa"/>
              <w:left w:w="150" w:type="dxa"/>
              <w:right w:w="150" w:type="dxa"/>
            </w:tcMar>
          </w:tcPr>
          <w:p>
            <w:pPr>
              <w:jc w:val="left"/>
            </w:pPr>
            <w:r>
              <w:rPr>
                <w:rFonts w:ascii="Arial" w:hAnsi="Arial"/>
                <w:b/>
                <w:color w:val="FFFFFF"/>
                <w:sz w:val="21"/>
              </w:rPr>
              <w:t>Valeur de Référence (SanlamAllianz)</w:t>
            </w:r>
          </w:p>
        </w:tc>
        <w:tc>
          <w:tcPr>
            <w:tcW w:type="dxa" w:w="1872"/>
            <w:shd w:fill="86318E"/>
            <w:tcMar>
              <w:top w:w="140" w:type="dxa"/>
              <w:bottom w:w="140" w:type="dxa"/>
              <w:left w:w="150" w:type="dxa"/>
              <w:right w:w="150" w:type="dxa"/>
            </w:tcMar>
          </w:tcPr>
          <w:p>
            <w:pPr>
              <w:jc w:val="left"/>
            </w:pPr>
            <w:r>
              <w:rPr>
                <w:rFonts w:ascii="Arial" w:hAnsi="Arial"/>
                <w:b/>
                <w:color w:val="FFFFFF"/>
                <w:sz w:val="21"/>
              </w:rPr>
              <w:t>Cible MVP</w:t>
            </w:r>
          </w:p>
        </w:tc>
        <w:tc>
          <w:tcPr>
            <w:tcW w:type="dxa" w:w="2160"/>
            <w:shd w:fill="86318E"/>
            <w:tcMar>
              <w:top w:w="140" w:type="dxa"/>
              <w:bottom w:w="140" w:type="dxa"/>
              <w:left w:w="150" w:type="dxa"/>
              <w:right w:w="150" w:type="dxa"/>
            </w:tcMar>
          </w:tcPr>
          <w:p>
            <w:pPr>
              <w:jc w:val="left"/>
            </w:pPr>
            <w:r>
              <w:rPr>
                <w:rFonts w:ascii="Arial" w:hAnsi="Arial"/>
                <w:b/>
                <w:color w:val="FFFFFF"/>
                <w:sz w:val="21"/>
              </w:rPr>
              <w:t>Gains Directs Estimés</w:t>
            </w:r>
          </w:p>
        </w:tc>
      </w:tr>
      <w:tr>
        <w:tc>
          <w:tcPr>
            <w:tcW w:type="dxa" w:w="3456"/>
            <w:shd w:fill="FFFFFF"/>
            <w:tcMar>
              <w:top w:w="100" w:type="dxa"/>
              <w:bottom w:w="100" w:type="dxa"/>
              <w:left w:w="150" w:type="dxa"/>
              <w:right w:w="150" w:type="dxa"/>
            </w:tcMar>
          </w:tcPr>
          <w:p>
            <w:pPr>
              <w:spacing w:line="276" w:lineRule="auto" w:after="0"/>
              <w:jc w:val="left"/>
            </w:pPr>
            <w:r>
              <w:rPr>
                <w:rFonts w:ascii="Calibri" w:hAnsi="Calibri"/>
                <w:color w:val="1F2937"/>
                <w:sz w:val="20"/>
              </w:rPr>
              <w:t>Charge Sinistre Globale (Auto)</w:t>
            </w:r>
          </w:p>
        </w:tc>
        <w:tc>
          <w:tcPr>
            <w:tcW w:type="dxa" w:w="1872"/>
            <w:shd w:fill="FFFFFF"/>
            <w:tcMar>
              <w:top w:w="100" w:type="dxa"/>
              <w:bottom w:w="100" w:type="dxa"/>
              <w:left w:w="150" w:type="dxa"/>
              <w:right w:w="150" w:type="dxa"/>
            </w:tcMar>
          </w:tcPr>
          <w:p>
            <w:pPr>
              <w:spacing w:line="276" w:lineRule="auto" w:after="0"/>
              <w:jc w:val="right"/>
            </w:pPr>
            <w:r>
              <w:rPr>
                <w:rFonts w:ascii="Calibri" w:hAnsi="Calibri"/>
                <w:color w:val="1F2937"/>
                <w:sz w:val="20"/>
              </w:rPr>
              <w:t>100 M€ / an</w:t>
            </w:r>
          </w:p>
        </w:tc>
        <w:tc>
          <w:tcPr>
            <w:tcW w:type="dxa" w:w="1872"/>
            <w:shd w:fill="FFFFFF"/>
            <w:tcMar>
              <w:top w:w="100" w:type="dxa"/>
              <w:bottom w:w="100" w:type="dxa"/>
              <w:left w:w="150" w:type="dxa"/>
              <w:right w:w="150" w:type="dxa"/>
            </w:tcMar>
          </w:tcPr>
          <w:p>
            <w:pPr>
              <w:spacing w:line="276" w:lineRule="auto" w:after="0"/>
              <w:jc w:val="right"/>
            </w:pPr>
            <w:r>
              <w:rPr>
                <w:rFonts w:ascii="Calibri" w:hAnsi="Calibri"/>
                <w:color w:val="1F2937"/>
                <w:sz w:val="20"/>
              </w:rPr>
              <w:t>98.5 M€ / an (-1.5%)</w:t>
            </w:r>
          </w:p>
        </w:tc>
        <w:tc>
          <w:tcPr>
            <w:tcW w:type="dxa" w:w="2160"/>
            <w:shd w:fill="FFFFFF"/>
            <w:tcMar>
              <w:top w:w="100" w:type="dxa"/>
              <w:bottom w:w="100" w:type="dxa"/>
              <w:left w:w="150" w:type="dxa"/>
              <w:right w:w="150" w:type="dxa"/>
            </w:tcMar>
          </w:tcPr>
          <w:p>
            <w:pPr>
              <w:spacing w:line="276" w:lineRule="auto" w:after="0"/>
              <w:jc w:val="right"/>
            </w:pPr>
            <w:r>
              <w:rPr>
                <w:rFonts w:ascii="Calibri" w:hAnsi="Calibri"/>
                <w:color w:val="1F2937"/>
                <w:sz w:val="20"/>
              </w:rPr>
              <w:t>1.5 M€ sécurisés / an</w:t>
            </w:r>
          </w:p>
        </w:tc>
      </w:tr>
      <w:tr>
        <w:tc>
          <w:tcPr>
            <w:tcW w:type="dxa" w:w="3456"/>
            <w:shd w:fill="F9FAFB"/>
            <w:tcMar>
              <w:top w:w="100" w:type="dxa"/>
              <w:bottom w:w="100" w:type="dxa"/>
              <w:left w:w="150" w:type="dxa"/>
              <w:right w:w="150" w:type="dxa"/>
            </w:tcMar>
          </w:tcPr>
          <w:p>
            <w:pPr>
              <w:spacing w:line="276" w:lineRule="auto" w:after="0"/>
              <w:jc w:val="left"/>
            </w:pPr>
            <w:r>
              <w:rPr>
                <w:rFonts w:ascii="Calibri" w:hAnsi="Calibri"/>
                <w:color w:val="1F2937"/>
                <w:sz w:val="20"/>
              </w:rPr>
              <w:t>Faux Positifs en Détection</w:t>
            </w:r>
          </w:p>
        </w:tc>
        <w:tc>
          <w:tcPr>
            <w:tcW w:type="dxa" w:w="1872"/>
            <w:shd w:fill="F9FAFB"/>
            <w:tcMar>
              <w:top w:w="100" w:type="dxa"/>
              <w:bottom w:w="100" w:type="dxa"/>
              <w:left w:w="150" w:type="dxa"/>
              <w:right w:w="150" w:type="dxa"/>
            </w:tcMar>
          </w:tcPr>
          <w:p>
            <w:pPr>
              <w:spacing w:line="276" w:lineRule="auto" w:after="0"/>
              <w:jc w:val="right"/>
            </w:pPr>
            <w:r>
              <w:rPr>
                <w:rFonts w:ascii="Calibri" w:hAnsi="Calibri"/>
                <w:color w:val="1F2937"/>
                <w:sz w:val="20"/>
              </w:rPr>
              <w:t>30.0%</w:t>
            </w:r>
          </w:p>
        </w:tc>
        <w:tc>
          <w:tcPr>
            <w:tcW w:type="dxa" w:w="1872"/>
            <w:shd w:fill="F9FAFB"/>
            <w:tcMar>
              <w:top w:w="100" w:type="dxa"/>
              <w:bottom w:w="100" w:type="dxa"/>
              <w:left w:w="150" w:type="dxa"/>
              <w:right w:w="150" w:type="dxa"/>
            </w:tcMar>
          </w:tcPr>
          <w:p>
            <w:pPr>
              <w:spacing w:line="276" w:lineRule="auto" w:after="0"/>
              <w:jc w:val="right"/>
            </w:pPr>
            <w:r>
              <w:rPr>
                <w:rFonts w:ascii="Calibri" w:hAnsi="Calibri"/>
                <w:color w:val="1F2937"/>
                <w:sz w:val="20"/>
              </w:rPr>
              <w:t>&lt;15.0%</w:t>
            </w:r>
          </w:p>
        </w:tc>
        <w:tc>
          <w:tcPr>
            <w:tcW w:type="dxa" w:w="2160"/>
            <w:shd w:fill="F9FAFB"/>
            <w:tcMar>
              <w:top w:w="100" w:type="dxa"/>
              <w:bottom w:w="100" w:type="dxa"/>
              <w:left w:w="150" w:type="dxa"/>
              <w:right w:w="150" w:type="dxa"/>
            </w:tcMar>
          </w:tcPr>
          <w:p>
            <w:pPr>
              <w:spacing w:line="276" w:lineRule="auto" w:after="0"/>
              <w:jc w:val="left"/>
            </w:pPr>
            <w:r>
              <w:rPr>
                <w:rFonts w:ascii="Calibri" w:hAnsi="Calibri"/>
                <w:color w:val="1F2937"/>
                <w:sz w:val="20"/>
              </w:rPr>
              <w:t>Hausse de productivité enquêteurs</w:t>
            </w:r>
          </w:p>
        </w:tc>
      </w:tr>
      <w:tr>
        <w:tc>
          <w:tcPr>
            <w:tcW w:type="dxa" w:w="3456"/>
            <w:shd w:fill="FFFFFF"/>
            <w:tcMar>
              <w:top w:w="100" w:type="dxa"/>
              <w:bottom w:w="100" w:type="dxa"/>
              <w:left w:w="150" w:type="dxa"/>
              <w:right w:w="150" w:type="dxa"/>
            </w:tcMar>
          </w:tcPr>
          <w:p>
            <w:pPr>
              <w:spacing w:line="276" w:lineRule="auto" w:after="0"/>
              <w:jc w:val="left"/>
            </w:pPr>
            <w:r>
              <w:rPr>
                <w:rFonts w:ascii="Calibri" w:hAnsi="Calibri"/>
                <w:color w:val="1F2937"/>
                <w:sz w:val="20"/>
              </w:rPr>
              <w:t>Sinistres Simples Auto Matériel</w:t>
            </w:r>
          </w:p>
        </w:tc>
        <w:tc>
          <w:tcPr>
            <w:tcW w:type="dxa" w:w="1872"/>
            <w:shd w:fill="FFFFFF"/>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1872"/>
            <w:shd w:fill="FFFFFF"/>
            <w:tcMar>
              <w:top w:w="100" w:type="dxa"/>
              <w:bottom w:w="100" w:type="dxa"/>
              <w:left w:w="150" w:type="dxa"/>
              <w:right w:w="150" w:type="dxa"/>
            </w:tcMar>
          </w:tcPr>
          <w:p>
            <w:pPr>
              <w:spacing w:line="276" w:lineRule="auto" w:after="0"/>
              <w:jc w:val="right"/>
            </w:pPr>
            <w:r>
              <w:rPr>
                <w:rFonts w:ascii="Calibri" w:hAnsi="Calibri"/>
                <w:color w:val="1F2937"/>
                <w:sz w:val="20"/>
              </w:rPr>
              <w:t>25% en Fast-Track</w:t>
            </w:r>
          </w:p>
        </w:tc>
        <w:tc>
          <w:tcPr>
            <w:tcW w:type="dxa" w:w="2160"/>
            <w:shd w:fill="FFFFFF"/>
            <w:tcMar>
              <w:top w:w="100" w:type="dxa"/>
              <w:bottom w:w="100" w:type="dxa"/>
              <w:left w:w="150" w:type="dxa"/>
              <w:right w:w="150" w:type="dxa"/>
            </w:tcMar>
          </w:tcPr>
          <w:p>
            <w:pPr>
              <w:spacing w:line="276" w:lineRule="auto" w:after="0"/>
              <w:jc w:val="right"/>
            </w:pPr>
            <w:r>
              <w:rPr>
                <w:rFonts w:ascii="Calibri" w:hAnsi="Calibri"/>
                <w:color w:val="1F2937"/>
                <w:sz w:val="20"/>
              </w:rPr>
              <w:t>500 k€ d'économies de gestion (OPEX)</w:t>
            </w:r>
          </w:p>
        </w:tc>
      </w:tr>
      <w:tr>
        <w:tc>
          <w:tcPr>
            <w:tcW w:type="dxa" w:w="3456"/>
            <w:shd w:fill="F9FAFB"/>
            <w:tcMar>
              <w:top w:w="100" w:type="dxa"/>
              <w:bottom w:w="100" w:type="dxa"/>
              <w:left w:w="150" w:type="dxa"/>
              <w:right w:w="150" w:type="dxa"/>
            </w:tcMar>
          </w:tcPr>
          <w:p>
            <w:pPr>
              <w:spacing w:line="276" w:lineRule="auto" w:after="0"/>
              <w:jc w:val="left"/>
            </w:pPr>
            <w:r>
              <w:rPr>
                <w:rFonts w:ascii="Calibri" w:hAnsi="Calibri"/>
                <w:color w:val="1F2937"/>
                <w:sz w:val="20"/>
              </w:rPr>
              <w:t>Valeur Annuelle Créée</w:t>
            </w:r>
          </w:p>
        </w:tc>
        <w:tc>
          <w:tcPr>
            <w:tcW w:type="dxa" w:w="1872"/>
            <w:shd w:fill="F9FAFB"/>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1872"/>
            <w:shd w:fill="F9FAFB"/>
            <w:tcMar>
              <w:top w:w="100" w:type="dxa"/>
              <w:bottom w:w="100" w:type="dxa"/>
              <w:left w:w="150" w:type="dxa"/>
              <w:right w:w="150" w:type="dxa"/>
            </w:tcMar>
          </w:tcPr>
          <w:p>
            <w:pPr>
              <w:spacing w:line="276" w:lineRule="auto" w:after="0"/>
              <w:jc w:val="left"/>
            </w:pPr>
            <w:r>
              <w:rPr>
                <w:rFonts w:ascii="Calibri" w:hAnsi="Calibri"/>
                <w:color w:val="1F2937"/>
                <w:sz w:val="20"/>
              </w:rPr>
              <w:t>—</w:t>
            </w:r>
          </w:p>
        </w:tc>
        <w:tc>
          <w:tcPr>
            <w:tcW w:type="dxa" w:w="2160"/>
            <w:shd w:fill="F9FAFB"/>
            <w:tcMar>
              <w:top w:w="100" w:type="dxa"/>
              <w:bottom w:w="100" w:type="dxa"/>
              <w:left w:w="150" w:type="dxa"/>
              <w:right w:w="150" w:type="dxa"/>
            </w:tcMar>
          </w:tcPr>
          <w:p>
            <w:pPr>
              <w:spacing w:line="276" w:lineRule="auto" w:after="0"/>
              <w:jc w:val="right"/>
            </w:pPr>
            <w:r>
              <w:rPr>
                <w:rFonts w:ascii="Calibri" w:hAnsi="Calibri"/>
                <w:color w:val="1F2937"/>
                <w:sz w:val="20"/>
              </w:rPr>
              <w:t>2 000 000 € / an</w:t>
            </w:r>
          </w:p>
        </w:tc>
      </w:tr>
    </w:tbl>
    <w:p>
      <w:pPr>
        <w:spacing w:before="160"/>
      </w:pPr>
    </w:p>
    <w:p>
      <w:pPr>
        <w:keepNext/>
        <w:spacing w:before="480" w:after="200"/>
      </w:pPr>
      <w:r>
        <w:rPr>
          <w:rFonts w:ascii="Arial" w:hAnsi="Arial"/>
          <w:b/>
          <w:color w:val="86318E"/>
          <w:sz w:val="36"/>
        </w:rPr>
        <w:t>7. Modèle de Livraison &amp; Gouvernance</w:t>
      </w:r>
    </w:p>
    <w:p>
      <w:pPr>
        <w:spacing w:after="120" w:line="276" w:lineRule="auto"/>
      </w:pPr>
      <w:r>
        <w:rPr>
          <w:rFonts w:ascii="Calibri" w:hAnsi="Calibri"/>
          <w:color w:val="1F2937"/>
          <w:sz w:val="22"/>
        </w:rPr>
        <w:t>Le cycle d'intégration et de calage des modèles prédictifs du MVP s'étend sur 8 à 10 semaines.</w:t>
      </w:r>
    </w:p>
    <w:p>
      <w:pPr>
        <w:keepNext/>
        <w:spacing w:before="320" w:after="160"/>
      </w:pPr>
      <w:r>
        <w:rPr>
          <w:rFonts w:ascii="Arial" w:hAnsi="Arial"/>
          <w:b/>
          <w:color w:val="0D9488"/>
          <w:sz w:val="28"/>
        </w:rPr>
        <w:t>Gouvernance Projet</w:t>
      </w:r>
    </w:p>
    <w:p>
      <w:pPr>
        <w:pStyle w:val="ListBullet"/>
        <w:spacing w:after="80" w:line="276" w:lineRule="auto"/>
      </w:pPr>
      <w:r>
        <w:rPr>
          <w:rFonts w:ascii="Calibri" w:hAnsi="Calibri"/>
          <w:color w:val="1F2937"/>
          <w:sz w:val="22"/>
        </w:rPr>
        <w:t>Sprint Planning toutes les 2 semaines et revues conjointes des performances de scoring.</w:t>
      </w:r>
    </w:p>
    <w:p>
      <w:pPr>
        <w:pStyle w:val="ListBullet"/>
        <w:spacing w:after="80" w:line="276" w:lineRule="auto"/>
      </w:pPr>
      <w:r>
        <w:rPr>
          <w:rFonts w:ascii="Calibri" w:hAnsi="Calibri"/>
          <w:color w:val="1F2937"/>
          <w:sz w:val="22"/>
        </w:rPr>
        <w:t>Comité technique hebdomadaire pour l'extraction et la mise en conformité RGPD des données historiques.</w:t>
      </w:r>
    </w:p>
    <w:p>
      <w:pPr>
        <w:keepNext/>
        <w:spacing w:before="320" w:after="160"/>
      </w:pPr>
      <w:r>
        <w:rPr>
          <w:rFonts w:ascii="Arial" w:hAnsi="Arial"/>
          <w:b/>
          <w:color w:val="0D9488"/>
          <w:sz w:val="28"/>
        </w:rPr>
        <w:t>Conditions de Succès Métier</w:t>
      </w:r>
    </w:p>
    <w:p>
      <w:pPr>
        <w:pStyle w:val="ListBullet"/>
        <w:spacing w:after="80" w:line="276" w:lineRule="auto"/>
      </w:pPr>
      <w:r>
        <w:rPr>
          <w:rFonts w:ascii="Calibri" w:hAnsi="Calibri"/>
          <w:color w:val="1F2937"/>
          <w:sz w:val="22"/>
        </w:rPr>
        <w:t>Disponibilité d'un historique qualifié de sinistres (contenant des cas de fraude confirmés et des cas sains) sur les 3 dernières années.</w:t>
      </w:r>
    </w:p>
    <w:p>
      <w:pPr>
        <w:pStyle w:val="ListBullet"/>
        <w:spacing w:after="80" w:line="276" w:lineRule="auto"/>
      </w:pPr>
      <w:r>
        <w:rPr>
          <w:rFonts w:ascii="Calibri" w:hAnsi="Calibri"/>
          <w:color w:val="1F2937"/>
          <w:sz w:val="22"/>
        </w:rPr>
        <w:t>Accès aux bases de données des garages partenaires pour identifier les anomalies de facturation.</w:t>
      </w:r>
    </w:p>
    <w:p>
      <w:pPr>
        <w:pStyle w:val="ListBullet"/>
        <w:spacing w:after="80" w:line="276" w:lineRule="auto"/>
      </w:pPr>
      <w:r>
        <w:rPr>
          <w:rFonts w:ascii="Calibri" w:hAnsi="Calibri"/>
          <w:color w:val="1F2937"/>
          <w:sz w:val="22"/>
        </w:rPr>
        <w:t>Disponibilité de 2 enquêteurs référents pour calibrer le Fraud Investigation Workspace.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B7280"/>
        <w:sz w:val="17"/>
      </w:rPr>
      <w:t xml:space="preserve">Confidentialité SanlamAllianz - Ekinox  |  Page </w:t>
    </w:r>
    <w:fldSimple w:instr="PAGE"/>
    <w:r>
      <w:rPr>
        <w:color w:val="6B7280"/>
        <w:sz w:val="17"/>
      </w:rPr>
      <w:t xml:space="preserve"> sur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i/>
        <w:color w:val="6B7280"/>
        <w:sz w:val="17"/>
      </w:rPr>
      <w:t>Ekinox | Fraud Intelligence Accelerator — Document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