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11C0" w:rsidRDefault="00000000">
      <w:pPr>
        <w:tabs>
          <w:tab w:val="left" w:pos="4140"/>
          <w:tab w:val="left" w:pos="5400"/>
        </w:tabs>
        <w:ind w:firstLineChars="0" w:firstLine="0"/>
        <w:jc w:val="both"/>
        <w:rPr>
          <w:rFonts w:ascii="宋体" w:hAnsi="宋体"/>
          <w:b/>
          <w:bCs/>
        </w:rPr>
      </w:pPr>
      <w:r>
        <w:rPr>
          <w:rFonts w:hint="eastAsia"/>
        </w:rPr>
        <w:t>单位代码：</w:t>
      </w:r>
      <w:r>
        <w:rPr>
          <w:rFonts w:hint="eastAsia"/>
          <w:u w:val="single"/>
        </w:rPr>
        <w:t xml:space="preserve"> </w:t>
      </w:r>
      <w:r>
        <w:rPr>
          <w:u w:val="single"/>
        </w:rPr>
        <w:t xml:space="preserve"> </w:t>
      </w:r>
      <w:r>
        <w:rPr>
          <w:rFonts w:hint="eastAsia"/>
          <w:u w:val="single"/>
        </w:rPr>
        <w:t>10300</w:t>
      </w:r>
    </w:p>
    <w:p w:rsidR="005211C0" w:rsidRDefault="001F5C30">
      <w:pPr>
        <w:spacing w:beforeLines="150" w:before="468" w:afterLines="100" w:after="312"/>
        <w:ind w:firstLineChars="0" w:firstLine="0"/>
        <w:jc w:val="center"/>
      </w:pPr>
      <w:r>
        <w:rPr>
          <w:noProof/>
        </w:rPr>
        <w:object w:dxaOrig="5587" w:dyaOrig="9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79.35pt;height:48pt;mso-width-percent:0;mso-height-percent:0;mso-width-percent:0;mso-height-percent:0" o:ole="">
            <v:imagedata r:id="rId8" o:title=""/>
          </v:shape>
          <o:OLEObject Type="Embed" ProgID="CorelDRAW.Graphic.11" ShapeID="_x0000_i1025" DrawAspect="Content" ObjectID="_1840786963" r:id="rId9"/>
        </w:object>
      </w:r>
    </w:p>
    <w:p w:rsidR="005211C0" w:rsidRDefault="00000000">
      <w:pPr>
        <w:ind w:firstLineChars="0" w:firstLine="0"/>
        <w:jc w:val="center"/>
        <w:rPr>
          <w:rFonts w:eastAsia="黑体"/>
          <w:spacing w:val="20"/>
          <w:sz w:val="52"/>
          <w:szCs w:val="52"/>
        </w:rPr>
      </w:pPr>
      <w:r>
        <w:rPr>
          <w:rFonts w:ascii="黑体" w:eastAsia="黑体" w:hAnsi="黑体" w:hint="eastAsia"/>
          <w:b/>
          <w:bCs/>
          <w:spacing w:val="20"/>
          <w:sz w:val="52"/>
          <w:szCs w:val="52"/>
        </w:rPr>
        <w:t>本科毕业论文（设计）</w:t>
      </w:r>
    </w:p>
    <w:p w:rsidR="005211C0" w:rsidRDefault="005211C0">
      <w:pPr>
        <w:ind w:firstLine="480"/>
        <w:jc w:val="center"/>
        <w:rPr>
          <w:color w:val="000000"/>
        </w:rPr>
      </w:pPr>
    </w:p>
    <w:p w:rsidR="005211C0" w:rsidRDefault="00000000">
      <w:pPr>
        <w:ind w:firstLineChars="0" w:firstLine="0"/>
        <w:jc w:val="center"/>
        <w:rPr>
          <w:color w:val="000000"/>
        </w:rPr>
      </w:pPr>
      <w:r>
        <w:rPr>
          <w:noProof/>
        </w:rPr>
        <w:drawing>
          <wp:inline distT="0" distB="0" distL="0" distR="0">
            <wp:extent cx="1797050" cy="1797050"/>
            <wp:effectExtent l="0" t="0" r="0" b="0"/>
            <wp:docPr id="1" name="图片 1" descr="C:\Users\27505\Documents\Tencent Files\275059316\FileRecv\新校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27505\Documents\Tencent Files\275059316\FileRecv\新校徽.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797050" cy="1797050"/>
                    </a:xfrm>
                    <a:prstGeom prst="rect">
                      <a:avLst/>
                    </a:prstGeom>
                    <a:noFill/>
                    <a:ln>
                      <a:noFill/>
                    </a:ln>
                  </pic:spPr>
                </pic:pic>
              </a:graphicData>
            </a:graphic>
          </wp:inline>
        </w:drawing>
      </w:r>
    </w:p>
    <w:p w:rsidR="005211C0" w:rsidRDefault="005211C0">
      <w:pPr>
        <w:ind w:firstLine="480"/>
        <w:jc w:val="center"/>
        <w:rPr>
          <w:color w:val="000000"/>
        </w:rPr>
      </w:pPr>
    </w:p>
    <w:p w:rsidR="005211C0" w:rsidRDefault="00000000">
      <w:pPr>
        <w:ind w:firstLineChars="400" w:firstLine="1440"/>
        <w:rPr>
          <w:rFonts w:ascii="黑体" w:eastAsia="黑体" w:hAnsi="黑体"/>
          <w:b/>
          <w:bCs/>
          <w:sz w:val="36"/>
          <w:szCs w:val="36"/>
          <w:u w:val="single"/>
        </w:rPr>
      </w:pPr>
      <w:r>
        <w:rPr>
          <w:rFonts w:ascii="黑体" w:eastAsia="黑体" w:hAnsi="黑体" w:hint="eastAsia"/>
          <w:sz w:val="36"/>
        </w:rPr>
        <w:t xml:space="preserve">题 </w:t>
      </w:r>
      <w:r>
        <w:rPr>
          <w:rFonts w:ascii="黑体" w:eastAsia="黑体" w:hAnsi="黑体"/>
          <w:sz w:val="36"/>
        </w:rPr>
        <w:t xml:space="preserve"> </w:t>
      </w:r>
      <w:r>
        <w:rPr>
          <w:rFonts w:ascii="黑体" w:eastAsia="黑体" w:hAnsi="黑体" w:hint="eastAsia"/>
          <w:sz w:val="36"/>
        </w:rPr>
        <w:t xml:space="preserve">目 </w:t>
      </w:r>
      <w:r>
        <w:rPr>
          <w:rFonts w:ascii="黑体" w:eastAsia="黑体" w:hAnsi="黑体"/>
          <w:sz w:val="36"/>
        </w:rPr>
        <w:t xml:space="preserve"> </w:t>
      </w:r>
      <w:r>
        <w:rPr>
          <w:rFonts w:ascii="黑体" w:eastAsia="黑体" w:hAnsi="黑体" w:hint="eastAsia"/>
          <w:b/>
          <w:bCs/>
          <w:sz w:val="36"/>
          <w:szCs w:val="36"/>
          <w:u w:val="single"/>
        </w:rPr>
        <w:t>中国东北-俄罗斯远东跨境区域SDGs</w:t>
      </w:r>
    </w:p>
    <w:p w:rsidR="005211C0" w:rsidRDefault="00000000">
      <w:pPr>
        <w:ind w:firstLineChars="800" w:firstLine="2891"/>
        <w:rPr>
          <w:rFonts w:ascii="黑体" w:eastAsia="黑体" w:hAnsi="黑体"/>
          <w:b/>
          <w:bCs/>
          <w:sz w:val="36"/>
          <w:szCs w:val="36"/>
          <w:u w:val="single"/>
        </w:rPr>
      </w:pPr>
      <w:r>
        <w:rPr>
          <w:rFonts w:ascii="黑体" w:eastAsia="黑体" w:hAnsi="黑体" w:hint="eastAsia"/>
          <w:b/>
          <w:bCs/>
          <w:sz w:val="36"/>
          <w:szCs w:val="36"/>
          <w:u w:val="single"/>
        </w:rPr>
        <w:t>空间支撑条件评估与发展对策</w:t>
      </w:r>
    </w:p>
    <w:p w:rsidR="005211C0" w:rsidRDefault="00000000">
      <w:pPr>
        <w:ind w:firstLineChars="520" w:firstLine="1560"/>
        <w:rPr>
          <w:rFonts w:asciiTheme="minorEastAsia" w:eastAsiaTheme="minorEastAsia" w:hAnsiTheme="minorEastAsia"/>
          <w:color w:val="000000"/>
          <w:sz w:val="30"/>
          <w:szCs w:val="30"/>
          <w:u w:val="single"/>
        </w:rPr>
      </w:pPr>
      <w:r>
        <w:rPr>
          <w:rFonts w:asciiTheme="minorEastAsia" w:eastAsiaTheme="minorEastAsia" w:hAnsiTheme="minorEastAsia" w:hint="eastAsia"/>
          <w:color w:val="000000"/>
          <w:sz w:val="30"/>
          <w:szCs w:val="30"/>
        </w:rPr>
        <w:t>学生姓名：</w:t>
      </w:r>
      <w:r>
        <w:rPr>
          <w:rFonts w:asciiTheme="minorEastAsia" w:eastAsiaTheme="minorEastAsia" w:hAnsiTheme="minorEastAsia" w:hint="eastAsia"/>
          <w:color w:val="000000"/>
          <w:sz w:val="30"/>
          <w:szCs w:val="30"/>
          <w:u w:val="single"/>
        </w:rPr>
        <w:t xml:space="preserve">          何佳豫</w:t>
      </w:r>
    </w:p>
    <w:p w:rsidR="005211C0" w:rsidRDefault="00000000">
      <w:pPr>
        <w:ind w:firstLineChars="520" w:firstLine="1560"/>
        <w:rPr>
          <w:rFonts w:asciiTheme="minorEastAsia" w:eastAsiaTheme="minorEastAsia" w:hAnsiTheme="minorEastAsia"/>
          <w:color w:val="000000"/>
          <w:sz w:val="30"/>
          <w:szCs w:val="30"/>
          <w:u w:val="single"/>
        </w:rPr>
      </w:pPr>
      <w:r>
        <w:rPr>
          <w:rFonts w:asciiTheme="minorEastAsia" w:eastAsiaTheme="minorEastAsia" w:hAnsiTheme="minorEastAsia" w:hint="eastAsia"/>
          <w:color w:val="000000"/>
          <w:position w:val="-6"/>
          <w:sz w:val="30"/>
          <w:szCs w:val="30"/>
        </w:rPr>
        <w:t xml:space="preserve">学 </w:t>
      </w:r>
      <w:r>
        <w:rPr>
          <w:rFonts w:asciiTheme="minorEastAsia" w:eastAsiaTheme="minorEastAsia" w:hAnsiTheme="minorEastAsia"/>
          <w:color w:val="000000"/>
          <w:position w:val="-6"/>
          <w:sz w:val="30"/>
          <w:szCs w:val="30"/>
        </w:rPr>
        <w:t xml:space="preserve">   </w:t>
      </w:r>
      <w:r>
        <w:rPr>
          <w:rFonts w:asciiTheme="minorEastAsia" w:eastAsiaTheme="minorEastAsia" w:hAnsiTheme="minorEastAsia" w:hint="eastAsia"/>
          <w:color w:val="000000"/>
          <w:position w:val="-6"/>
          <w:sz w:val="30"/>
          <w:szCs w:val="30"/>
        </w:rPr>
        <w:t>号：</w:t>
      </w:r>
      <w:r>
        <w:rPr>
          <w:rFonts w:asciiTheme="minorEastAsia" w:eastAsiaTheme="minorEastAsia" w:hAnsiTheme="minorEastAsia" w:hint="eastAsia"/>
          <w:color w:val="000000"/>
          <w:sz w:val="30"/>
          <w:szCs w:val="30"/>
          <w:u w:val="single"/>
        </w:rPr>
        <w:t xml:space="preserve">       202283670003</w:t>
      </w:r>
    </w:p>
    <w:p w:rsidR="005211C0" w:rsidRDefault="00000000">
      <w:pPr>
        <w:ind w:firstLineChars="520" w:firstLine="1560"/>
        <w:rPr>
          <w:rFonts w:asciiTheme="minorEastAsia" w:eastAsiaTheme="minorEastAsia" w:hAnsiTheme="minorEastAsia"/>
          <w:color w:val="000000"/>
          <w:position w:val="-6"/>
          <w:sz w:val="30"/>
          <w:szCs w:val="30"/>
          <w:u w:val="single"/>
        </w:rPr>
      </w:pPr>
      <w:r>
        <w:rPr>
          <w:rFonts w:asciiTheme="minorEastAsia" w:eastAsiaTheme="minorEastAsia" w:hAnsiTheme="minorEastAsia" w:hint="eastAsia"/>
          <w:color w:val="000000"/>
          <w:position w:val="-6"/>
          <w:sz w:val="30"/>
          <w:szCs w:val="30"/>
        </w:rPr>
        <w:t xml:space="preserve">专 </w:t>
      </w:r>
      <w:r>
        <w:rPr>
          <w:rFonts w:asciiTheme="minorEastAsia" w:eastAsiaTheme="minorEastAsia" w:hAnsiTheme="minorEastAsia"/>
          <w:color w:val="000000"/>
          <w:position w:val="-6"/>
          <w:sz w:val="30"/>
          <w:szCs w:val="30"/>
        </w:rPr>
        <w:t xml:space="preserve">   </w:t>
      </w:r>
      <w:r>
        <w:rPr>
          <w:rFonts w:asciiTheme="minorEastAsia" w:eastAsiaTheme="minorEastAsia" w:hAnsiTheme="minorEastAsia" w:hint="eastAsia"/>
          <w:color w:val="000000"/>
          <w:position w:val="-6"/>
          <w:sz w:val="30"/>
          <w:szCs w:val="30"/>
        </w:rPr>
        <w:t>业：</w:t>
      </w:r>
      <w:r>
        <w:rPr>
          <w:rFonts w:asciiTheme="minorEastAsia" w:eastAsiaTheme="minorEastAsia" w:hAnsiTheme="minorEastAsia" w:hint="eastAsia"/>
          <w:color w:val="000000"/>
          <w:sz w:val="30"/>
          <w:szCs w:val="30"/>
          <w:u w:val="single"/>
        </w:rPr>
        <w:t xml:space="preserve">     人文地理与城乡规划</w:t>
      </w:r>
    </w:p>
    <w:p w:rsidR="005211C0" w:rsidRDefault="00000000">
      <w:pPr>
        <w:ind w:firstLineChars="520" w:firstLine="1560"/>
        <w:rPr>
          <w:rFonts w:asciiTheme="minorEastAsia" w:eastAsiaTheme="minorEastAsia" w:hAnsiTheme="minorEastAsia"/>
          <w:color w:val="000000"/>
          <w:position w:val="-6"/>
          <w:sz w:val="30"/>
          <w:szCs w:val="30"/>
          <w:u w:val="single"/>
        </w:rPr>
      </w:pPr>
      <w:r>
        <w:rPr>
          <w:rFonts w:asciiTheme="minorEastAsia" w:eastAsiaTheme="minorEastAsia" w:hAnsiTheme="minorEastAsia" w:hint="eastAsia"/>
          <w:color w:val="000000"/>
          <w:sz w:val="30"/>
          <w:szCs w:val="30"/>
        </w:rPr>
        <w:t>学    院：</w:t>
      </w:r>
      <w:r>
        <w:rPr>
          <w:rFonts w:asciiTheme="minorEastAsia" w:eastAsiaTheme="minorEastAsia" w:hAnsiTheme="minorEastAsia" w:hint="eastAsia"/>
          <w:color w:val="000000"/>
          <w:sz w:val="30"/>
          <w:szCs w:val="30"/>
          <w:u w:val="single"/>
        </w:rPr>
        <w:t xml:space="preserve">        地理科学学院</w:t>
      </w:r>
    </w:p>
    <w:p w:rsidR="005211C0" w:rsidRDefault="00000000">
      <w:pPr>
        <w:ind w:firstLineChars="520" w:firstLine="1560"/>
        <w:rPr>
          <w:rFonts w:asciiTheme="minorEastAsia" w:eastAsiaTheme="minorEastAsia" w:hAnsiTheme="minorEastAsia"/>
          <w:color w:val="000000"/>
          <w:sz w:val="30"/>
          <w:szCs w:val="30"/>
          <w:u w:val="single"/>
        </w:rPr>
      </w:pPr>
      <w:r>
        <w:rPr>
          <w:rFonts w:asciiTheme="minorEastAsia" w:eastAsiaTheme="minorEastAsia" w:hAnsiTheme="minorEastAsia" w:hint="eastAsia"/>
          <w:color w:val="000000"/>
          <w:sz w:val="30"/>
          <w:szCs w:val="30"/>
        </w:rPr>
        <w:t>指导教师：</w:t>
      </w:r>
      <w:r>
        <w:rPr>
          <w:rFonts w:asciiTheme="minorEastAsia" w:eastAsiaTheme="minorEastAsia" w:hAnsiTheme="minorEastAsia" w:hint="eastAsia"/>
          <w:color w:val="000000"/>
          <w:sz w:val="30"/>
          <w:szCs w:val="30"/>
          <w:u w:val="single"/>
        </w:rPr>
        <w:t xml:space="preserve">         张萌萌</w:t>
      </w:r>
    </w:p>
    <w:p w:rsidR="005211C0" w:rsidRDefault="005211C0">
      <w:pPr>
        <w:ind w:firstLine="800"/>
        <w:rPr>
          <w:rFonts w:ascii="宋体" w:hAnsi="宋体"/>
          <w:spacing w:val="20"/>
          <w:sz w:val="36"/>
          <w:szCs w:val="36"/>
        </w:rPr>
      </w:pPr>
    </w:p>
    <w:p w:rsidR="005211C0" w:rsidRDefault="00000000">
      <w:pPr>
        <w:ind w:firstLineChars="0" w:firstLine="0"/>
        <w:jc w:val="center"/>
        <w:rPr>
          <w:rFonts w:ascii="宋体" w:hAnsi="宋体"/>
          <w:sz w:val="30"/>
          <w:szCs w:val="30"/>
        </w:rPr>
      </w:pPr>
      <w:r>
        <w:rPr>
          <w:rFonts w:ascii="宋体" w:hAnsi="宋体" w:hint="eastAsia"/>
          <w:spacing w:val="20"/>
          <w:sz w:val="30"/>
          <w:szCs w:val="30"/>
        </w:rPr>
        <w:t>二○二 六 年 五 月</w:t>
      </w:r>
    </w:p>
    <w:p w:rsidR="005211C0" w:rsidRDefault="005211C0">
      <w:pPr>
        <w:ind w:firstLine="720"/>
        <w:jc w:val="center"/>
        <w:rPr>
          <w:rFonts w:ascii="黑体" w:eastAsia="黑体" w:hAnsi="黑体"/>
          <w:color w:val="FF0000"/>
          <w:sz w:val="36"/>
          <w:szCs w:val="36"/>
        </w:rPr>
        <w:sectPr w:rsidR="005211C0">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418" w:left="1418" w:header="851" w:footer="992" w:gutter="0"/>
          <w:pgNumType w:fmt="upperRoman" w:start="1"/>
          <w:cols w:space="425"/>
          <w:docGrid w:type="lines" w:linePitch="312"/>
        </w:sectPr>
      </w:pPr>
    </w:p>
    <w:p w:rsidR="005211C0" w:rsidRDefault="00000000">
      <w:pPr>
        <w:ind w:firstLineChars="0" w:firstLine="0"/>
        <w:jc w:val="center"/>
        <w:rPr>
          <w:rFonts w:ascii="黑体" w:eastAsia="黑体" w:hAnsi="黑体"/>
          <w:color w:val="FF0000"/>
          <w:sz w:val="36"/>
          <w:szCs w:val="36"/>
        </w:rPr>
      </w:pPr>
      <w:r>
        <w:rPr>
          <w:rFonts w:ascii="黑体" w:eastAsia="黑体" w:hAnsi="黑体" w:hint="eastAsia"/>
          <w:color w:val="FF0000"/>
          <w:sz w:val="36"/>
          <w:szCs w:val="36"/>
        </w:rPr>
        <w:lastRenderedPageBreak/>
        <w:t xml:space="preserve">郑 </w:t>
      </w:r>
      <w:r>
        <w:rPr>
          <w:rFonts w:ascii="黑体" w:eastAsia="黑体" w:hAnsi="黑体"/>
          <w:color w:val="FF0000"/>
          <w:sz w:val="36"/>
          <w:szCs w:val="36"/>
        </w:rPr>
        <w:t xml:space="preserve"> </w:t>
      </w:r>
      <w:r>
        <w:rPr>
          <w:rFonts w:ascii="黑体" w:eastAsia="黑体" w:hAnsi="黑体" w:hint="eastAsia"/>
          <w:color w:val="FF0000"/>
          <w:sz w:val="36"/>
          <w:szCs w:val="36"/>
        </w:rPr>
        <w:t xml:space="preserve">重 </w:t>
      </w:r>
      <w:r>
        <w:rPr>
          <w:rFonts w:ascii="黑体" w:eastAsia="黑体" w:hAnsi="黑体"/>
          <w:color w:val="FF0000"/>
          <w:sz w:val="36"/>
          <w:szCs w:val="36"/>
        </w:rPr>
        <w:t xml:space="preserve"> </w:t>
      </w:r>
      <w:r>
        <w:rPr>
          <w:rFonts w:ascii="黑体" w:eastAsia="黑体" w:hAnsi="黑体" w:hint="eastAsia"/>
          <w:color w:val="FF0000"/>
          <w:sz w:val="36"/>
          <w:szCs w:val="36"/>
        </w:rPr>
        <w:t xml:space="preserve">声 </w:t>
      </w:r>
      <w:r>
        <w:rPr>
          <w:rFonts w:ascii="黑体" w:eastAsia="黑体" w:hAnsi="黑体"/>
          <w:color w:val="FF0000"/>
          <w:sz w:val="36"/>
          <w:szCs w:val="36"/>
        </w:rPr>
        <w:t xml:space="preserve"> </w:t>
      </w:r>
      <w:r>
        <w:rPr>
          <w:rFonts w:ascii="黑体" w:eastAsia="黑体" w:hAnsi="黑体" w:hint="eastAsia"/>
          <w:color w:val="FF0000"/>
          <w:sz w:val="36"/>
          <w:szCs w:val="36"/>
        </w:rPr>
        <w:t>明</w:t>
      </w:r>
    </w:p>
    <w:p w:rsidR="005211C0" w:rsidRDefault="00000000">
      <w:pPr>
        <w:spacing w:line="420" w:lineRule="auto"/>
        <w:ind w:firstLineChars="177" w:firstLine="425"/>
        <w:jc w:val="center"/>
        <w:rPr>
          <w:rFonts w:ascii="楷体" w:eastAsia="楷体" w:hAnsi="楷体"/>
        </w:rPr>
      </w:pPr>
      <w:r>
        <w:rPr>
          <w:rFonts w:ascii="楷体" w:eastAsia="楷体" w:hAnsi="楷体" w:hint="eastAsia"/>
        </w:rPr>
        <w:t>本人以“求实 创新”的科学精神从事科学研究工作，所呈交的论文是我个人在导师指导下进行的研究工作及取得的研究成果。本论文尽我所知，所有测试、数据和相关材料均真实有效；文中除引文和致谢内容外，未抄袭其他人或其他机构已经发表或撰写过的研究成果。与我一同工作同志对本研究所做的贡献均已在论文中作了声明并表示谢意。</w:t>
      </w:r>
    </w:p>
    <w:p w:rsidR="005211C0" w:rsidRDefault="00000000">
      <w:pPr>
        <w:spacing w:line="420" w:lineRule="auto"/>
        <w:ind w:firstLineChars="149" w:firstLine="358"/>
        <w:jc w:val="center"/>
        <w:rPr>
          <w:rFonts w:ascii="楷体" w:eastAsia="楷体" w:hAnsi="楷体"/>
        </w:rPr>
      </w:pPr>
      <w:r>
        <w:rPr>
          <w:rFonts w:ascii="楷体" w:eastAsia="楷体" w:hAnsi="楷体" w:hint="eastAsia"/>
        </w:rPr>
        <w:t>本人毕业论文及涉及相关资料若有不实，愿意承担一切相关的法律责任。</w:t>
      </w:r>
    </w:p>
    <w:p w:rsidR="005211C0" w:rsidRDefault="005211C0">
      <w:pPr>
        <w:spacing w:line="420" w:lineRule="auto"/>
        <w:ind w:firstLine="480"/>
        <w:jc w:val="center"/>
        <w:rPr>
          <w:rFonts w:ascii="楷体" w:eastAsia="楷体" w:hAnsi="楷体"/>
        </w:rPr>
      </w:pPr>
    </w:p>
    <w:p w:rsidR="005211C0" w:rsidRDefault="00000000">
      <w:pPr>
        <w:spacing w:line="420" w:lineRule="auto"/>
        <w:ind w:firstLineChars="149" w:firstLine="358"/>
        <w:jc w:val="center"/>
      </w:pPr>
      <w:r>
        <w:rPr>
          <w:rFonts w:hint="eastAsia"/>
        </w:rPr>
        <w:t>论文作者签名：</w:t>
      </w:r>
      <w:r>
        <w:rPr>
          <w:rFonts w:hint="eastAsia"/>
        </w:rPr>
        <w:t xml:space="preserve">  </w:t>
      </w:r>
      <w:r>
        <w:rPr>
          <w:rFonts w:hint="eastAsia"/>
          <w:u w:val="single"/>
        </w:rPr>
        <w:t xml:space="preserve">              </w:t>
      </w:r>
      <w:r>
        <w:rPr>
          <w:rFonts w:hint="eastAsia"/>
        </w:rPr>
        <w:t xml:space="preserve">           </w:t>
      </w:r>
      <w:r>
        <w:rPr>
          <w:rFonts w:hint="eastAsia"/>
        </w:rPr>
        <w:t>签字日期：</w:t>
      </w:r>
      <w:r>
        <w:rPr>
          <w:rFonts w:hint="eastAsia"/>
        </w:rPr>
        <w:t>______________</w:t>
      </w:r>
    </w:p>
    <w:p w:rsidR="005211C0" w:rsidRDefault="005211C0">
      <w:pPr>
        <w:spacing w:line="420" w:lineRule="auto"/>
        <w:ind w:firstLineChars="149" w:firstLine="358"/>
        <w:jc w:val="center"/>
      </w:pPr>
    </w:p>
    <w:p w:rsidR="005211C0" w:rsidRDefault="005211C0">
      <w:pPr>
        <w:spacing w:line="420" w:lineRule="auto"/>
        <w:ind w:firstLineChars="149" w:firstLine="358"/>
        <w:jc w:val="center"/>
      </w:pPr>
    </w:p>
    <w:p w:rsidR="005211C0" w:rsidRDefault="005211C0">
      <w:pPr>
        <w:spacing w:line="420" w:lineRule="auto"/>
        <w:ind w:firstLineChars="149" w:firstLine="358"/>
        <w:jc w:val="center"/>
      </w:pPr>
    </w:p>
    <w:p w:rsidR="005211C0" w:rsidRDefault="00000000">
      <w:pPr>
        <w:ind w:firstLineChars="0" w:firstLine="0"/>
        <w:jc w:val="center"/>
        <w:rPr>
          <w:rFonts w:ascii="黑体" w:eastAsia="黑体" w:hAnsi="黑体"/>
          <w:color w:val="FF0000"/>
          <w:sz w:val="36"/>
          <w:szCs w:val="36"/>
        </w:rPr>
      </w:pPr>
      <w:r>
        <w:rPr>
          <w:rFonts w:ascii="黑体" w:eastAsia="黑体" w:hAnsi="黑体" w:hint="eastAsia"/>
          <w:color w:val="FF0000"/>
          <w:sz w:val="36"/>
          <w:szCs w:val="36"/>
        </w:rPr>
        <w:t>论文使用授权说明</w:t>
      </w:r>
    </w:p>
    <w:p w:rsidR="005211C0" w:rsidRDefault="00000000">
      <w:pPr>
        <w:spacing w:beforeLines="100" w:before="312" w:line="420" w:lineRule="auto"/>
        <w:ind w:firstLine="480"/>
        <w:jc w:val="center"/>
        <w:rPr>
          <w:rFonts w:ascii="楷体" w:eastAsia="楷体" w:hAnsi="楷体"/>
        </w:rPr>
      </w:pPr>
      <w:r>
        <w:rPr>
          <w:rFonts w:ascii="楷体" w:eastAsia="楷体" w:hAnsi="楷体" w:hint="eastAsia"/>
        </w:rPr>
        <w:t>本人授权南京信息工程大学可以保留并向国家有关部门或机构送交论文和电子文档；允许论文被查阅和借阅；可以将学位论文的全部或部分内容编入有关数据库进行检索；可以采用影印、缩印或扫描等复制手段保存、汇编本学位论文。不可用于任何非法用途。论文的公布（包括刊登）授权南京信息工程大学办理。</w:t>
      </w:r>
    </w:p>
    <w:p w:rsidR="005211C0" w:rsidRDefault="005211C0">
      <w:pPr>
        <w:spacing w:line="420" w:lineRule="auto"/>
        <w:ind w:firstLineChars="149" w:firstLine="358"/>
        <w:jc w:val="center"/>
      </w:pPr>
    </w:p>
    <w:p w:rsidR="005211C0" w:rsidRDefault="00000000">
      <w:pPr>
        <w:spacing w:line="420" w:lineRule="auto"/>
        <w:ind w:firstLineChars="149" w:firstLine="358"/>
        <w:jc w:val="center"/>
      </w:pPr>
      <w:r>
        <w:rPr>
          <w:rFonts w:hint="eastAsia"/>
        </w:rPr>
        <w:t>论文作者签名：</w:t>
      </w:r>
      <w:r>
        <w:rPr>
          <w:rFonts w:hint="eastAsia"/>
        </w:rPr>
        <w:t xml:space="preserve">  </w:t>
      </w:r>
      <w:r>
        <w:rPr>
          <w:rFonts w:hint="eastAsia"/>
          <w:u w:val="single"/>
        </w:rPr>
        <w:t xml:space="preserve">              </w:t>
      </w:r>
      <w:r>
        <w:rPr>
          <w:rFonts w:hint="eastAsia"/>
        </w:rPr>
        <w:t xml:space="preserve">            </w:t>
      </w:r>
      <w:r>
        <w:rPr>
          <w:rFonts w:hint="eastAsia"/>
        </w:rPr>
        <w:t>签字日期：</w:t>
      </w:r>
      <w:r>
        <w:rPr>
          <w:rFonts w:hint="eastAsia"/>
        </w:rPr>
        <w:t>_______________</w:t>
      </w:r>
    </w:p>
    <w:p w:rsidR="005211C0" w:rsidRDefault="00000000">
      <w:pPr>
        <w:spacing w:line="420" w:lineRule="auto"/>
        <w:ind w:firstLineChars="149" w:firstLine="358"/>
        <w:jc w:val="center"/>
      </w:pPr>
      <w:r>
        <w:rPr>
          <w:rFonts w:hint="eastAsia"/>
        </w:rPr>
        <w:t>指导教师签名：</w:t>
      </w:r>
      <w:r>
        <w:rPr>
          <w:rFonts w:hint="eastAsia"/>
        </w:rPr>
        <w:t xml:space="preserve">  </w:t>
      </w:r>
      <w:r>
        <w:rPr>
          <w:rFonts w:hint="eastAsia"/>
          <w:u w:val="single"/>
        </w:rPr>
        <w:t xml:space="preserve">              </w:t>
      </w:r>
      <w:r>
        <w:rPr>
          <w:rFonts w:hint="eastAsia"/>
        </w:rPr>
        <w:t xml:space="preserve">            </w:t>
      </w:r>
      <w:r>
        <w:rPr>
          <w:rFonts w:hint="eastAsia"/>
        </w:rPr>
        <w:t>签字日期：</w:t>
      </w:r>
      <w:r>
        <w:rPr>
          <w:rFonts w:hint="eastAsia"/>
        </w:rPr>
        <w:t>_______________</w:t>
      </w:r>
    </w:p>
    <w:p w:rsidR="005211C0" w:rsidRDefault="005211C0">
      <w:pPr>
        <w:spacing w:line="420" w:lineRule="auto"/>
        <w:ind w:firstLineChars="149" w:firstLine="358"/>
        <w:jc w:val="center"/>
      </w:pPr>
    </w:p>
    <w:p w:rsidR="005211C0" w:rsidRDefault="00000000">
      <w:pPr>
        <w:ind w:firstLine="640"/>
        <w:jc w:val="both"/>
        <w:rPr>
          <w:rFonts w:ascii="黑体" w:eastAsia="黑体" w:hAnsi="宋体"/>
          <w:sz w:val="32"/>
          <w:szCs w:val="32"/>
        </w:rPr>
      </w:pPr>
      <w:r>
        <w:rPr>
          <w:rFonts w:ascii="黑体" w:eastAsia="黑体" w:hAnsi="宋体"/>
          <w:sz w:val="32"/>
          <w:szCs w:val="32"/>
        </w:rPr>
        <w:br w:type="page"/>
      </w:r>
    </w:p>
    <w:p w:rsidR="005211C0" w:rsidRDefault="005211C0">
      <w:pPr>
        <w:spacing w:line="300" w:lineRule="auto"/>
        <w:ind w:firstLine="640"/>
        <w:jc w:val="both"/>
        <w:rPr>
          <w:rFonts w:ascii="黑体" w:eastAsia="黑体" w:hAnsi="宋体"/>
          <w:sz w:val="32"/>
          <w:szCs w:val="32"/>
        </w:rPr>
        <w:sectPr w:rsidR="005211C0">
          <w:pgSz w:w="11906" w:h="16838"/>
          <w:pgMar w:top="1418" w:right="1418" w:bottom="1418" w:left="1418" w:header="851" w:footer="992" w:gutter="0"/>
          <w:pgNumType w:fmt="upperRoman" w:start="1"/>
          <w:cols w:space="425"/>
          <w:docGrid w:type="lines" w:linePitch="312"/>
        </w:sectPr>
      </w:pPr>
    </w:p>
    <w:p w:rsidR="005211C0" w:rsidRDefault="00000000">
      <w:pPr>
        <w:spacing w:line="300" w:lineRule="auto"/>
        <w:ind w:firstLineChars="0" w:firstLine="0"/>
        <w:jc w:val="center"/>
        <w:rPr>
          <w:rFonts w:ascii="黑体" w:eastAsia="黑体"/>
          <w:bCs/>
          <w:sz w:val="32"/>
          <w:szCs w:val="32"/>
        </w:rPr>
      </w:pPr>
      <w:r>
        <w:rPr>
          <w:rFonts w:ascii="黑体" w:eastAsia="黑体" w:hAnsi="宋体" w:hint="eastAsia"/>
          <w:bCs/>
          <w:sz w:val="32"/>
          <w:szCs w:val="32"/>
        </w:rPr>
        <w:lastRenderedPageBreak/>
        <w:t>中国东北-俄罗斯远东跨境区域SDGs空间支撑条件评估与发展对策</w:t>
      </w:r>
    </w:p>
    <w:p w:rsidR="005211C0" w:rsidRDefault="005211C0">
      <w:pPr>
        <w:spacing w:line="300" w:lineRule="auto"/>
        <w:ind w:firstLine="480"/>
        <w:jc w:val="center"/>
        <w:rPr>
          <w:rFonts w:ascii="宋体" w:hAnsi="宋体"/>
        </w:rPr>
      </w:pPr>
    </w:p>
    <w:p w:rsidR="005211C0" w:rsidRDefault="00000000">
      <w:pPr>
        <w:spacing w:line="300" w:lineRule="auto"/>
        <w:ind w:firstLineChars="0" w:firstLine="0"/>
        <w:jc w:val="center"/>
        <w:rPr>
          <w:rFonts w:ascii="宋体" w:hAnsi="宋体"/>
          <w:sz w:val="28"/>
          <w:szCs w:val="28"/>
        </w:rPr>
      </w:pPr>
      <w:r>
        <w:rPr>
          <w:rFonts w:ascii="宋体" w:hAnsi="宋体" w:hint="eastAsia"/>
          <w:bCs/>
          <w:sz w:val="28"/>
          <w:szCs w:val="28"/>
        </w:rPr>
        <w:t>何佳豫</w:t>
      </w:r>
    </w:p>
    <w:p w:rsidR="005211C0" w:rsidRDefault="00000000">
      <w:pPr>
        <w:spacing w:line="300" w:lineRule="auto"/>
        <w:ind w:left="720" w:hangingChars="300" w:hanging="720"/>
        <w:jc w:val="center"/>
        <w:rPr>
          <w:rFonts w:ascii="宋体" w:hAnsi="宋体"/>
        </w:rPr>
      </w:pPr>
      <w:r>
        <w:rPr>
          <w:rFonts w:ascii="宋体" w:hAnsi="宋体" w:hint="eastAsia"/>
        </w:rPr>
        <w:t>南京信息工程大学地理科学学院，江苏 南京 210044</w:t>
      </w:r>
    </w:p>
    <w:p w:rsidR="005211C0" w:rsidRDefault="005211C0">
      <w:pPr>
        <w:spacing w:line="300" w:lineRule="auto"/>
        <w:ind w:firstLine="480"/>
        <w:jc w:val="both"/>
        <w:rPr>
          <w:rFonts w:ascii="宋体" w:hAnsi="宋体"/>
        </w:rPr>
      </w:pPr>
    </w:p>
    <w:p w:rsidR="005211C0" w:rsidRDefault="00000000">
      <w:pPr>
        <w:ind w:firstLineChars="0" w:firstLine="0"/>
        <w:jc w:val="both"/>
        <w:rPr>
          <w:rFonts w:ascii="楷体" w:eastAsia="楷体" w:hAnsi="楷体"/>
          <w:bCs/>
        </w:rPr>
      </w:pPr>
      <w:r>
        <w:rPr>
          <w:rFonts w:ascii="黑体" w:eastAsia="黑体" w:hint="eastAsia"/>
          <w:bCs/>
        </w:rPr>
        <w:t>摘  要：</w:t>
      </w:r>
      <w:r>
        <w:rPr>
          <w:rFonts w:ascii="楷体" w:eastAsia="楷体" w:hAnsi="楷体" w:hint="eastAsia"/>
          <w:bCs/>
          <w:szCs w:val="24"/>
        </w:rPr>
        <w:t>跨境区域具有生态系统连续、行政治理割裂的特征，是可持续发展目标（SDGs）地方化评估中的重难点地区。本文以中国东北—俄罗斯远东跨境区域为研究区，基于多源地理空间数据，构建10 km 网格尺度评价指标体系，并运用熵权 TOPSIS 模型和探索性空间数据分析方法，对 2010—2024 年区域 SDGs 空间支撑条件进行综合评估。研究结果显示：（1）研究区 SDGs 空间支撑条件综合指数空间格局整体稳定。（2）2024 年综合指数高值集聚区主要分布在俄罗斯锡霍特山脉以及中国长白山山脉，低值集聚区集中于俄罗斯远东内陆和中国内蒙古东部。（3）中俄两侧两侧共同优势维度为通达性，共同短板维度为人类活动；中俄分别在环境本底和生态状态方面有比较优势。本文为中国东北—俄罗斯远东跨境区域 SDGs 空间支撑条件识别提供了网格化证据，也为跨境地区风险防控和协同治理提供了参考。</w:t>
      </w:r>
    </w:p>
    <w:p w:rsidR="005211C0" w:rsidRDefault="00000000">
      <w:pPr>
        <w:ind w:firstLineChars="0" w:firstLine="0"/>
        <w:jc w:val="both"/>
        <w:rPr>
          <w:rFonts w:ascii="楷体" w:eastAsia="楷体" w:hAnsi="楷体"/>
          <w:bCs/>
        </w:rPr>
      </w:pPr>
      <w:r>
        <w:rPr>
          <w:rFonts w:ascii="黑体" w:eastAsia="黑体" w:hint="eastAsia"/>
          <w:bCs/>
        </w:rPr>
        <w:t>关键词：</w:t>
      </w:r>
      <w:r>
        <w:rPr>
          <w:rFonts w:ascii="楷体" w:eastAsia="楷体" w:hAnsi="楷体" w:hint="eastAsia"/>
          <w:bCs/>
        </w:rPr>
        <w:t>中国东北—俄罗斯远东；跨境区域；可持续发展；熵权 TOPSIS；ESDA</w:t>
      </w:r>
    </w:p>
    <w:p w:rsidR="005211C0" w:rsidRDefault="005211C0">
      <w:pPr>
        <w:spacing w:line="300" w:lineRule="auto"/>
        <w:ind w:firstLine="480"/>
        <w:jc w:val="both"/>
        <w:rPr>
          <w:rFonts w:ascii="宋体" w:hAnsi="宋体"/>
        </w:rPr>
      </w:pPr>
    </w:p>
    <w:p w:rsidR="005211C0" w:rsidRDefault="005211C0">
      <w:pPr>
        <w:spacing w:line="300" w:lineRule="auto"/>
        <w:ind w:firstLine="480"/>
        <w:jc w:val="both"/>
        <w:rPr>
          <w:rFonts w:ascii="宋体" w:hAnsi="宋体"/>
        </w:rPr>
      </w:pPr>
    </w:p>
    <w:p w:rsidR="005211C0" w:rsidRDefault="005211C0">
      <w:pPr>
        <w:spacing w:line="300" w:lineRule="auto"/>
        <w:ind w:firstLine="480"/>
        <w:jc w:val="both"/>
        <w:rPr>
          <w:rFonts w:ascii="宋体" w:hAnsi="宋体"/>
        </w:rPr>
      </w:pPr>
    </w:p>
    <w:p w:rsidR="005211C0" w:rsidRDefault="005211C0">
      <w:pPr>
        <w:spacing w:line="300" w:lineRule="auto"/>
        <w:ind w:firstLine="480"/>
        <w:jc w:val="both"/>
        <w:rPr>
          <w:rFonts w:ascii="宋体" w:hAnsi="宋体"/>
        </w:rPr>
      </w:pPr>
    </w:p>
    <w:p w:rsidR="005211C0" w:rsidRDefault="005211C0">
      <w:pPr>
        <w:spacing w:line="300" w:lineRule="auto"/>
        <w:ind w:firstLine="480"/>
        <w:jc w:val="both"/>
        <w:rPr>
          <w:rFonts w:ascii="宋体" w:hAnsi="宋体"/>
        </w:rPr>
      </w:pPr>
    </w:p>
    <w:p w:rsidR="005211C0" w:rsidRDefault="005211C0">
      <w:pPr>
        <w:spacing w:line="300" w:lineRule="auto"/>
        <w:ind w:firstLine="480"/>
        <w:jc w:val="both"/>
        <w:rPr>
          <w:rFonts w:ascii="宋体" w:hAnsi="宋体"/>
        </w:rPr>
      </w:pPr>
    </w:p>
    <w:p w:rsidR="005211C0" w:rsidRDefault="005211C0">
      <w:pPr>
        <w:spacing w:line="300" w:lineRule="auto"/>
        <w:ind w:firstLine="480"/>
        <w:jc w:val="both"/>
        <w:rPr>
          <w:rFonts w:ascii="宋体" w:hAnsi="宋体"/>
        </w:rPr>
      </w:pPr>
    </w:p>
    <w:p w:rsidR="005211C0" w:rsidRDefault="005211C0">
      <w:pPr>
        <w:spacing w:line="300" w:lineRule="auto"/>
        <w:ind w:firstLine="480"/>
        <w:jc w:val="both"/>
        <w:rPr>
          <w:rFonts w:ascii="宋体" w:hAnsi="宋体"/>
        </w:rPr>
      </w:pPr>
    </w:p>
    <w:p w:rsidR="005211C0" w:rsidRDefault="005211C0">
      <w:pPr>
        <w:spacing w:line="300" w:lineRule="auto"/>
        <w:ind w:firstLine="480"/>
        <w:jc w:val="both"/>
        <w:rPr>
          <w:rFonts w:ascii="宋体" w:hAnsi="宋体"/>
        </w:rPr>
      </w:pPr>
    </w:p>
    <w:p w:rsidR="005211C0" w:rsidRDefault="005211C0">
      <w:pPr>
        <w:spacing w:line="300" w:lineRule="auto"/>
        <w:ind w:firstLine="480"/>
        <w:jc w:val="both"/>
        <w:rPr>
          <w:rFonts w:ascii="宋体" w:hAnsi="宋体"/>
        </w:rPr>
      </w:pPr>
    </w:p>
    <w:p w:rsidR="005211C0" w:rsidRDefault="005211C0">
      <w:pPr>
        <w:spacing w:line="300" w:lineRule="auto"/>
        <w:ind w:firstLine="480"/>
        <w:jc w:val="both"/>
        <w:rPr>
          <w:rFonts w:ascii="宋体" w:hAnsi="宋体"/>
        </w:rPr>
      </w:pPr>
    </w:p>
    <w:p w:rsidR="005211C0" w:rsidRDefault="005211C0">
      <w:pPr>
        <w:spacing w:line="300" w:lineRule="auto"/>
        <w:ind w:firstLine="480"/>
        <w:jc w:val="both"/>
        <w:rPr>
          <w:rFonts w:ascii="宋体" w:hAnsi="宋体"/>
        </w:rPr>
      </w:pPr>
    </w:p>
    <w:p w:rsidR="005211C0" w:rsidRDefault="005211C0">
      <w:pPr>
        <w:spacing w:line="300" w:lineRule="auto"/>
        <w:ind w:firstLine="480"/>
        <w:jc w:val="both"/>
        <w:rPr>
          <w:rFonts w:ascii="宋体" w:hAnsi="宋体"/>
        </w:rPr>
      </w:pPr>
    </w:p>
    <w:p w:rsidR="005211C0" w:rsidRDefault="00000000">
      <w:pPr>
        <w:ind w:firstLineChars="0" w:firstLine="0"/>
        <w:jc w:val="both"/>
        <w:rPr>
          <w:b/>
          <w:bCs/>
          <w:sz w:val="32"/>
          <w:szCs w:val="32"/>
        </w:rPr>
      </w:pPr>
      <w:r>
        <w:rPr>
          <w:rFonts w:ascii="宋体" w:hAnsi="宋体"/>
        </w:rPr>
        <w:br w:type="page"/>
      </w:r>
      <w:r>
        <w:rPr>
          <w:b/>
          <w:sz w:val="32"/>
          <w:szCs w:val="32"/>
        </w:rPr>
        <w:lastRenderedPageBreak/>
        <w:t>Assessment of spatial support conditions and development countermeasures for the SDGs in the cross-border region between Northeast China and the Far East of Russia</w:t>
      </w:r>
    </w:p>
    <w:p w:rsidR="005211C0" w:rsidRDefault="005211C0">
      <w:pPr>
        <w:spacing w:line="300" w:lineRule="auto"/>
        <w:ind w:firstLine="480"/>
        <w:jc w:val="both"/>
        <w:rPr>
          <w:rFonts w:ascii="宋体" w:hAnsi="宋体"/>
        </w:rPr>
      </w:pPr>
    </w:p>
    <w:p w:rsidR="005211C0" w:rsidRDefault="00000000">
      <w:pPr>
        <w:spacing w:line="300" w:lineRule="auto"/>
        <w:ind w:firstLineChars="0" w:firstLine="0"/>
        <w:jc w:val="center"/>
        <w:rPr>
          <w:sz w:val="28"/>
          <w:szCs w:val="28"/>
        </w:rPr>
      </w:pPr>
      <w:r>
        <w:rPr>
          <w:sz w:val="28"/>
          <w:szCs w:val="28"/>
        </w:rPr>
        <w:t>He Jiayu</w:t>
      </w:r>
    </w:p>
    <w:p w:rsidR="005211C0" w:rsidRDefault="00000000">
      <w:pPr>
        <w:spacing w:line="300" w:lineRule="auto"/>
        <w:ind w:left="720" w:hangingChars="300" w:hanging="720"/>
        <w:jc w:val="center"/>
      </w:pPr>
      <w:r>
        <w:rPr>
          <w:rFonts w:hAnsi="宋体"/>
        </w:rPr>
        <w:t>School of Geographical Sciences</w:t>
      </w:r>
      <w:r>
        <w:rPr>
          <w:rFonts w:hAnsi="宋体"/>
        </w:rPr>
        <w:t>，</w:t>
      </w:r>
      <w:r>
        <w:t>NUIST</w:t>
      </w:r>
      <w:r>
        <w:rPr>
          <w:rFonts w:hAnsi="宋体"/>
        </w:rPr>
        <w:t>，</w:t>
      </w:r>
      <w:r>
        <w:t>Nanjing 210044</w:t>
      </w:r>
      <w:r>
        <w:rPr>
          <w:rFonts w:hAnsi="宋体"/>
        </w:rPr>
        <w:t>，</w:t>
      </w:r>
      <w:r>
        <w:t>China</w:t>
      </w:r>
    </w:p>
    <w:p w:rsidR="005211C0" w:rsidRDefault="005211C0">
      <w:pPr>
        <w:spacing w:line="300" w:lineRule="auto"/>
        <w:ind w:firstLine="480"/>
        <w:jc w:val="both"/>
        <w:rPr>
          <w:rFonts w:ascii="宋体" w:hAnsi="宋体"/>
        </w:rPr>
      </w:pPr>
    </w:p>
    <w:p w:rsidR="005211C0" w:rsidRDefault="00000000">
      <w:pPr>
        <w:ind w:right="-2" w:firstLine="482"/>
        <w:jc w:val="both"/>
      </w:pPr>
      <w:r>
        <w:rPr>
          <w:rFonts w:eastAsia="黑体"/>
          <w:b/>
          <w:bCs/>
        </w:rPr>
        <w:t>Abstract</w:t>
      </w:r>
      <w:r>
        <w:rPr>
          <w:rFonts w:eastAsia="黑体" w:hint="eastAsia"/>
          <w:b/>
          <w:bCs/>
        </w:rPr>
        <w:t>：</w:t>
      </w:r>
      <w:r>
        <w:rPr>
          <w:rFonts w:eastAsia="黑体"/>
        </w:rPr>
        <w:t>Cross-border regions have the characteristics of continuous ecosystems and fragmented administrative governance, and are the most difficult areas in the localization assessment of the Sustainable Development Goals (SDGs). This paper takes the cross-border region of Northeast China and the Far East of Russia as the research area, constructs a 10 km grid-scale evaluation index system based on multi-source geospatial data, and uses the entropy-weighted TOPSIS model and exploratory spatial data analysis method to comprehensively evaluate the spatial support conditions of regional SDGs from 2010 to 2024. The results show that: (1) the spatial pattern of the comprehensive index of SDGs spatial support conditions in the study area is generally stable. (2) In 2024, the high-value agglomeration areas of the comprehensive index are mainly distributed in the Sikhot Mountains of Russia and the Changbai Mountains of China, while the low-value agglomeration areas are concentrated in the inland of the Russian Far East and the eastern part of Inner Mongolia in China. (3) The common advantage dimension of China and Russia is accessibility, and the common shortcoming dimension is human activities; China and Russia have comparative advantages in terms of environmental background and ecological status. This paper provides grid evidence for the identification of SDGs spatial support conditions in the cross-border region between Northeast China and the Russian Far East, and also provides a reference for risk prevention and control and collaborative governance in cross-border regions.</w:t>
      </w:r>
    </w:p>
    <w:p w:rsidR="005211C0" w:rsidRDefault="00000000">
      <w:pPr>
        <w:ind w:right="-2" w:firstLine="482"/>
        <w:jc w:val="both"/>
        <w:rPr>
          <w:bCs/>
        </w:rPr>
      </w:pPr>
      <w:r>
        <w:rPr>
          <w:b/>
          <w:bCs/>
        </w:rPr>
        <w:t xml:space="preserve">Key </w:t>
      </w:r>
      <w:r>
        <w:rPr>
          <w:rFonts w:hint="eastAsia"/>
          <w:b/>
          <w:bCs/>
        </w:rPr>
        <w:t>W</w:t>
      </w:r>
      <w:r>
        <w:rPr>
          <w:b/>
          <w:bCs/>
        </w:rPr>
        <w:t>ords</w:t>
      </w:r>
      <w:r>
        <w:rPr>
          <w:rFonts w:eastAsia="黑体" w:hint="eastAsia"/>
          <w:b/>
          <w:bCs/>
        </w:rPr>
        <w:t>：</w:t>
      </w:r>
      <w:r>
        <w:rPr>
          <w:bCs/>
        </w:rPr>
        <w:t xml:space="preserve">Northeast China—Russian Far East; cross-border region; </w:t>
      </w:r>
      <w:r>
        <w:rPr>
          <w:rFonts w:eastAsia="黑体"/>
        </w:rPr>
        <w:t>Sustainable Development</w:t>
      </w:r>
      <w:r>
        <w:rPr>
          <w:bCs/>
        </w:rPr>
        <w:t>; entropy-weighted TOPSIS; ESDA</w:t>
      </w:r>
    </w:p>
    <w:p w:rsidR="005211C0" w:rsidRDefault="00000000">
      <w:pPr>
        <w:ind w:firstLineChars="0" w:firstLine="0"/>
        <w:jc w:val="center"/>
        <w:rPr>
          <w:rFonts w:ascii="黑体" w:eastAsia="黑体" w:hAnsi="黑体"/>
          <w:spacing w:val="20"/>
          <w:sz w:val="32"/>
          <w:szCs w:val="32"/>
        </w:rPr>
      </w:pPr>
      <w:r>
        <w:rPr>
          <w:rFonts w:ascii="宋体" w:hAnsi="宋体"/>
        </w:rPr>
        <w:br w:type="page"/>
      </w:r>
      <w:r>
        <w:rPr>
          <w:rFonts w:ascii="黑体" w:eastAsia="黑体" w:hAnsi="黑体" w:hint="eastAsia"/>
          <w:spacing w:val="20"/>
          <w:sz w:val="32"/>
          <w:szCs w:val="32"/>
        </w:rPr>
        <w:lastRenderedPageBreak/>
        <w:t>目</w:t>
      </w:r>
      <w:r>
        <w:rPr>
          <w:rFonts w:ascii="宋体" w:hAnsi="宋体" w:cs="宋体"/>
          <w:spacing w:val="20"/>
          <w:sz w:val="32"/>
          <w:szCs w:val="32"/>
        </w:rPr>
        <w:t>   </w:t>
      </w:r>
      <w:r>
        <w:rPr>
          <w:rFonts w:ascii="黑体" w:eastAsia="黑体" w:hAnsi="黑体" w:hint="eastAsia"/>
          <w:spacing w:val="20"/>
          <w:sz w:val="32"/>
          <w:szCs w:val="32"/>
        </w:rPr>
        <w:t>录</w:t>
      </w:r>
    </w:p>
    <w:p w:rsidR="005211C0" w:rsidRDefault="005211C0">
      <w:pPr>
        <w:spacing w:line="300" w:lineRule="auto"/>
        <w:ind w:firstLine="480"/>
        <w:jc w:val="both"/>
        <w:rPr>
          <w:rFonts w:ascii="宋体" w:hAnsi="宋体"/>
        </w:rPr>
      </w:pPr>
    </w:p>
    <w:p w:rsidR="005211C0" w:rsidRDefault="00000000">
      <w:pPr>
        <w:pStyle w:val="TOC1"/>
        <w:tabs>
          <w:tab w:val="right" w:leader="dot" w:pos="9060"/>
        </w:tabs>
        <w:ind w:firstLineChars="0" w:firstLine="0"/>
        <w:jc w:val="both"/>
        <w:rPr>
          <w:rFonts w:asciiTheme="minorHAnsi" w:eastAsiaTheme="minorEastAsia" w:hAnsiTheme="minorHAnsi" w:cstheme="minorBidi"/>
          <w:bCs w:val="0"/>
          <w:noProof/>
          <w:kern w:val="2"/>
          <w:sz w:val="22"/>
          <w:szCs w:val="24"/>
          <w14:ligatures w14:val="standardContextual"/>
        </w:rPr>
      </w:pPr>
      <w:r>
        <w:fldChar w:fldCharType="begin"/>
      </w:r>
      <w:r>
        <w:instrText xml:space="preserve"> TOC \o "1-3" \h \z \u </w:instrText>
      </w:r>
      <w:r>
        <w:fldChar w:fldCharType="separate"/>
      </w:r>
      <w:hyperlink w:anchor="_Toc230099567" w:history="1">
        <w:r>
          <w:rPr>
            <w:rStyle w:val="af0"/>
            <w:rFonts w:ascii="Times New Roman"/>
            <w:noProof/>
          </w:rPr>
          <w:t>1</w:t>
        </w:r>
        <w:r>
          <w:rPr>
            <w:rStyle w:val="af0"/>
            <w:noProof/>
          </w:rPr>
          <w:t xml:space="preserve"> 引言</w:t>
        </w:r>
        <w:r>
          <w:rPr>
            <w:noProof/>
          </w:rPr>
          <w:tab/>
        </w:r>
        <w:r>
          <w:rPr>
            <w:noProof/>
          </w:rPr>
          <w:fldChar w:fldCharType="begin"/>
        </w:r>
        <w:r>
          <w:rPr>
            <w:noProof/>
          </w:rPr>
          <w:instrText xml:space="preserve"> PAGEREF _Toc230099567 \h </w:instrText>
        </w:r>
        <w:r>
          <w:rPr>
            <w:noProof/>
          </w:rPr>
        </w:r>
        <w:r>
          <w:rPr>
            <w:noProof/>
          </w:rPr>
          <w:fldChar w:fldCharType="separate"/>
        </w:r>
        <w:r w:rsidR="00DC2E20">
          <w:rPr>
            <w:noProof/>
          </w:rPr>
          <w:t>1</w:t>
        </w:r>
        <w:r>
          <w:rPr>
            <w:noProof/>
          </w:rPr>
          <w:fldChar w:fldCharType="end"/>
        </w:r>
      </w:hyperlink>
    </w:p>
    <w:p w:rsidR="005211C0" w:rsidRDefault="00000000">
      <w:pPr>
        <w:pStyle w:val="TOC2"/>
        <w:jc w:val="both"/>
        <w:rPr>
          <w:rFonts w:asciiTheme="minorHAnsi" w:eastAsiaTheme="minorEastAsia" w:hAnsiTheme="minorHAnsi" w:cstheme="minorBidi"/>
          <w:noProof/>
          <w:kern w:val="2"/>
          <w:sz w:val="22"/>
          <w:szCs w:val="24"/>
          <w14:ligatures w14:val="standardContextual"/>
        </w:rPr>
      </w:pPr>
      <w:hyperlink w:anchor="_Toc230099568" w:history="1">
        <w:r>
          <w:rPr>
            <w:rStyle w:val="af0"/>
            <w:rFonts w:ascii="Times New Roman" w:hAnsi="Times New Roman"/>
            <w:noProof/>
          </w:rPr>
          <w:t>1.1</w:t>
        </w:r>
        <w:r>
          <w:rPr>
            <w:rStyle w:val="af0"/>
            <w:noProof/>
          </w:rPr>
          <w:t>研究背景与意义</w:t>
        </w:r>
        <w:r>
          <w:rPr>
            <w:noProof/>
          </w:rPr>
          <w:tab/>
        </w:r>
        <w:r>
          <w:rPr>
            <w:noProof/>
          </w:rPr>
          <w:fldChar w:fldCharType="begin"/>
        </w:r>
        <w:r>
          <w:rPr>
            <w:noProof/>
          </w:rPr>
          <w:instrText xml:space="preserve"> PAGEREF _Toc230099568 \h </w:instrText>
        </w:r>
        <w:r>
          <w:rPr>
            <w:noProof/>
          </w:rPr>
        </w:r>
        <w:r>
          <w:rPr>
            <w:noProof/>
          </w:rPr>
          <w:fldChar w:fldCharType="separate"/>
        </w:r>
        <w:r w:rsidR="00DC2E20">
          <w:rPr>
            <w:noProof/>
          </w:rPr>
          <w:t>1</w:t>
        </w:r>
        <w:r>
          <w:rPr>
            <w:noProof/>
          </w:rPr>
          <w:fldChar w:fldCharType="end"/>
        </w:r>
      </w:hyperlink>
    </w:p>
    <w:p w:rsidR="005211C0" w:rsidRDefault="00000000">
      <w:pPr>
        <w:pStyle w:val="TOC2"/>
        <w:jc w:val="both"/>
        <w:rPr>
          <w:rFonts w:asciiTheme="minorHAnsi" w:eastAsiaTheme="minorEastAsia" w:hAnsiTheme="minorHAnsi" w:cstheme="minorBidi"/>
          <w:noProof/>
          <w:kern w:val="2"/>
          <w:sz w:val="22"/>
          <w:szCs w:val="24"/>
          <w14:ligatures w14:val="standardContextual"/>
        </w:rPr>
      </w:pPr>
      <w:hyperlink w:anchor="_Toc230099569" w:history="1">
        <w:r>
          <w:rPr>
            <w:rStyle w:val="af0"/>
            <w:rFonts w:ascii="Times New Roman" w:hAnsi="Times New Roman"/>
            <w:noProof/>
          </w:rPr>
          <w:t xml:space="preserve">1.2 </w:t>
        </w:r>
        <w:r>
          <w:rPr>
            <w:rStyle w:val="af0"/>
            <w:rFonts w:ascii="Times New Roman" w:hAnsi="Times New Roman"/>
            <w:noProof/>
          </w:rPr>
          <w:t>国内外研究综述与研究缺口</w:t>
        </w:r>
        <w:r>
          <w:rPr>
            <w:noProof/>
          </w:rPr>
          <w:tab/>
        </w:r>
        <w:r>
          <w:rPr>
            <w:noProof/>
          </w:rPr>
          <w:fldChar w:fldCharType="begin"/>
        </w:r>
        <w:r>
          <w:rPr>
            <w:noProof/>
          </w:rPr>
          <w:instrText xml:space="preserve"> PAGEREF _Toc230099569 \h </w:instrText>
        </w:r>
        <w:r>
          <w:rPr>
            <w:noProof/>
          </w:rPr>
        </w:r>
        <w:r>
          <w:rPr>
            <w:noProof/>
          </w:rPr>
          <w:fldChar w:fldCharType="separate"/>
        </w:r>
        <w:r w:rsidR="00DC2E20">
          <w:rPr>
            <w:noProof/>
          </w:rPr>
          <w:t>1</w:t>
        </w:r>
        <w:r>
          <w:rPr>
            <w:noProof/>
          </w:rPr>
          <w:fldChar w:fldCharType="end"/>
        </w:r>
      </w:hyperlink>
    </w:p>
    <w:p w:rsidR="005211C0" w:rsidRDefault="00000000">
      <w:pPr>
        <w:pStyle w:val="TOC2"/>
        <w:jc w:val="both"/>
        <w:rPr>
          <w:rFonts w:asciiTheme="minorHAnsi" w:eastAsiaTheme="minorEastAsia" w:hAnsiTheme="minorHAnsi" w:cstheme="minorBidi"/>
          <w:noProof/>
          <w:kern w:val="2"/>
          <w:sz w:val="22"/>
          <w:szCs w:val="24"/>
          <w14:ligatures w14:val="standardContextual"/>
        </w:rPr>
      </w:pPr>
      <w:hyperlink w:anchor="_Toc230099570" w:history="1">
        <w:r>
          <w:rPr>
            <w:rStyle w:val="af0"/>
            <w:rFonts w:ascii="Times New Roman" w:hAnsi="Times New Roman"/>
            <w:noProof/>
          </w:rPr>
          <w:t xml:space="preserve">1.3 </w:t>
        </w:r>
        <w:r>
          <w:rPr>
            <w:rStyle w:val="af0"/>
            <w:rFonts w:ascii="Times New Roman" w:hAnsi="Times New Roman"/>
            <w:noProof/>
          </w:rPr>
          <w:t>研究目的、问题与思路</w:t>
        </w:r>
        <w:r>
          <w:rPr>
            <w:noProof/>
          </w:rPr>
          <w:tab/>
        </w:r>
        <w:r>
          <w:rPr>
            <w:noProof/>
          </w:rPr>
          <w:fldChar w:fldCharType="begin"/>
        </w:r>
        <w:r>
          <w:rPr>
            <w:noProof/>
          </w:rPr>
          <w:instrText xml:space="preserve"> PAGEREF _Toc230099570 \h </w:instrText>
        </w:r>
        <w:r>
          <w:rPr>
            <w:noProof/>
          </w:rPr>
        </w:r>
        <w:r>
          <w:rPr>
            <w:noProof/>
          </w:rPr>
          <w:fldChar w:fldCharType="separate"/>
        </w:r>
        <w:r w:rsidR="00DC2E20">
          <w:rPr>
            <w:noProof/>
          </w:rPr>
          <w:t>3</w:t>
        </w:r>
        <w:r>
          <w:rPr>
            <w:noProof/>
          </w:rPr>
          <w:fldChar w:fldCharType="end"/>
        </w:r>
      </w:hyperlink>
    </w:p>
    <w:p w:rsidR="005211C0" w:rsidRDefault="00000000">
      <w:pPr>
        <w:pStyle w:val="TOC2"/>
        <w:jc w:val="both"/>
        <w:rPr>
          <w:rFonts w:asciiTheme="minorHAnsi" w:eastAsiaTheme="minorEastAsia" w:hAnsiTheme="minorHAnsi" w:cstheme="minorBidi"/>
          <w:noProof/>
          <w:kern w:val="2"/>
          <w:sz w:val="22"/>
          <w:szCs w:val="24"/>
          <w14:ligatures w14:val="standardContextual"/>
        </w:rPr>
      </w:pPr>
      <w:hyperlink w:anchor="_Toc230099571" w:history="1">
        <w:r>
          <w:rPr>
            <w:rStyle w:val="af0"/>
            <w:rFonts w:ascii="Times New Roman" w:hAnsi="Times New Roman"/>
            <w:noProof/>
          </w:rPr>
          <w:t>1.4</w:t>
        </w:r>
        <w:r>
          <w:rPr>
            <w:rStyle w:val="af0"/>
            <w:rFonts w:ascii="Times New Roman" w:hAnsi="Times New Roman"/>
            <w:noProof/>
          </w:rPr>
          <w:t>创新点</w:t>
        </w:r>
        <w:r>
          <w:rPr>
            <w:noProof/>
          </w:rPr>
          <w:tab/>
        </w:r>
        <w:r>
          <w:rPr>
            <w:noProof/>
          </w:rPr>
          <w:fldChar w:fldCharType="begin"/>
        </w:r>
        <w:r>
          <w:rPr>
            <w:noProof/>
          </w:rPr>
          <w:instrText xml:space="preserve"> PAGEREF _Toc230099571 \h </w:instrText>
        </w:r>
        <w:r>
          <w:rPr>
            <w:noProof/>
          </w:rPr>
        </w:r>
        <w:r>
          <w:rPr>
            <w:noProof/>
          </w:rPr>
          <w:fldChar w:fldCharType="separate"/>
        </w:r>
        <w:r w:rsidR="00DC2E20">
          <w:rPr>
            <w:noProof/>
          </w:rPr>
          <w:t>4</w:t>
        </w:r>
        <w:r>
          <w:rPr>
            <w:noProof/>
          </w:rPr>
          <w:fldChar w:fldCharType="end"/>
        </w:r>
      </w:hyperlink>
    </w:p>
    <w:p w:rsidR="005211C0" w:rsidRDefault="00000000">
      <w:pPr>
        <w:pStyle w:val="TOC1"/>
        <w:tabs>
          <w:tab w:val="right" w:leader="dot" w:pos="9060"/>
        </w:tabs>
        <w:ind w:firstLineChars="0" w:firstLine="0"/>
        <w:jc w:val="both"/>
        <w:rPr>
          <w:rStyle w:val="af0"/>
          <w:noProof/>
        </w:rPr>
      </w:pPr>
      <w:hyperlink w:anchor="_Toc230099572" w:history="1">
        <w:r>
          <w:rPr>
            <w:rStyle w:val="af0"/>
            <w:noProof/>
          </w:rPr>
          <w:t>2研究区概况</w:t>
        </w:r>
        <w:r>
          <w:rPr>
            <w:rStyle w:val="af0"/>
            <w:noProof/>
          </w:rPr>
          <w:tab/>
        </w:r>
        <w:r>
          <w:rPr>
            <w:rStyle w:val="af0"/>
            <w:noProof/>
          </w:rPr>
          <w:fldChar w:fldCharType="begin"/>
        </w:r>
        <w:r>
          <w:rPr>
            <w:rStyle w:val="af0"/>
            <w:noProof/>
          </w:rPr>
          <w:instrText xml:space="preserve"> PAGEREF _Toc230099572 \h </w:instrText>
        </w:r>
        <w:r>
          <w:rPr>
            <w:rStyle w:val="af0"/>
            <w:noProof/>
          </w:rPr>
        </w:r>
        <w:r>
          <w:rPr>
            <w:rStyle w:val="af0"/>
            <w:noProof/>
          </w:rPr>
          <w:fldChar w:fldCharType="separate"/>
        </w:r>
        <w:r w:rsidR="00DC2E20">
          <w:rPr>
            <w:rStyle w:val="af0"/>
            <w:noProof/>
          </w:rPr>
          <w:t>5</w:t>
        </w:r>
        <w:r>
          <w:rPr>
            <w:rStyle w:val="af0"/>
            <w:noProof/>
          </w:rPr>
          <w:fldChar w:fldCharType="end"/>
        </w:r>
      </w:hyperlink>
    </w:p>
    <w:p w:rsidR="005211C0" w:rsidRDefault="00000000">
      <w:pPr>
        <w:pStyle w:val="TOC2"/>
        <w:jc w:val="both"/>
        <w:rPr>
          <w:rFonts w:asciiTheme="minorHAnsi" w:eastAsiaTheme="minorEastAsia" w:hAnsiTheme="minorHAnsi" w:cstheme="minorBidi"/>
          <w:noProof/>
          <w:kern w:val="2"/>
          <w:sz w:val="22"/>
          <w:szCs w:val="24"/>
          <w14:ligatures w14:val="standardContextual"/>
        </w:rPr>
      </w:pPr>
      <w:hyperlink w:anchor="_Toc230099573" w:history="1">
        <w:r>
          <w:rPr>
            <w:rStyle w:val="af0"/>
            <w:rFonts w:ascii="Times New Roman" w:hAnsi="Times New Roman"/>
            <w:noProof/>
          </w:rPr>
          <w:t xml:space="preserve">2.1 </w:t>
        </w:r>
        <w:r>
          <w:rPr>
            <w:rStyle w:val="af0"/>
            <w:rFonts w:ascii="Times New Roman" w:hAnsi="Times New Roman"/>
            <w:noProof/>
          </w:rPr>
          <w:t>地理位置与范围</w:t>
        </w:r>
        <w:r>
          <w:rPr>
            <w:noProof/>
          </w:rPr>
          <w:tab/>
        </w:r>
        <w:r>
          <w:rPr>
            <w:noProof/>
          </w:rPr>
          <w:fldChar w:fldCharType="begin"/>
        </w:r>
        <w:r>
          <w:rPr>
            <w:noProof/>
          </w:rPr>
          <w:instrText xml:space="preserve"> PAGEREF _Toc230099573 \h </w:instrText>
        </w:r>
        <w:r>
          <w:rPr>
            <w:noProof/>
          </w:rPr>
        </w:r>
        <w:r>
          <w:rPr>
            <w:noProof/>
          </w:rPr>
          <w:fldChar w:fldCharType="separate"/>
        </w:r>
        <w:r w:rsidR="00DC2E20">
          <w:rPr>
            <w:noProof/>
          </w:rPr>
          <w:t>5</w:t>
        </w:r>
        <w:r>
          <w:rPr>
            <w:noProof/>
          </w:rPr>
          <w:fldChar w:fldCharType="end"/>
        </w:r>
      </w:hyperlink>
    </w:p>
    <w:p w:rsidR="005211C0" w:rsidRDefault="00000000">
      <w:pPr>
        <w:pStyle w:val="TOC2"/>
        <w:jc w:val="both"/>
        <w:rPr>
          <w:rFonts w:asciiTheme="minorHAnsi" w:eastAsiaTheme="minorEastAsia" w:hAnsiTheme="minorHAnsi" w:cstheme="minorBidi"/>
          <w:noProof/>
          <w:kern w:val="2"/>
          <w:sz w:val="22"/>
          <w:szCs w:val="24"/>
          <w14:ligatures w14:val="standardContextual"/>
        </w:rPr>
      </w:pPr>
      <w:hyperlink w:anchor="_Toc230099574" w:history="1">
        <w:r>
          <w:rPr>
            <w:rStyle w:val="af0"/>
            <w:rFonts w:ascii="Times New Roman" w:hAnsi="Times New Roman"/>
            <w:noProof/>
          </w:rPr>
          <w:t>2.2</w:t>
        </w:r>
        <w:r>
          <w:rPr>
            <w:rStyle w:val="af0"/>
            <w:rFonts w:ascii="Times New Roman" w:hAnsi="Times New Roman"/>
            <w:noProof/>
          </w:rPr>
          <w:t>自然与人文特征</w:t>
        </w:r>
        <w:r>
          <w:rPr>
            <w:noProof/>
          </w:rPr>
          <w:tab/>
        </w:r>
        <w:r>
          <w:rPr>
            <w:noProof/>
          </w:rPr>
          <w:fldChar w:fldCharType="begin"/>
        </w:r>
        <w:r>
          <w:rPr>
            <w:noProof/>
          </w:rPr>
          <w:instrText xml:space="preserve"> PAGEREF _Toc230099574 \h </w:instrText>
        </w:r>
        <w:r>
          <w:rPr>
            <w:noProof/>
          </w:rPr>
        </w:r>
        <w:r>
          <w:rPr>
            <w:noProof/>
          </w:rPr>
          <w:fldChar w:fldCharType="separate"/>
        </w:r>
        <w:r w:rsidR="00DC2E20">
          <w:rPr>
            <w:noProof/>
          </w:rPr>
          <w:t>5</w:t>
        </w:r>
        <w:r>
          <w:rPr>
            <w:noProof/>
          </w:rPr>
          <w:fldChar w:fldCharType="end"/>
        </w:r>
      </w:hyperlink>
    </w:p>
    <w:p w:rsidR="005211C0" w:rsidRDefault="00000000">
      <w:pPr>
        <w:pStyle w:val="TOC1"/>
        <w:tabs>
          <w:tab w:val="right" w:leader="dot" w:pos="9060"/>
        </w:tabs>
        <w:ind w:firstLineChars="0" w:firstLine="0"/>
        <w:jc w:val="both"/>
        <w:rPr>
          <w:rStyle w:val="af0"/>
          <w:noProof/>
        </w:rPr>
      </w:pPr>
      <w:hyperlink w:anchor="_Toc230099575" w:history="1">
        <w:r>
          <w:rPr>
            <w:rStyle w:val="af0"/>
            <w:noProof/>
          </w:rPr>
          <w:t>3数据来源与研究方法</w:t>
        </w:r>
        <w:r>
          <w:rPr>
            <w:rStyle w:val="af0"/>
            <w:noProof/>
          </w:rPr>
          <w:tab/>
        </w:r>
        <w:r>
          <w:rPr>
            <w:rStyle w:val="af0"/>
            <w:noProof/>
          </w:rPr>
          <w:fldChar w:fldCharType="begin"/>
        </w:r>
        <w:r>
          <w:rPr>
            <w:rStyle w:val="af0"/>
            <w:noProof/>
          </w:rPr>
          <w:instrText xml:space="preserve"> PAGEREF _Toc230099575 \h </w:instrText>
        </w:r>
        <w:r>
          <w:rPr>
            <w:rStyle w:val="af0"/>
            <w:noProof/>
          </w:rPr>
        </w:r>
        <w:r>
          <w:rPr>
            <w:rStyle w:val="af0"/>
            <w:noProof/>
          </w:rPr>
          <w:fldChar w:fldCharType="separate"/>
        </w:r>
        <w:r w:rsidR="00DC2E20">
          <w:rPr>
            <w:rStyle w:val="af0"/>
            <w:noProof/>
          </w:rPr>
          <w:t>6</w:t>
        </w:r>
        <w:r>
          <w:rPr>
            <w:rStyle w:val="af0"/>
            <w:noProof/>
          </w:rPr>
          <w:fldChar w:fldCharType="end"/>
        </w:r>
      </w:hyperlink>
    </w:p>
    <w:p w:rsidR="005211C0" w:rsidRDefault="00000000">
      <w:pPr>
        <w:pStyle w:val="TOC2"/>
        <w:jc w:val="both"/>
        <w:rPr>
          <w:rFonts w:asciiTheme="minorHAnsi" w:eastAsiaTheme="minorEastAsia" w:hAnsiTheme="minorHAnsi" w:cstheme="minorBidi"/>
          <w:noProof/>
          <w:kern w:val="2"/>
          <w:sz w:val="22"/>
          <w:szCs w:val="24"/>
          <w14:ligatures w14:val="standardContextual"/>
        </w:rPr>
      </w:pPr>
      <w:hyperlink w:anchor="_Toc230099576" w:history="1">
        <w:r>
          <w:rPr>
            <w:rStyle w:val="af0"/>
            <w:rFonts w:ascii="Times New Roman" w:hAnsi="Times New Roman"/>
            <w:noProof/>
          </w:rPr>
          <w:t xml:space="preserve">3.1 </w:t>
        </w:r>
        <w:r>
          <w:rPr>
            <w:rStyle w:val="af0"/>
            <w:rFonts w:ascii="Times New Roman" w:hAnsi="Times New Roman"/>
            <w:noProof/>
          </w:rPr>
          <w:t>数据来源与预处理</w:t>
        </w:r>
        <w:r>
          <w:rPr>
            <w:noProof/>
          </w:rPr>
          <w:tab/>
        </w:r>
        <w:r>
          <w:rPr>
            <w:noProof/>
          </w:rPr>
          <w:fldChar w:fldCharType="begin"/>
        </w:r>
        <w:r>
          <w:rPr>
            <w:noProof/>
          </w:rPr>
          <w:instrText xml:space="preserve"> PAGEREF _Toc230099576 \h </w:instrText>
        </w:r>
        <w:r>
          <w:rPr>
            <w:noProof/>
          </w:rPr>
        </w:r>
        <w:r>
          <w:rPr>
            <w:noProof/>
          </w:rPr>
          <w:fldChar w:fldCharType="separate"/>
        </w:r>
        <w:r w:rsidR="00DC2E20">
          <w:rPr>
            <w:noProof/>
          </w:rPr>
          <w:t>6</w:t>
        </w:r>
        <w:r>
          <w:rPr>
            <w:noProof/>
          </w:rPr>
          <w:fldChar w:fldCharType="end"/>
        </w:r>
      </w:hyperlink>
    </w:p>
    <w:p w:rsidR="005211C0" w:rsidRDefault="00000000">
      <w:pPr>
        <w:pStyle w:val="TOC2"/>
        <w:jc w:val="both"/>
        <w:rPr>
          <w:rFonts w:asciiTheme="minorHAnsi" w:eastAsiaTheme="minorEastAsia" w:hAnsiTheme="minorHAnsi" w:cstheme="minorBidi"/>
          <w:noProof/>
          <w:kern w:val="2"/>
          <w:sz w:val="22"/>
          <w:szCs w:val="24"/>
          <w14:ligatures w14:val="standardContextual"/>
        </w:rPr>
      </w:pPr>
      <w:hyperlink w:anchor="_Toc230099577" w:history="1">
        <w:r>
          <w:rPr>
            <w:rStyle w:val="af0"/>
            <w:rFonts w:ascii="Times New Roman" w:hAnsi="Times New Roman"/>
            <w:noProof/>
          </w:rPr>
          <w:t xml:space="preserve">3.2 SDGs </w:t>
        </w:r>
        <w:r>
          <w:rPr>
            <w:rStyle w:val="af0"/>
            <w:rFonts w:ascii="Times New Roman" w:hAnsi="Times New Roman"/>
            <w:noProof/>
          </w:rPr>
          <w:t>空间支撑条件评价指标体系</w:t>
        </w:r>
        <w:r>
          <w:rPr>
            <w:noProof/>
          </w:rPr>
          <w:tab/>
        </w:r>
        <w:r>
          <w:rPr>
            <w:noProof/>
          </w:rPr>
          <w:fldChar w:fldCharType="begin"/>
        </w:r>
        <w:r>
          <w:rPr>
            <w:noProof/>
          </w:rPr>
          <w:instrText xml:space="preserve"> PAGEREF _Toc230099577 \h </w:instrText>
        </w:r>
        <w:r>
          <w:rPr>
            <w:noProof/>
          </w:rPr>
        </w:r>
        <w:r>
          <w:rPr>
            <w:noProof/>
          </w:rPr>
          <w:fldChar w:fldCharType="separate"/>
        </w:r>
        <w:r w:rsidR="00DC2E20">
          <w:rPr>
            <w:noProof/>
          </w:rPr>
          <w:t>7</w:t>
        </w:r>
        <w:r>
          <w:rPr>
            <w:noProof/>
          </w:rPr>
          <w:fldChar w:fldCharType="end"/>
        </w:r>
      </w:hyperlink>
    </w:p>
    <w:p w:rsidR="005211C0" w:rsidRDefault="00000000">
      <w:pPr>
        <w:pStyle w:val="TOC2"/>
        <w:jc w:val="both"/>
        <w:rPr>
          <w:rFonts w:asciiTheme="minorHAnsi" w:eastAsiaTheme="minorEastAsia" w:hAnsiTheme="minorHAnsi" w:cstheme="minorBidi"/>
          <w:noProof/>
          <w:kern w:val="2"/>
          <w:sz w:val="22"/>
          <w:szCs w:val="24"/>
          <w14:ligatures w14:val="standardContextual"/>
        </w:rPr>
      </w:pPr>
      <w:hyperlink w:anchor="_Toc230099578" w:history="1">
        <w:r>
          <w:rPr>
            <w:rStyle w:val="af0"/>
            <w:rFonts w:ascii="Times New Roman" w:hAnsi="Times New Roman"/>
            <w:noProof/>
          </w:rPr>
          <w:t xml:space="preserve">3.3 </w:t>
        </w:r>
        <w:r>
          <w:rPr>
            <w:rStyle w:val="af0"/>
            <w:rFonts w:ascii="Times New Roman" w:hAnsi="Times New Roman"/>
            <w:noProof/>
          </w:rPr>
          <w:t>熵权</w:t>
        </w:r>
        <w:r>
          <w:rPr>
            <w:rStyle w:val="af0"/>
            <w:rFonts w:ascii="Times New Roman" w:hAnsi="Times New Roman"/>
            <w:noProof/>
          </w:rPr>
          <w:t xml:space="preserve"> TOPSIS </w:t>
        </w:r>
        <w:r>
          <w:rPr>
            <w:rStyle w:val="af0"/>
            <w:rFonts w:ascii="Times New Roman" w:hAnsi="Times New Roman"/>
            <w:noProof/>
          </w:rPr>
          <w:t>综合评价</w:t>
        </w:r>
        <w:r>
          <w:rPr>
            <w:noProof/>
          </w:rPr>
          <w:tab/>
        </w:r>
        <w:r>
          <w:rPr>
            <w:noProof/>
          </w:rPr>
          <w:fldChar w:fldCharType="begin"/>
        </w:r>
        <w:r>
          <w:rPr>
            <w:noProof/>
          </w:rPr>
          <w:instrText xml:space="preserve"> PAGEREF _Toc230099578 \h </w:instrText>
        </w:r>
        <w:r>
          <w:rPr>
            <w:noProof/>
          </w:rPr>
        </w:r>
        <w:r>
          <w:rPr>
            <w:noProof/>
          </w:rPr>
          <w:fldChar w:fldCharType="separate"/>
        </w:r>
        <w:r w:rsidR="00DC2E20">
          <w:rPr>
            <w:noProof/>
          </w:rPr>
          <w:t>9</w:t>
        </w:r>
        <w:r>
          <w:rPr>
            <w:noProof/>
          </w:rPr>
          <w:fldChar w:fldCharType="end"/>
        </w:r>
      </w:hyperlink>
    </w:p>
    <w:p w:rsidR="005211C0" w:rsidRDefault="00000000">
      <w:pPr>
        <w:pStyle w:val="TOC2"/>
        <w:jc w:val="both"/>
        <w:rPr>
          <w:rFonts w:asciiTheme="minorHAnsi" w:eastAsiaTheme="minorEastAsia" w:hAnsiTheme="minorHAnsi" w:cstheme="minorBidi"/>
          <w:noProof/>
          <w:kern w:val="2"/>
          <w:sz w:val="22"/>
          <w:szCs w:val="24"/>
          <w14:ligatures w14:val="standardContextual"/>
        </w:rPr>
      </w:pPr>
      <w:hyperlink w:anchor="_Toc230099579" w:history="1">
        <w:r>
          <w:rPr>
            <w:rStyle w:val="af0"/>
            <w:rFonts w:ascii="Times New Roman" w:hAnsi="Times New Roman"/>
            <w:noProof/>
          </w:rPr>
          <w:t xml:space="preserve">3.4 ESDA </w:t>
        </w:r>
        <w:r>
          <w:rPr>
            <w:rStyle w:val="af0"/>
            <w:rFonts w:ascii="Times New Roman" w:hAnsi="Times New Roman"/>
            <w:noProof/>
          </w:rPr>
          <w:t>探索性空间数据分析</w:t>
        </w:r>
        <w:r>
          <w:rPr>
            <w:noProof/>
          </w:rPr>
          <w:tab/>
        </w:r>
        <w:r>
          <w:rPr>
            <w:noProof/>
          </w:rPr>
          <w:fldChar w:fldCharType="begin"/>
        </w:r>
        <w:r>
          <w:rPr>
            <w:noProof/>
          </w:rPr>
          <w:instrText xml:space="preserve"> PAGEREF _Toc230099579 \h </w:instrText>
        </w:r>
        <w:r>
          <w:rPr>
            <w:noProof/>
          </w:rPr>
        </w:r>
        <w:r>
          <w:rPr>
            <w:noProof/>
          </w:rPr>
          <w:fldChar w:fldCharType="separate"/>
        </w:r>
        <w:r w:rsidR="00DC2E20">
          <w:rPr>
            <w:noProof/>
          </w:rPr>
          <w:t>10</w:t>
        </w:r>
        <w:r>
          <w:rPr>
            <w:noProof/>
          </w:rPr>
          <w:fldChar w:fldCharType="end"/>
        </w:r>
      </w:hyperlink>
    </w:p>
    <w:p w:rsidR="005211C0" w:rsidRDefault="00000000">
      <w:pPr>
        <w:pStyle w:val="TOC1"/>
        <w:tabs>
          <w:tab w:val="right" w:leader="dot" w:pos="9060"/>
        </w:tabs>
        <w:ind w:firstLineChars="0" w:firstLine="0"/>
        <w:jc w:val="both"/>
        <w:rPr>
          <w:rStyle w:val="af0"/>
          <w:noProof/>
        </w:rPr>
      </w:pPr>
      <w:hyperlink w:anchor="_Toc230099580" w:history="1">
        <w:r>
          <w:rPr>
            <w:rStyle w:val="af0"/>
            <w:noProof/>
          </w:rPr>
          <w:t>4结果</w:t>
        </w:r>
        <w:r>
          <w:rPr>
            <w:rStyle w:val="af0"/>
            <w:noProof/>
          </w:rPr>
          <w:tab/>
        </w:r>
        <w:r>
          <w:rPr>
            <w:rStyle w:val="af0"/>
            <w:noProof/>
          </w:rPr>
          <w:fldChar w:fldCharType="begin"/>
        </w:r>
        <w:r>
          <w:rPr>
            <w:rStyle w:val="af0"/>
            <w:noProof/>
          </w:rPr>
          <w:instrText xml:space="preserve"> PAGEREF _Toc230099580 \h </w:instrText>
        </w:r>
        <w:r>
          <w:rPr>
            <w:rStyle w:val="af0"/>
            <w:noProof/>
          </w:rPr>
        </w:r>
        <w:r>
          <w:rPr>
            <w:rStyle w:val="af0"/>
            <w:noProof/>
          </w:rPr>
          <w:fldChar w:fldCharType="separate"/>
        </w:r>
        <w:r w:rsidR="00DC2E20">
          <w:rPr>
            <w:rStyle w:val="af0"/>
            <w:noProof/>
          </w:rPr>
          <w:t>10</w:t>
        </w:r>
        <w:r>
          <w:rPr>
            <w:rStyle w:val="af0"/>
            <w:noProof/>
          </w:rPr>
          <w:fldChar w:fldCharType="end"/>
        </w:r>
      </w:hyperlink>
    </w:p>
    <w:p w:rsidR="005211C0" w:rsidRDefault="00000000">
      <w:pPr>
        <w:pStyle w:val="TOC2"/>
        <w:jc w:val="both"/>
        <w:rPr>
          <w:rFonts w:asciiTheme="minorHAnsi" w:eastAsiaTheme="minorEastAsia" w:hAnsiTheme="minorHAnsi" w:cstheme="minorBidi"/>
          <w:noProof/>
          <w:kern w:val="2"/>
          <w:sz w:val="22"/>
          <w:szCs w:val="24"/>
          <w14:ligatures w14:val="standardContextual"/>
        </w:rPr>
      </w:pPr>
      <w:hyperlink w:anchor="_Toc230099581" w:history="1">
        <w:r>
          <w:rPr>
            <w:rStyle w:val="af0"/>
            <w:rFonts w:ascii="Times New Roman" w:hAnsi="Times New Roman"/>
            <w:noProof/>
          </w:rPr>
          <w:t xml:space="preserve">4.1 </w:t>
        </w:r>
        <w:r>
          <w:rPr>
            <w:rStyle w:val="af0"/>
            <w:rFonts w:ascii="Times New Roman" w:hAnsi="Times New Roman"/>
            <w:noProof/>
          </w:rPr>
          <w:t>综合指数时空格局</w:t>
        </w:r>
        <w:r>
          <w:rPr>
            <w:noProof/>
          </w:rPr>
          <w:tab/>
        </w:r>
        <w:r>
          <w:rPr>
            <w:noProof/>
          </w:rPr>
          <w:fldChar w:fldCharType="begin"/>
        </w:r>
        <w:r>
          <w:rPr>
            <w:noProof/>
          </w:rPr>
          <w:instrText xml:space="preserve"> PAGEREF _Toc230099581 \h </w:instrText>
        </w:r>
        <w:r>
          <w:rPr>
            <w:noProof/>
          </w:rPr>
        </w:r>
        <w:r>
          <w:rPr>
            <w:noProof/>
          </w:rPr>
          <w:fldChar w:fldCharType="separate"/>
        </w:r>
        <w:r w:rsidR="00DC2E20">
          <w:rPr>
            <w:noProof/>
          </w:rPr>
          <w:t>10</w:t>
        </w:r>
        <w:r>
          <w:rPr>
            <w:noProof/>
          </w:rPr>
          <w:fldChar w:fldCharType="end"/>
        </w:r>
      </w:hyperlink>
    </w:p>
    <w:p w:rsidR="005211C0" w:rsidRDefault="00000000">
      <w:pPr>
        <w:pStyle w:val="TOC2"/>
        <w:jc w:val="both"/>
        <w:rPr>
          <w:rFonts w:asciiTheme="minorHAnsi" w:eastAsiaTheme="minorEastAsia" w:hAnsiTheme="minorHAnsi" w:cstheme="minorBidi"/>
          <w:noProof/>
          <w:kern w:val="2"/>
          <w:sz w:val="22"/>
          <w:szCs w:val="24"/>
          <w14:ligatures w14:val="standardContextual"/>
        </w:rPr>
      </w:pPr>
      <w:hyperlink w:anchor="_Toc230099582" w:history="1">
        <w:r>
          <w:rPr>
            <w:rStyle w:val="af0"/>
            <w:rFonts w:ascii="Times New Roman" w:hAnsi="Times New Roman"/>
            <w:noProof/>
          </w:rPr>
          <w:t>4.2 ESDA</w:t>
        </w:r>
        <w:r>
          <w:rPr>
            <w:rStyle w:val="af0"/>
            <w:rFonts w:ascii="Times New Roman" w:hAnsi="Times New Roman"/>
            <w:noProof/>
          </w:rPr>
          <w:t>空间集聚特征</w:t>
        </w:r>
        <w:r>
          <w:rPr>
            <w:noProof/>
          </w:rPr>
          <w:tab/>
        </w:r>
        <w:r>
          <w:rPr>
            <w:noProof/>
          </w:rPr>
          <w:fldChar w:fldCharType="begin"/>
        </w:r>
        <w:r>
          <w:rPr>
            <w:noProof/>
          </w:rPr>
          <w:instrText xml:space="preserve"> PAGEREF _Toc230099582 \h </w:instrText>
        </w:r>
        <w:r>
          <w:rPr>
            <w:noProof/>
          </w:rPr>
        </w:r>
        <w:r>
          <w:rPr>
            <w:noProof/>
          </w:rPr>
          <w:fldChar w:fldCharType="separate"/>
        </w:r>
        <w:r w:rsidR="00DC2E20">
          <w:rPr>
            <w:noProof/>
          </w:rPr>
          <w:t>12</w:t>
        </w:r>
        <w:r>
          <w:rPr>
            <w:noProof/>
          </w:rPr>
          <w:fldChar w:fldCharType="end"/>
        </w:r>
      </w:hyperlink>
    </w:p>
    <w:p w:rsidR="005211C0" w:rsidRDefault="00000000">
      <w:pPr>
        <w:pStyle w:val="TOC2"/>
        <w:jc w:val="both"/>
        <w:rPr>
          <w:rFonts w:asciiTheme="minorHAnsi" w:eastAsiaTheme="minorEastAsia" w:hAnsiTheme="minorHAnsi" w:cstheme="minorBidi"/>
          <w:noProof/>
          <w:kern w:val="2"/>
          <w:sz w:val="22"/>
          <w:szCs w:val="24"/>
          <w14:ligatures w14:val="standardContextual"/>
        </w:rPr>
      </w:pPr>
      <w:hyperlink w:anchor="_Toc230099583" w:history="1">
        <w:r>
          <w:rPr>
            <w:rStyle w:val="af0"/>
            <w:rFonts w:ascii="Times New Roman" w:hAnsi="Times New Roman"/>
            <w:noProof/>
          </w:rPr>
          <w:t xml:space="preserve">4.3 </w:t>
        </w:r>
        <w:r>
          <w:rPr>
            <w:rStyle w:val="af0"/>
            <w:rFonts w:ascii="Times New Roman" w:hAnsi="Times New Roman"/>
            <w:noProof/>
          </w:rPr>
          <w:t>维度组合分析</w:t>
        </w:r>
        <w:r>
          <w:rPr>
            <w:noProof/>
          </w:rPr>
          <w:tab/>
        </w:r>
        <w:r>
          <w:rPr>
            <w:noProof/>
          </w:rPr>
          <w:fldChar w:fldCharType="begin"/>
        </w:r>
        <w:r>
          <w:rPr>
            <w:noProof/>
          </w:rPr>
          <w:instrText xml:space="preserve"> PAGEREF _Toc230099583 \h </w:instrText>
        </w:r>
        <w:r>
          <w:rPr>
            <w:noProof/>
          </w:rPr>
        </w:r>
        <w:r>
          <w:rPr>
            <w:noProof/>
          </w:rPr>
          <w:fldChar w:fldCharType="separate"/>
        </w:r>
        <w:r w:rsidR="00DC2E20">
          <w:rPr>
            <w:noProof/>
          </w:rPr>
          <w:t>14</w:t>
        </w:r>
        <w:r>
          <w:rPr>
            <w:noProof/>
          </w:rPr>
          <w:fldChar w:fldCharType="end"/>
        </w:r>
      </w:hyperlink>
    </w:p>
    <w:p w:rsidR="005211C0" w:rsidRDefault="00000000">
      <w:pPr>
        <w:pStyle w:val="TOC1"/>
        <w:tabs>
          <w:tab w:val="right" w:leader="dot" w:pos="9060"/>
        </w:tabs>
        <w:ind w:firstLineChars="0" w:firstLine="0"/>
        <w:jc w:val="both"/>
        <w:rPr>
          <w:rStyle w:val="af0"/>
          <w:noProof/>
        </w:rPr>
      </w:pPr>
      <w:hyperlink w:anchor="_Toc230099584" w:history="1">
        <w:r>
          <w:rPr>
            <w:rStyle w:val="af0"/>
            <w:noProof/>
          </w:rPr>
          <w:t>5讨论</w:t>
        </w:r>
        <w:r>
          <w:rPr>
            <w:rStyle w:val="af0"/>
            <w:noProof/>
          </w:rPr>
          <w:tab/>
        </w:r>
        <w:r>
          <w:rPr>
            <w:rStyle w:val="af0"/>
            <w:noProof/>
          </w:rPr>
          <w:fldChar w:fldCharType="begin"/>
        </w:r>
        <w:r>
          <w:rPr>
            <w:rStyle w:val="af0"/>
            <w:noProof/>
          </w:rPr>
          <w:instrText xml:space="preserve"> PAGEREF _Toc230099584 \h </w:instrText>
        </w:r>
        <w:r>
          <w:rPr>
            <w:rStyle w:val="af0"/>
            <w:noProof/>
          </w:rPr>
        </w:r>
        <w:r>
          <w:rPr>
            <w:rStyle w:val="af0"/>
            <w:noProof/>
          </w:rPr>
          <w:fldChar w:fldCharType="separate"/>
        </w:r>
        <w:r w:rsidR="00DC2E20">
          <w:rPr>
            <w:rStyle w:val="af0"/>
            <w:noProof/>
          </w:rPr>
          <w:t>15</w:t>
        </w:r>
        <w:r>
          <w:rPr>
            <w:rStyle w:val="af0"/>
            <w:noProof/>
          </w:rPr>
          <w:fldChar w:fldCharType="end"/>
        </w:r>
      </w:hyperlink>
    </w:p>
    <w:p w:rsidR="005211C0" w:rsidRDefault="00000000">
      <w:pPr>
        <w:pStyle w:val="TOC2"/>
        <w:jc w:val="both"/>
        <w:rPr>
          <w:rFonts w:asciiTheme="minorHAnsi" w:eastAsiaTheme="minorEastAsia" w:hAnsiTheme="minorHAnsi" w:cstheme="minorBidi"/>
          <w:noProof/>
          <w:kern w:val="2"/>
          <w:sz w:val="22"/>
          <w:szCs w:val="24"/>
          <w14:ligatures w14:val="standardContextual"/>
        </w:rPr>
      </w:pPr>
      <w:hyperlink w:anchor="_Toc230099585" w:history="1">
        <w:r>
          <w:rPr>
            <w:rStyle w:val="af0"/>
            <w:rFonts w:ascii="Times New Roman" w:hAnsi="Times New Roman"/>
            <w:noProof/>
          </w:rPr>
          <w:t xml:space="preserve">5.1 </w:t>
        </w:r>
        <w:r>
          <w:rPr>
            <w:rStyle w:val="af0"/>
            <w:rFonts w:ascii="Times New Roman" w:hAnsi="Times New Roman"/>
            <w:noProof/>
          </w:rPr>
          <w:t>网格尺度与</w:t>
        </w:r>
        <w:r>
          <w:rPr>
            <w:rStyle w:val="af0"/>
            <w:rFonts w:ascii="Times New Roman" w:hAnsi="Times New Roman"/>
            <w:noProof/>
          </w:rPr>
          <w:t>ESDA</w:t>
        </w:r>
        <w:r>
          <w:rPr>
            <w:rStyle w:val="af0"/>
            <w:rFonts w:ascii="Times New Roman" w:hAnsi="Times New Roman"/>
            <w:noProof/>
          </w:rPr>
          <w:t>的解释意义</w:t>
        </w:r>
        <w:r>
          <w:rPr>
            <w:noProof/>
          </w:rPr>
          <w:tab/>
        </w:r>
        <w:r>
          <w:rPr>
            <w:noProof/>
          </w:rPr>
          <w:fldChar w:fldCharType="begin"/>
        </w:r>
        <w:r>
          <w:rPr>
            <w:noProof/>
          </w:rPr>
          <w:instrText xml:space="preserve"> PAGEREF _Toc230099585 \h </w:instrText>
        </w:r>
        <w:r>
          <w:rPr>
            <w:noProof/>
          </w:rPr>
        </w:r>
        <w:r>
          <w:rPr>
            <w:noProof/>
          </w:rPr>
          <w:fldChar w:fldCharType="separate"/>
        </w:r>
        <w:r w:rsidR="00DC2E20">
          <w:rPr>
            <w:noProof/>
          </w:rPr>
          <w:t>15</w:t>
        </w:r>
        <w:r>
          <w:rPr>
            <w:noProof/>
          </w:rPr>
          <w:fldChar w:fldCharType="end"/>
        </w:r>
      </w:hyperlink>
    </w:p>
    <w:p w:rsidR="005211C0" w:rsidRDefault="00000000">
      <w:pPr>
        <w:pStyle w:val="TOC2"/>
        <w:jc w:val="both"/>
        <w:rPr>
          <w:rFonts w:asciiTheme="minorHAnsi" w:eastAsiaTheme="minorEastAsia" w:hAnsiTheme="minorHAnsi" w:cstheme="minorBidi"/>
          <w:noProof/>
          <w:kern w:val="2"/>
          <w:sz w:val="22"/>
          <w:szCs w:val="24"/>
          <w14:ligatures w14:val="standardContextual"/>
        </w:rPr>
      </w:pPr>
      <w:hyperlink w:anchor="_Toc230099586" w:history="1">
        <w:r>
          <w:rPr>
            <w:rStyle w:val="af0"/>
            <w:rFonts w:ascii="Times New Roman" w:hAnsi="Times New Roman"/>
            <w:noProof/>
          </w:rPr>
          <w:t xml:space="preserve">5.2 </w:t>
        </w:r>
        <w:r>
          <w:rPr>
            <w:rStyle w:val="af0"/>
            <w:rFonts w:ascii="Times New Roman" w:hAnsi="Times New Roman"/>
            <w:noProof/>
          </w:rPr>
          <w:t>高低值集聚区的短板结构与空间含义</w:t>
        </w:r>
        <w:r>
          <w:rPr>
            <w:noProof/>
          </w:rPr>
          <w:tab/>
        </w:r>
        <w:r>
          <w:rPr>
            <w:noProof/>
          </w:rPr>
          <w:fldChar w:fldCharType="begin"/>
        </w:r>
        <w:r>
          <w:rPr>
            <w:noProof/>
          </w:rPr>
          <w:instrText xml:space="preserve"> PAGEREF _Toc230099586 \h </w:instrText>
        </w:r>
        <w:r>
          <w:rPr>
            <w:noProof/>
          </w:rPr>
        </w:r>
        <w:r>
          <w:rPr>
            <w:noProof/>
          </w:rPr>
          <w:fldChar w:fldCharType="separate"/>
        </w:r>
        <w:r w:rsidR="00DC2E20">
          <w:rPr>
            <w:noProof/>
          </w:rPr>
          <w:t>15</w:t>
        </w:r>
        <w:r>
          <w:rPr>
            <w:noProof/>
          </w:rPr>
          <w:fldChar w:fldCharType="end"/>
        </w:r>
      </w:hyperlink>
    </w:p>
    <w:p w:rsidR="005211C0" w:rsidRDefault="00000000">
      <w:pPr>
        <w:pStyle w:val="TOC2"/>
        <w:jc w:val="both"/>
        <w:rPr>
          <w:rFonts w:asciiTheme="minorHAnsi" w:eastAsiaTheme="minorEastAsia" w:hAnsiTheme="minorHAnsi" w:cstheme="minorBidi"/>
          <w:noProof/>
          <w:kern w:val="2"/>
          <w:sz w:val="22"/>
          <w:szCs w:val="24"/>
          <w14:ligatures w14:val="standardContextual"/>
        </w:rPr>
      </w:pPr>
      <w:hyperlink w:anchor="_Toc230099587" w:history="1">
        <w:r>
          <w:rPr>
            <w:rStyle w:val="af0"/>
            <w:rFonts w:ascii="Times New Roman" w:hAnsi="Times New Roman"/>
            <w:noProof/>
          </w:rPr>
          <w:t xml:space="preserve">5.3 </w:t>
        </w:r>
        <w:r>
          <w:rPr>
            <w:rStyle w:val="af0"/>
            <w:rFonts w:ascii="Times New Roman" w:hAnsi="Times New Roman"/>
            <w:noProof/>
          </w:rPr>
          <w:t>中俄两侧的优势、短板与互补基础</w:t>
        </w:r>
        <w:r>
          <w:rPr>
            <w:noProof/>
          </w:rPr>
          <w:tab/>
        </w:r>
        <w:r>
          <w:rPr>
            <w:noProof/>
          </w:rPr>
          <w:fldChar w:fldCharType="begin"/>
        </w:r>
        <w:r>
          <w:rPr>
            <w:noProof/>
          </w:rPr>
          <w:instrText xml:space="preserve"> PAGEREF _Toc230099587 \h </w:instrText>
        </w:r>
        <w:r>
          <w:rPr>
            <w:noProof/>
          </w:rPr>
        </w:r>
        <w:r>
          <w:rPr>
            <w:noProof/>
          </w:rPr>
          <w:fldChar w:fldCharType="separate"/>
        </w:r>
        <w:r w:rsidR="00DC2E20">
          <w:rPr>
            <w:noProof/>
          </w:rPr>
          <w:t>16</w:t>
        </w:r>
        <w:r>
          <w:rPr>
            <w:noProof/>
          </w:rPr>
          <w:fldChar w:fldCharType="end"/>
        </w:r>
      </w:hyperlink>
    </w:p>
    <w:p w:rsidR="005211C0" w:rsidRDefault="00000000">
      <w:pPr>
        <w:pStyle w:val="TOC2"/>
        <w:jc w:val="both"/>
        <w:rPr>
          <w:rFonts w:asciiTheme="minorHAnsi" w:eastAsiaTheme="minorEastAsia" w:hAnsiTheme="minorHAnsi" w:cstheme="minorBidi"/>
          <w:noProof/>
          <w:kern w:val="2"/>
          <w:sz w:val="22"/>
          <w:szCs w:val="24"/>
          <w14:ligatures w14:val="standardContextual"/>
        </w:rPr>
      </w:pPr>
      <w:hyperlink w:anchor="_Toc230099588" w:history="1">
        <w:r>
          <w:rPr>
            <w:rStyle w:val="af0"/>
            <w:rFonts w:ascii="Times New Roman" w:hAnsi="Times New Roman"/>
            <w:noProof/>
          </w:rPr>
          <w:t xml:space="preserve">5.4 </w:t>
        </w:r>
        <w:r>
          <w:rPr>
            <w:rStyle w:val="af0"/>
            <w:rFonts w:ascii="Times New Roman" w:hAnsi="Times New Roman"/>
            <w:noProof/>
          </w:rPr>
          <w:t>外部性、制度边界与跨境共治需求</w:t>
        </w:r>
        <w:r>
          <w:rPr>
            <w:noProof/>
          </w:rPr>
          <w:tab/>
        </w:r>
        <w:r>
          <w:rPr>
            <w:noProof/>
          </w:rPr>
          <w:fldChar w:fldCharType="begin"/>
        </w:r>
        <w:r>
          <w:rPr>
            <w:noProof/>
          </w:rPr>
          <w:instrText xml:space="preserve"> PAGEREF _Toc230099588 \h </w:instrText>
        </w:r>
        <w:r>
          <w:rPr>
            <w:noProof/>
          </w:rPr>
        </w:r>
        <w:r>
          <w:rPr>
            <w:noProof/>
          </w:rPr>
          <w:fldChar w:fldCharType="separate"/>
        </w:r>
        <w:r w:rsidR="00DC2E20">
          <w:rPr>
            <w:noProof/>
          </w:rPr>
          <w:t>17</w:t>
        </w:r>
        <w:r>
          <w:rPr>
            <w:noProof/>
          </w:rPr>
          <w:fldChar w:fldCharType="end"/>
        </w:r>
      </w:hyperlink>
    </w:p>
    <w:p w:rsidR="005211C0" w:rsidRDefault="00000000">
      <w:pPr>
        <w:pStyle w:val="TOC2"/>
        <w:jc w:val="both"/>
        <w:rPr>
          <w:rFonts w:asciiTheme="minorHAnsi" w:eastAsiaTheme="minorEastAsia" w:hAnsiTheme="minorHAnsi" w:cstheme="minorBidi"/>
          <w:noProof/>
          <w:kern w:val="2"/>
          <w:sz w:val="22"/>
          <w:szCs w:val="24"/>
          <w14:ligatures w14:val="standardContextual"/>
        </w:rPr>
      </w:pPr>
      <w:hyperlink w:anchor="_Toc230099589" w:history="1">
        <w:r>
          <w:rPr>
            <w:rStyle w:val="af0"/>
            <w:rFonts w:ascii="Times New Roman" w:hAnsi="Times New Roman"/>
            <w:noProof/>
          </w:rPr>
          <w:t xml:space="preserve">5.5 </w:t>
        </w:r>
        <w:r>
          <w:rPr>
            <w:rStyle w:val="af0"/>
            <w:rFonts w:ascii="Times New Roman" w:hAnsi="Times New Roman"/>
            <w:noProof/>
          </w:rPr>
          <w:t>共同挑战、差异化风险与协同治理路径</w:t>
        </w:r>
        <w:r>
          <w:rPr>
            <w:noProof/>
          </w:rPr>
          <w:tab/>
        </w:r>
        <w:r>
          <w:rPr>
            <w:noProof/>
          </w:rPr>
          <w:fldChar w:fldCharType="begin"/>
        </w:r>
        <w:r>
          <w:rPr>
            <w:noProof/>
          </w:rPr>
          <w:instrText xml:space="preserve"> PAGEREF _Toc230099589 \h </w:instrText>
        </w:r>
        <w:r>
          <w:rPr>
            <w:noProof/>
          </w:rPr>
        </w:r>
        <w:r>
          <w:rPr>
            <w:noProof/>
          </w:rPr>
          <w:fldChar w:fldCharType="separate"/>
        </w:r>
        <w:r w:rsidR="00DC2E20">
          <w:rPr>
            <w:noProof/>
          </w:rPr>
          <w:t>18</w:t>
        </w:r>
        <w:r>
          <w:rPr>
            <w:noProof/>
          </w:rPr>
          <w:fldChar w:fldCharType="end"/>
        </w:r>
      </w:hyperlink>
    </w:p>
    <w:p w:rsidR="005211C0" w:rsidRDefault="00000000">
      <w:pPr>
        <w:pStyle w:val="TOC1"/>
        <w:tabs>
          <w:tab w:val="right" w:leader="dot" w:pos="9060"/>
        </w:tabs>
        <w:ind w:firstLineChars="0" w:firstLine="0"/>
        <w:jc w:val="both"/>
        <w:rPr>
          <w:rStyle w:val="af0"/>
          <w:noProof/>
        </w:rPr>
      </w:pPr>
      <w:hyperlink w:anchor="_Toc230099590" w:history="1">
        <w:r>
          <w:rPr>
            <w:rStyle w:val="af0"/>
            <w:noProof/>
          </w:rPr>
          <w:t>6结论与展望</w:t>
        </w:r>
        <w:r>
          <w:rPr>
            <w:rStyle w:val="af0"/>
            <w:noProof/>
          </w:rPr>
          <w:tab/>
        </w:r>
        <w:r>
          <w:rPr>
            <w:rStyle w:val="af0"/>
            <w:noProof/>
          </w:rPr>
          <w:fldChar w:fldCharType="begin"/>
        </w:r>
        <w:r>
          <w:rPr>
            <w:rStyle w:val="af0"/>
            <w:noProof/>
          </w:rPr>
          <w:instrText xml:space="preserve"> PAGEREF _Toc230099590 \h </w:instrText>
        </w:r>
        <w:r>
          <w:rPr>
            <w:rStyle w:val="af0"/>
            <w:noProof/>
          </w:rPr>
        </w:r>
        <w:r>
          <w:rPr>
            <w:rStyle w:val="af0"/>
            <w:noProof/>
          </w:rPr>
          <w:fldChar w:fldCharType="separate"/>
        </w:r>
        <w:r w:rsidR="00DC2E20">
          <w:rPr>
            <w:rStyle w:val="af0"/>
            <w:noProof/>
          </w:rPr>
          <w:t>19</w:t>
        </w:r>
        <w:r>
          <w:rPr>
            <w:rStyle w:val="af0"/>
            <w:noProof/>
          </w:rPr>
          <w:fldChar w:fldCharType="end"/>
        </w:r>
      </w:hyperlink>
    </w:p>
    <w:p w:rsidR="005211C0" w:rsidRDefault="00000000">
      <w:pPr>
        <w:pStyle w:val="TOC2"/>
        <w:jc w:val="both"/>
        <w:rPr>
          <w:rFonts w:asciiTheme="minorHAnsi" w:eastAsiaTheme="minorEastAsia" w:hAnsiTheme="minorHAnsi" w:cstheme="minorBidi"/>
          <w:noProof/>
          <w:kern w:val="2"/>
          <w:sz w:val="22"/>
          <w:szCs w:val="24"/>
          <w14:ligatures w14:val="standardContextual"/>
        </w:rPr>
      </w:pPr>
      <w:hyperlink w:anchor="_Toc230099591" w:history="1">
        <w:r>
          <w:rPr>
            <w:rStyle w:val="af0"/>
            <w:rFonts w:ascii="Times New Roman" w:hAnsi="Times New Roman"/>
            <w:noProof/>
          </w:rPr>
          <w:t xml:space="preserve">6.1 </w:t>
        </w:r>
        <w:r>
          <w:rPr>
            <w:rStyle w:val="af0"/>
            <w:rFonts w:ascii="Times New Roman" w:hAnsi="Times New Roman"/>
            <w:noProof/>
          </w:rPr>
          <w:t>核心研究结论</w:t>
        </w:r>
        <w:r>
          <w:rPr>
            <w:noProof/>
          </w:rPr>
          <w:tab/>
        </w:r>
        <w:r>
          <w:rPr>
            <w:noProof/>
          </w:rPr>
          <w:fldChar w:fldCharType="begin"/>
        </w:r>
        <w:r>
          <w:rPr>
            <w:noProof/>
          </w:rPr>
          <w:instrText xml:space="preserve"> PAGEREF _Toc230099591 \h </w:instrText>
        </w:r>
        <w:r>
          <w:rPr>
            <w:noProof/>
          </w:rPr>
        </w:r>
        <w:r>
          <w:rPr>
            <w:noProof/>
          </w:rPr>
          <w:fldChar w:fldCharType="separate"/>
        </w:r>
        <w:r w:rsidR="00DC2E20">
          <w:rPr>
            <w:noProof/>
          </w:rPr>
          <w:t>19</w:t>
        </w:r>
        <w:r>
          <w:rPr>
            <w:noProof/>
          </w:rPr>
          <w:fldChar w:fldCharType="end"/>
        </w:r>
      </w:hyperlink>
    </w:p>
    <w:p w:rsidR="005211C0" w:rsidRDefault="00000000">
      <w:pPr>
        <w:pStyle w:val="TOC2"/>
        <w:jc w:val="both"/>
        <w:rPr>
          <w:rFonts w:asciiTheme="minorHAnsi" w:eastAsiaTheme="minorEastAsia" w:hAnsiTheme="minorHAnsi" w:cstheme="minorBidi"/>
          <w:noProof/>
          <w:kern w:val="2"/>
          <w:sz w:val="22"/>
          <w:szCs w:val="24"/>
          <w14:ligatures w14:val="standardContextual"/>
        </w:rPr>
      </w:pPr>
      <w:hyperlink w:anchor="_Toc230099592" w:history="1">
        <w:r>
          <w:rPr>
            <w:rStyle w:val="af0"/>
            <w:rFonts w:ascii="Times New Roman" w:hAnsi="Times New Roman"/>
            <w:noProof/>
          </w:rPr>
          <w:t>6.2</w:t>
        </w:r>
        <w:r>
          <w:rPr>
            <w:rStyle w:val="af0"/>
            <w:rFonts w:ascii="Times New Roman" w:hAnsi="Times New Roman"/>
            <w:noProof/>
          </w:rPr>
          <w:t>研究局限与未来展望</w:t>
        </w:r>
        <w:r>
          <w:rPr>
            <w:noProof/>
          </w:rPr>
          <w:tab/>
        </w:r>
        <w:r>
          <w:rPr>
            <w:noProof/>
          </w:rPr>
          <w:fldChar w:fldCharType="begin"/>
        </w:r>
        <w:r>
          <w:rPr>
            <w:noProof/>
          </w:rPr>
          <w:instrText xml:space="preserve"> PAGEREF _Toc230099592 \h </w:instrText>
        </w:r>
        <w:r>
          <w:rPr>
            <w:noProof/>
          </w:rPr>
        </w:r>
        <w:r>
          <w:rPr>
            <w:noProof/>
          </w:rPr>
          <w:fldChar w:fldCharType="separate"/>
        </w:r>
        <w:r w:rsidR="00DC2E20">
          <w:rPr>
            <w:noProof/>
          </w:rPr>
          <w:t>20</w:t>
        </w:r>
        <w:r>
          <w:rPr>
            <w:noProof/>
          </w:rPr>
          <w:fldChar w:fldCharType="end"/>
        </w:r>
      </w:hyperlink>
    </w:p>
    <w:p w:rsidR="005211C0" w:rsidRDefault="00000000">
      <w:pPr>
        <w:pStyle w:val="TOC1"/>
        <w:tabs>
          <w:tab w:val="right" w:leader="dot" w:pos="9060"/>
        </w:tabs>
        <w:ind w:firstLineChars="0" w:firstLine="0"/>
        <w:jc w:val="both"/>
        <w:rPr>
          <w:rStyle w:val="af0"/>
          <w:noProof/>
        </w:rPr>
      </w:pPr>
      <w:hyperlink w:anchor="_Toc230099593" w:history="1">
        <w:r>
          <w:rPr>
            <w:rStyle w:val="af0"/>
            <w:noProof/>
          </w:rPr>
          <w:t>参考文献</w:t>
        </w:r>
        <w:r>
          <w:rPr>
            <w:rStyle w:val="af0"/>
            <w:noProof/>
          </w:rPr>
          <w:tab/>
        </w:r>
        <w:r>
          <w:rPr>
            <w:rStyle w:val="af0"/>
            <w:noProof/>
          </w:rPr>
          <w:fldChar w:fldCharType="begin"/>
        </w:r>
        <w:r>
          <w:rPr>
            <w:rStyle w:val="af0"/>
            <w:noProof/>
          </w:rPr>
          <w:instrText xml:space="preserve"> PAGEREF _Toc230099593 \h </w:instrText>
        </w:r>
        <w:r>
          <w:rPr>
            <w:rStyle w:val="af0"/>
            <w:noProof/>
          </w:rPr>
        </w:r>
        <w:r>
          <w:rPr>
            <w:rStyle w:val="af0"/>
            <w:noProof/>
          </w:rPr>
          <w:fldChar w:fldCharType="separate"/>
        </w:r>
        <w:r w:rsidR="00DC2E20">
          <w:rPr>
            <w:rStyle w:val="af0"/>
            <w:noProof/>
          </w:rPr>
          <w:t>21</w:t>
        </w:r>
        <w:r>
          <w:rPr>
            <w:rStyle w:val="af0"/>
            <w:noProof/>
          </w:rPr>
          <w:fldChar w:fldCharType="end"/>
        </w:r>
      </w:hyperlink>
    </w:p>
    <w:p w:rsidR="005211C0" w:rsidRDefault="00000000">
      <w:pPr>
        <w:pStyle w:val="TOC1"/>
        <w:tabs>
          <w:tab w:val="right" w:leader="dot" w:pos="9060"/>
        </w:tabs>
        <w:ind w:firstLineChars="0" w:firstLine="0"/>
        <w:jc w:val="both"/>
        <w:rPr>
          <w:rStyle w:val="af0"/>
          <w:noProof/>
        </w:rPr>
      </w:pPr>
      <w:hyperlink w:anchor="_Toc230099594" w:history="1">
        <w:r>
          <w:rPr>
            <w:rStyle w:val="af0"/>
            <w:noProof/>
          </w:rPr>
          <w:t>致　　谢</w:t>
        </w:r>
        <w:r>
          <w:rPr>
            <w:rStyle w:val="af0"/>
            <w:noProof/>
          </w:rPr>
          <w:tab/>
        </w:r>
        <w:r>
          <w:rPr>
            <w:rStyle w:val="af0"/>
            <w:noProof/>
          </w:rPr>
          <w:fldChar w:fldCharType="begin"/>
        </w:r>
        <w:r>
          <w:rPr>
            <w:rStyle w:val="af0"/>
            <w:noProof/>
          </w:rPr>
          <w:instrText xml:space="preserve"> PAGEREF _Toc230099594 \h </w:instrText>
        </w:r>
        <w:r>
          <w:rPr>
            <w:rStyle w:val="af0"/>
            <w:noProof/>
          </w:rPr>
        </w:r>
        <w:r>
          <w:rPr>
            <w:rStyle w:val="af0"/>
            <w:noProof/>
          </w:rPr>
          <w:fldChar w:fldCharType="separate"/>
        </w:r>
        <w:r w:rsidR="00DC2E20">
          <w:rPr>
            <w:rStyle w:val="af0"/>
            <w:noProof/>
          </w:rPr>
          <w:t>25</w:t>
        </w:r>
        <w:r>
          <w:rPr>
            <w:rStyle w:val="af0"/>
            <w:noProof/>
          </w:rPr>
          <w:fldChar w:fldCharType="end"/>
        </w:r>
      </w:hyperlink>
    </w:p>
    <w:p w:rsidR="005211C0" w:rsidRDefault="00000000">
      <w:pPr>
        <w:pStyle w:val="TOC1"/>
        <w:tabs>
          <w:tab w:val="right" w:leader="dot" w:pos="9060"/>
        </w:tabs>
        <w:ind w:firstLineChars="0" w:firstLine="0"/>
        <w:jc w:val="both"/>
        <w:rPr>
          <w:rStyle w:val="af0"/>
          <w:noProof/>
        </w:rPr>
      </w:pPr>
      <w:hyperlink w:anchor="_Toc230099595" w:history="1">
        <w:r>
          <w:rPr>
            <w:rStyle w:val="af0"/>
            <w:noProof/>
          </w:rPr>
          <w:t>附　　录</w:t>
        </w:r>
        <w:r>
          <w:rPr>
            <w:rStyle w:val="af0"/>
            <w:noProof/>
          </w:rPr>
          <w:tab/>
        </w:r>
        <w:r>
          <w:rPr>
            <w:rStyle w:val="af0"/>
            <w:noProof/>
          </w:rPr>
          <w:fldChar w:fldCharType="begin"/>
        </w:r>
        <w:r>
          <w:rPr>
            <w:rStyle w:val="af0"/>
            <w:noProof/>
          </w:rPr>
          <w:instrText xml:space="preserve"> PAGEREF _Toc230099595 \h </w:instrText>
        </w:r>
        <w:r>
          <w:rPr>
            <w:rStyle w:val="af0"/>
            <w:noProof/>
          </w:rPr>
        </w:r>
        <w:r>
          <w:rPr>
            <w:rStyle w:val="af0"/>
            <w:noProof/>
          </w:rPr>
          <w:fldChar w:fldCharType="separate"/>
        </w:r>
        <w:r w:rsidR="00DC2E20">
          <w:rPr>
            <w:rStyle w:val="af0"/>
            <w:noProof/>
          </w:rPr>
          <w:t>26</w:t>
        </w:r>
        <w:r>
          <w:rPr>
            <w:rStyle w:val="af0"/>
            <w:noProof/>
          </w:rPr>
          <w:fldChar w:fldCharType="end"/>
        </w:r>
      </w:hyperlink>
    </w:p>
    <w:p w:rsidR="005211C0" w:rsidRDefault="00000000">
      <w:pPr>
        <w:pStyle w:val="TOC1"/>
        <w:tabs>
          <w:tab w:val="right" w:leader="dot" w:pos="9060"/>
        </w:tabs>
        <w:ind w:firstLine="560"/>
        <w:jc w:val="both"/>
        <w:rPr>
          <w:rFonts w:asciiTheme="minorHAnsi" w:eastAsiaTheme="minorEastAsia" w:hAnsiTheme="minorHAnsi" w:cstheme="minorBidi"/>
          <w:bCs w:val="0"/>
          <w:sz w:val="22"/>
          <w:szCs w:val="24"/>
          <w14:ligatures w14:val="standardContextual"/>
        </w:rPr>
        <w:sectPr w:rsidR="005211C0">
          <w:type w:val="continuous"/>
          <w:pgSz w:w="11906" w:h="16838"/>
          <w:pgMar w:top="1418" w:right="1418" w:bottom="1418" w:left="1418" w:header="992" w:footer="992" w:gutter="0"/>
          <w:pgNumType w:fmt="upperRoman"/>
          <w:cols w:space="425"/>
          <w:docGrid w:type="lines" w:linePitch="312"/>
        </w:sectPr>
      </w:pPr>
      <w:r>
        <w:fldChar w:fldCharType="end"/>
      </w:r>
    </w:p>
    <w:p w:rsidR="005211C0" w:rsidRDefault="00000000">
      <w:pPr>
        <w:pStyle w:val="1"/>
        <w:ind w:firstLineChars="0" w:firstLine="0"/>
        <w:jc w:val="both"/>
      </w:pPr>
      <w:bookmarkStart w:id="0" w:name="_Toc230099567"/>
      <w:r>
        <w:rPr>
          <w:rFonts w:ascii="Times New Roman" w:hAnsi="Times New Roman"/>
        </w:rPr>
        <w:lastRenderedPageBreak/>
        <w:t>1</w:t>
      </w:r>
      <w:r>
        <w:t xml:space="preserve"> </w:t>
      </w:r>
      <w:r>
        <w:rPr>
          <w:rFonts w:hint="eastAsia"/>
        </w:rPr>
        <w:t>引</w:t>
      </w:r>
      <w:r>
        <w:t>言</w:t>
      </w:r>
      <w:bookmarkEnd w:id="0"/>
    </w:p>
    <w:p w:rsidR="005211C0" w:rsidRDefault="00000000">
      <w:pPr>
        <w:pStyle w:val="2"/>
        <w:ind w:leftChars="-1" w:left="-2" w:firstLineChars="0" w:firstLine="2"/>
        <w:jc w:val="both"/>
      </w:pPr>
      <w:bookmarkStart w:id="1" w:name="_Toc230099568"/>
      <w:r>
        <w:rPr>
          <w:rFonts w:ascii="Times New Roman" w:hAnsi="Times New Roman"/>
        </w:rPr>
        <w:t>1.1</w:t>
      </w:r>
      <w:r>
        <w:t>研究背景</w:t>
      </w:r>
      <w:r>
        <w:rPr>
          <w:rFonts w:hint="eastAsia"/>
        </w:rPr>
        <w:t>与意义</w:t>
      </w:r>
      <w:bookmarkEnd w:id="1"/>
    </w:p>
    <w:p w:rsidR="005211C0" w:rsidRDefault="00000000">
      <w:pPr>
        <w:ind w:firstLine="480"/>
        <w:jc w:val="both"/>
      </w:pPr>
      <w:r>
        <w:rPr>
          <w:rFonts w:hint="eastAsia"/>
        </w:rPr>
        <w:t>联合国《</w:t>
      </w:r>
      <w:r>
        <w:rPr>
          <w:rFonts w:hint="eastAsia"/>
        </w:rPr>
        <w:t xml:space="preserve">2030 </w:t>
      </w:r>
      <w:r>
        <w:rPr>
          <w:rFonts w:hint="eastAsia"/>
        </w:rPr>
        <w:t>年可持续发展议程》提出后，可持续发展目标（</w:t>
      </w:r>
      <w:r>
        <w:rPr>
          <w:rFonts w:hint="eastAsia"/>
        </w:rPr>
        <w:t>Sustainable Development Goals</w:t>
      </w:r>
      <w:r>
        <w:rPr>
          <w:rFonts w:hint="eastAsia"/>
        </w:rPr>
        <w:t>，</w:t>
      </w:r>
      <w:r>
        <w:rPr>
          <w:rFonts w:hint="eastAsia"/>
        </w:rPr>
        <w:t>SDGs</w:t>
      </w:r>
      <w:r>
        <w:rPr>
          <w:rFonts w:hint="eastAsia"/>
        </w:rPr>
        <w:t>）逐渐成为衡量区域发展、生态保护、社会福祉和治理能力的重要框架</w:t>
      </w:r>
      <w:r>
        <w:rPr>
          <w:rFonts w:hint="eastAsia"/>
        </w:rPr>
        <w:t>[1]</w:t>
      </w:r>
      <w:r>
        <w:rPr>
          <w:rFonts w:hint="eastAsia"/>
        </w:rPr>
        <w:t>。不过，现有</w:t>
      </w:r>
      <w:r>
        <w:rPr>
          <w:rFonts w:hint="eastAsia"/>
        </w:rPr>
        <w:t xml:space="preserve"> SDGs </w:t>
      </w:r>
      <w:r>
        <w:rPr>
          <w:rFonts w:hint="eastAsia"/>
        </w:rPr>
        <w:t>评价多以国家、省级行政区或城市为基本单元，更适合开展宏观比较</w:t>
      </w:r>
      <w:r>
        <w:rPr>
          <w:rFonts w:hint="eastAsia"/>
        </w:rPr>
        <w:t>[2</w:t>
      </w:r>
      <w:r>
        <w:rPr>
          <w:rFonts w:hint="eastAsia"/>
        </w:rPr>
        <w:t>–</w:t>
      </w:r>
      <w:r>
        <w:rPr>
          <w:rFonts w:hint="eastAsia"/>
        </w:rPr>
        <w:t>5]</w:t>
      </w:r>
      <w:r>
        <w:rPr>
          <w:rFonts w:hint="eastAsia"/>
        </w:rPr>
        <w:t>。对于中国东北—俄罗斯远东这类跨境区域，行政区均值往往难以呈现口岸节点、交通走廊、农业平原、山地森林和低密度腹地之间的差异，局地空间支撑条件也容易被平均值掩盖。</w:t>
      </w:r>
    </w:p>
    <w:p w:rsidR="005211C0" w:rsidRDefault="00000000">
      <w:pPr>
        <w:ind w:firstLine="480"/>
        <w:jc w:val="both"/>
      </w:pPr>
      <w:r>
        <w:rPr>
          <w:rFonts w:hint="eastAsia"/>
        </w:rPr>
        <w:t>跨境地区是</w:t>
      </w:r>
      <w:r>
        <w:rPr>
          <w:rFonts w:hint="eastAsia"/>
        </w:rPr>
        <w:t xml:space="preserve"> SDGs </w:t>
      </w:r>
      <w:r>
        <w:rPr>
          <w:rFonts w:hint="eastAsia"/>
        </w:rPr>
        <w:t>地方化评价中的特殊评价对象。一方面，行政边界可能割裂连续的生态系统和资源空间；另一方面，口岸、通道和城市节点又会强化跨境联系。中国东北—俄罗斯远东跨境区域位于东北亚重要接触带，连接黑龙江、乌苏里江、额尔古纳河等边界水系以及中国东北、内蒙古东部和俄罗斯远东南部、外贝加尔等区域，是中俄战略合作和中蒙俄经济走廊建设的重要空间</w:t>
      </w:r>
      <w:r>
        <w:rPr>
          <w:rFonts w:hint="eastAsia"/>
        </w:rPr>
        <w:t>[6</w:t>
      </w:r>
      <w:r>
        <w:rPr>
          <w:rFonts w:hint="eastAsia"/>
        </w:rPr>
        <w:t>–</w:t>
      </w:r>
      <w:r>
        <w:rPr>
          <w:rFonts w:hint="eastAsia"/>
        </w:rPr>
        <w:t>7]</w:t>
      </w:r>
      <w:r>
        <w:rPr>
          <w:rFonts w:hint="eastAsia"/>
        </w:rPr>
        <w:t>。</w:t>
      </w:r>
    </w:p>
    <w:p w:rsidR="005211C0" w:rsidRDefault="00000000">
      <w:pPr>
        <w:ind w:firstLine="480"/>
        <w:jc w:val="both"/>
      </w:pPr>
      <w:r>
        <w:rPr>
          <w:rFonts w:hint="eastAsia"/>
        </w:rPr>
        <w:t>从区域合作背景看，中蒙俄经济走廊是“一带一路”框架下的重要跨境合作通道，与中国东北振兴、俄罗斯远东开发和东北亚区域合作密切相关</w:t>
      </w:r>
      <w:r>
        <w:rPr>
          <w:rFonts w:hint="eastAsia"/>
        </w:rPr>
        <w:t>[8]</w:t>
      </w:r>
      <w:r>
        <w:rPr>
          <w:rFonts w:hint="eastAsia"/>
        </w:rPr>
        <w:t>。世界银行</w:t>
      </w:r>
      <w:r>
        <w:rPr>
          <w:rFonts w:hint="eastAsia"/>
        </w:rPr>
        <w:t xml:space="preserve"> 2023 </w:t>
      </w:r>
      <w:r>
        <w:rPr>
          <w:rFonts w:hint="eastAsia"/>
        </w:rPr>
        <w:t>年发布的《欧亚大陆经济走廊评估报告》指出，该走廊在中俄双边贸易运输中具有重要作用，并依托独特的地缘区位和资源禀赋形成能源与贸易联系通道</w:t>
      </w:r>
      <w:r>
        <w:rPr>
          <w:rFonts w:hint="eastAsia"/>
        </w:rPr>
        <w:t>[9]</w:t>
      </w:r>
      <w:r>
        <w:rPr>
          <w:rFonts w:hint="eastAsia"/>
        </w:rPr>
        <w:t>。但是，中俄两侧在资源禀赋、基础设施、人口分布和生态环境方面差异明显，既存在功能互补与协同治理需求，也面临人口流失、经济增长乏力、资源利用效率偏低和生态退化等压力</w:t>
      </w:r>
      <w:r>
        <w:rPr>
          <w:rFonts w:hint="eastAsia"/>
        </w:rPr>
        <w:t>[10</w:t>
      </w:r>
      <w:r>
        <w:rPr>
          <w:rFonts w:hint="eastAsia"/>
        </w:rPr>
        <w:t>–</w:t>
      </w:r>
      <w:r>
        <w:rPr>
          <w:rFonts w:hint="eastAsia"/>
        </w:rPr>
        <w:t>17]</w:t>
      </w:r>
      <w:r>
        <w:rPr>
          <w:rFonts w:hint="eastAsia"/>
        </w:rPr>
        <w:t>。因此，该区域不仅具有地缘合作意义，也需要更精细的空间证据支撑可持续发展与跨境治理。</w:t>
      </w:r>
    </w:p>
    <w:p w:rsidR="005211C0" w:rsidRDefault="00000000">
      <w:pPr>
        <w:ind w:firstLine="480"/>
        <w:jc w:val="both"/>
      </w:pPr>
      <w:r>
        <w:t>本文的研究意义主要体现在两个方面。理论上，本文将</w:t>
      </w:r>
      <w:r>
        <w:t xml:space="preserve"> SDGs </w:t>
      </w:r>
      <w:r>
        <w:t>评价从传统行政单元拓展到跨境连续空间，并以</w:t>
      </w:r>
      <w:r>
        <w:t xml:space="preserve"> 10 km </w:t>
      </w:r>
      <w:r>
        <w:t>网格为基本单元，有助于弥补国别或省州尺度评价难以揭示局地差异的不足。实践上，本文通过识别中国东北</w:t>
      </w:r>
      <w:r>
        <w:t>—</w:t>
      </w:r>
      <w:r>
        <w:t>俄罗斯远东跨境区域</w:t>
      </w:r>
      <w:r>
        <w:t xml:space="preserve"> SDGs </w:t>
      </w:r>
      <w:r>
        <w:t>空间支撑条件的高值区、低值区及其维度短板，可为口岸节点协同、交通走廊建设、生态共治和低密度腹地风险防控提供空间依据</w:t>
      </w:r>
      <w:r>
        <w:rPr>
          <w:rFonts w:hint="eastAsia"/>
        </w:rPr>
        <w:t>。</w:t>
      </w:r>
      <w:r>
        <w:t>从而服务边境地区差异化治理和东北亚区域合作。</w:t>
      </w:r>
    </w:p>
    <w:p w:rsidR="005211C0" w:rsidRDefault="00000000">
      <w:pPr>
        <w:pStyle w:val="2"/>
        <w:ind w:leftChars="-1" w:left="-2" w:firstLineChars="0" w:firstLine="2"/>
        <w:jc w:val="both"/>
        <w:rPr>
          <w:rFonts w:ascii="Times New Roman" w:hAnsi="Times New Roman"/>
        </w:rPr>
      </w:pPr>
      <w:bookmarkStart w:id="2" w:name="_Toc230099569"/>
      <w:r>
        <w:rPr>
          <w:rFonts w:ascii="Times New Roman" w:hAnsi="Times New Roman" w:hint="eastAsia"/>
        </w:rPr>
        <w:t xml:space="preserve">1.2 </w:t>
      </w:r>
      <w:r>
        <w:rPr>
          <w:rFonts w:ascii="Times New Roman" w:hAnsi="Times New Roman" w:hint="eastAsia"/>
        </w:rPr>
        <w:t>国内外研究综述与研究缺口</w:t>
      </w:r>
      <w:bookmarkEnd w:id="2"/>
    </w:p>
    <w:p w:rsidR="005211C0" w:rsidRDefault="00000000">
      <w:pPr>
        <w:ind w:firstLine="480"/>
        <w:jc w:val="both"/>
      </w:pPr>
      <w:r>
        <w:rPr>
          <w:rFonts w:hint="eastAsia"/>
        </w:rPr>
        <w:t xml:space="preserve">SDGs </w:t>
      </w:r>
      <w:r>
        <w:rPr>
          <w:rFonts w:hint="eastAsia"/>
        </w:rPr>
        <w:t>提供了以证据为基础的目标和指标框架，但官方指标体系主要面向国家、区域和全球尺度</w:t>
      </w:r>
      <w:r>
        <w:rPr>
          <w:rFonts w:hint="eastAsia"/>
        </w:rPr>
        <w:t>[1,18]</w:t>
      </w:r>
      <w:r>
        <w:rPr>
          <w:rFonts w:hint="eastAsia"/>
        </w:rPr>
        <w:t>。随着评价尺度下沉，指标数据可得性下降，官方指标往往需要结合</w:t>
      </w:r>
      <w:r>
        <w:rPr>
          <w:rFonts w:hint="eastAsia"/>
        </w:rPr>
        <w:lastRenderedPageBreak/>
        <w:t>地方实际进行调整。尤其在跨境地区，两侧统计制度、行政层级、数据口径和发布时间存在差异，直接照搬官方指标体系容易降低评价结果的可比性。因此，地方尺度</w:t>
      </w:r>
      <w:r>
        <w:rPr>
          <w:rFonts w:hint="eastAsia"/>
        </w:rPr>
        <w:t xml:space="preserve"> SDGs </w:t>
      </w:r>
      <w:r>
        <w:rPr>
          <w:rFonts w:hint="eastAsia"/>
        </w:rPr>
        <w:t>研究通常需要在官方框架基础上进行指标本地化，并明确代理变量与研究问题之间的对应关系</w:t>
      </w:r>
      <w:r>
        <w:rPr>
          <w:rFonts w:hint="eastAsia"/>
        </w:rPr>
        <w:t>[2,5,19,20]</w:t>
      </w:r>
      <w:r>
        <w:rPr>
          <w:rFonts w:hint="eastAsia"/>
        </w:rPr>
        <w:t>。</w:t>
      </w:r>
    </w:p>
    <w:p w:rsidR="005211C0" w:rsidRDefault="00000000">
      <w:pPr>
        <w:ind w:firstLine="480"/>
        <w:jc w:val="both"/>
      </w:pPr>
      <w:r>
        <w:rPr>
          <w:rFonts w:hint="eastAsia"/>
        </w:rPr>
        <w:t>近年来，地理空间信息在</w:t>
      </w:r>
      <w:r>
        <w:rPr>
          <w:rFonts w:hint="eastAsia"/>
        </w:rPr>
        <w:t xml:space="preserve"> SDGs </w:t>
      </w:r>
      <w:r>
        <w:rPr>
          <w:rFonts w:hint="eastAsia"/>
        </w:rPr>
        <w:t>监测中的作用不断增强。遥感影像、夜间灯光、人口栅格、土地覆盖、归一化植被指数（</w:t>
      </w:r>
      <w:r>
        <w:rPr>
          <w:rFonts w:hint="eastAsia"/>
        </w:rPr>
        <w:t>NDVI</w:t>
      </w:r>
      <w:r>
        <w:rPr>
          <w:rFonts w:hint="eastAsia"/>
        </w:rPr>
        <w:t>）和气候数据被广泛用于刻画人类活动、基础设施、生态质量和环境本底</w:t>
      </w:r>
      <w:r>
        <w:rPr>
          <w:rFonts w:hint="eastAsia"/>
        </w:rPr>
        <w:t>[21,22,23]</w:t>
      </w:r>
      <w:r>
        <w:rPr>
          <w:rFonts w:hint="eastAsia"/>
        </w:rPr>
        <w:t>。对于跨境地区而言，地理空间数据具有跨国覆盖和技术口径相对一致的优势，有助于减少统计制度差异带来的系统偏差。已有研究利用卫星影像和模型方法将</w:t>
      </w:r>
      <w:r>
        <w:rPr>
          <w:rFonts w:hint="eastAsia"/>
        </w:rPr>
        <w:t xml:space="preserve"> SDGs </w:t>
      </w:r>
      <w:r>
        <w:rPr>
          <w:rFonts w:hint="eastAsia"/>
        </w:rPr>
        <w:t>相关指数从国家尺度下放到次国家尺度，揭示国家均值可能掩盖城市中心、农村地区和边缘地区之间的差异</w:t>
      </w:r>
      <w:r>
        <w:rPr>
          <w:rFonts w:hint="eastAsia"/>
        </w:rPr>
        <w:t>[24]</w:t>
      </w:r>
      <w:r>
        <w:rPr>
          <w:rFonts w:hint="eastAsia"/>
        </w:rPr>
        <w:t>。这为网格尺度开展跨境</w:t>
      </w:r>
      <w:r>
        <w:rPr>
          <w:rFonts w:hint="eastAsia"/>
        </w:rPr>
        <w:t xml:space="preserve"> SDGs </w:t>
      </w:r>
      <w:r>
        <w:rPr>
          <w:rFonts w:hint="eastAsia"/>
        </w:rPr>
        <w:t>空间评价提供了方法参照。</w:t>
      </w:r>
    </w:p>
    <w:p w:rsidR="005211C0" w:rsidRDefault="00000000">
      <w:pPr>
        <w:ind w:firstLine="480"/>
        <w:jc w:val="both"/>
      </w:pPr>
      <w:r>
        <w:rPr>
          <w:rFonts w:hint="eastAsia"/>
        </w:rPr>
        <w:t>跨境区域研究强调边界两侧在资源、生态、交通和治理上的相互联系。中国东北与俄罗斯远东边境线长，两侧在资源开发、跨境贸易、界河治理和生态廊道等方面存在持续互动</w:t>
      </w:r>
      <w:r>
        <w:rPr>
          <w:rFonts w:hint="eastAsia"/>
        </w:rPr>
        <w:t>[25</w:t>
      </w:r>
      <w:r>
        <w:rPr>
          <w:rFonts w:hint="eastAsia"/>
        </w:rPr>
        <w:t>–</w:t>
      </w:r>
      <w:r>
        <w:rPr>
          <w:rFonts w:hint="eastAsia"/>
        </w:rPr>
        <w:t>27,28]</w:t>
      </w:r>
      <w:r>
        <w:rPr>
          <w:rFonts w:hint="eastAsia"/>
        </w:rPr>
        <w:t>。以黑龙江—阿穆尔河流域为例，流域上下游和边界两侧的人类活动可能共同影响水质、渔业资源和生态安全，这说明跨境可持续发展并不是封闭行政单元内部的单一问题，而是涉及不同区域、不同目标和不同治理主体之间的关系</w:t>
      </w:r>
      <w:r>
        <w:rPr>
          <w:rFonts w:hint="eastAsia"/>
        </w:rPr>
        <w:t>[27,28]</w:t>
      </w:r>
      <w:r>
        <w:rPr>
          <w:rFonts w:hint="eastAsia"/>
        </w:rPr>
        <w:t>。</w:t>
      </w:r>
    </w:p>
    <w:p w:rsidR="005211C0" w:rsidRDefault="00000000">
      <w:pPr>
        <w:ind w:firstLine="480"/>
        <w:jc w:val="both"/>
      </w:pPr>
      <w:r>
        <w:rPr>
          <w:rFonts w:hint="eastAsia"/>
        </w:rPr>
        <w:t>这一视角对中国东北—俄罗斯远东跨境区域尤为重要。两侧在资源、市场和交通通道上存在互补关系，但合作也受到距离中心市场较远、人口密度偏低、制度差异和生态约束等因素影响</w:t>
      </w:r>
      <w:r>
        <w:rPr>
          <w:rFonts w:hint="eastAsia"/>
        </w:rPr>
        <w:t>[11</w:t>
      </w:r>
      <w:r>
        <w:rPr>
          <w:rFonts w:hint="eastAsia"/>
        </w:rPr>
        <w:t>–</w:t>
      </w:r>
      <w:r>
        <w:rPr>
          <w:rFonts w:hint="eastAsia"/>
        </w:rPr>
        <w:t>13,29,30]</w:t>
      </w:r>
      <w:r>
        <w:rPr>
          <w:rFonts w:hint="eastAsia"/>
        </w:rPr>
        <w:t>。既有研究表明，中俄边境发展并非沿边界均匀展开，而是围绕口岸、城市和交通通道形成具有点轴特征的空间组织</w:t>
      </w:r>
      <w:r>
        <w:rPr>
          <w:rFonts w:hint="eastAsia"/>
        </w:rPr>
        <w:t>[12,14,17,31]</w:t>
      </w:r>
      <w:r>
        <w:rPr>
          <w:rFonts w:hint="eastAsia"/>
        </w:rPr>
        <w:t>。同时，中国东北平原和三江平原具有较强农业生产基础，俄罗斯远东南部和锡霍特山等区域具有森林、山地和生物多样性优势</w:t>
      </w:r>
      <w:r>
        <w:rPr>
          <w:rFonts w:hint="eastAsia"/>
        </w:rPr>
        <w:t>[10</w:t>
      </w:r>
      <w:r>
        <w:rPr>
          <w:rFonts w:hint="eastAsia"/>
        </w:rPr>
        <w:t>–</w:t>
      </w:r>
      <w:r>
        <w:rPr>
          <w:rFonts w:hint="eastAsia"/>
        </w:rPr>
        <w:t>12]</w:t>
      </w:r>
      <w:r>
        <w:rPr>
          <w:rFonts w:hint="eastAsia"/>
        </w:rPr>
        <w:t>。因此，对该区域</w:t>
      </w:r>
      <w:r>
        <w:rPr>
          <w:rFonts w:hint="eastAsia"/>
        </w:rPr>
        <w:t xml:space="preserve"> SDGs </w:t>
      </w:r>
      <w:r>
        <w:rPr>
          <w:rFonts w:hint="eastAsia"/>
        </w:rPr>
        <w:t>空间支撑条件的判断，需要关注口岸节点、交通走廊、农业平原、森林湿地和低密度腹地之间的组合关系。</w:t>
      </w:r>
    </w:p>
    <w:p w:rsidR="005211C0" w:rsidRDefault="00000000">
      <w:pPr>
        <w:ind w:firstLine="480"/>
        <w:jc w:val="both"/>
      </w:pPr>
      <w:r>
        <w:rPr>
          <w:rFonts w:hint="eastAsia"/>
        </w:rPr>
        <w:t>现有区域可持续发展评价大多基于指标体系的综合指数法，包括等权赋值、熵权法、主客观组合赋权等，优点是结果直观、便于横向和纵向比较，但评价结果容易受到指标选择、标准化方式和权重设定影响</w:t>
      </w:r>
      <w:r>
        <w:rPr>
          <w:rFonts w:hint="eastAsia"/>
        </w:rPr>
        <w:t>[2</w:t>
      </w:r>
      <w:r>
        <w:rPr>
          <w:rFonts w:hint="eastAsia"/>
        </w:rPr>
        <w:t>–</w:t>
      </w:r>
      <w:r>
        <w:rPr>
          <w:rFonts w:hint="eastAsia"/>
        </w:rPr>
        <w:t>4,32]</w:t>
      </w:r>
      <w:r>
        <w:rPr>
          <w:rFonts w:hint="eastAsia"/>
        </w:rPr>
        <w:t>。也有面向结构解释的分析方法，如障碍因子识别、维度短板分析和协同—权衡分析，能够进一步说明综合指数背后的优势与约束，但通常需要较完整的指标体系支撑。空间分析如</w:t>
      </w:r>
      <w:r>
        <w:rPr>
          <w:rFonts w:hint="eastAsia"/>
        </w:rPr>
        <w:t xml:space="preserve"> GIS </w:t>
      </w:r>
      <w:r>
        <w:rPr>
          <w:rFonts w:hint="eastAsia"/>
        </w:rPr>
        <w:t>分区统计、全局</w:t>
      </w:r>
      <w:r>
        <w:rPr>
          <w:rFonts w:hint="eastAsia"/>
        </w:rPr>
        <w:t xml:space="preserve"> Moran</w:t>
      </w:r>
      <w:r>
        <w:rPr>
          <w:rFonts w:hint="eastAsia"/>
        </w:rPr>
        <w:t>’</w:t>
      </w:r>
      <w:r>
        <w:rPr>
          <w:rFonts w:hint="eastAsia"/>
        </w:rPr>
        <w:t xml:space="preserve">s I </w:t>
      </w:r>
      <w:r>
        <w:rPr>
          <w:rFonts w:hint="eastAsia"/>
        </w:rPr>
        <w:t>和</w:t>
      </w:r>
      <w:r>
        <w:rPr>
          <w:rFonts w:hint="eastAsia"/>
        </w:rPr>
        <w:t xml:space="preserve"> LISA </w:t>
      </w:r>
      <w:r>
        <w:rPr>
          <w:rFonts w:hint="eastAsia"/>
        </w:rPr>
        <w:t>等相关研究较少，主要用于识别空间集聚、空间离群和局地异质性</w:t>
      </w:r>
      <w:r>
        <w:rPr>
          <w:rFonts w:hint="eastAsia"/>
        </w:rPr>
        <w:t>[28,33]</w:t>
      </w:r>
      <w:r>
        <w:rPr>
          <w:rFonts w:hint="eastAsia"/>
        </w:rPr>
        <w:t>。</w:t>
      </w:r>
    </w:p>
    <w:p w:rsidR="005211C0" w:rsidRDefault="00000000">
      <w:pPr>
        <w:ind w:firstLine="480"/>
        <w:jc w:val="both"/>
      </w:pPr>
      <w:r>
        <w:rPr>
          <w:rFonts w:hint="eastAsia"/>
        </w:rPr>
        <w:lastRenderedPageBreak/>
        <w:t>对于跨境区域而言，单一综合指数难以说明口岸节点、交通走廊、生态腹地和低密度地区之间的差异，仅做行政区均值比较也容易掩盖局地格局。因此，本文在综合指数评价基础上引入</w:t>
      </w:r>
      <w:r>
        <w:rPr>
          <w:rFonts w:hint="eastAsia"/>
        </w:rPr>
        <w:t xml:space="preserve"> ESDA </w:t>
      </w:r>
      <w:r>
        <w:rPr>
          <w:rFonts w:hint="eastAsia"/>
        </w:rPr>
        <w:t>和维度短板分析：先用熵权</w:t>
      </w:r>
      <w:r>
        <w:rPr>
          <w:rFonts w:hint="eastAsia"/>
        </w:rPr>
        <w:t xml:space="preserve"> TOPSIS </w:t>
      </w:r>
      <w:r>
        <w:rPr>
          <w:rFonts w:hint="eastAsia"/>
        </w:rPr>
        <w:t>识别</w:t>
      </w:r>
      <w:r>
        <w:rPr>
          <w:rFonts w:hint="eastAsia"/>
        </w:rPr>
        <w:t xml:space="preserve"> SDGs </w:t>
      </w:r>
      <w:r>
        <w:rPr>
          <w:rFonts w:hint="eastAsia"/>
        </w:rPr>
        <w:t>空间支撑条件的总体水平，再用</w:t>
      </w:r>
      <w:r>
        <w:rPr>
          <w:rFonts w:hint="eastAsia"/>
        </w:rPr>
        <w:t xml:space="preserve"> Moran</w:t>
      </w:r>
      <w:r>
        <w:rPr>
          <w:rFonts w:hint="eastAsia"/>
        </w:rPr>
        <w:t>’</w:t>
      </w:r>
      <w:r>
        <w:rPr>
          <w:rFonts w:hint="eastAsia"/>
        </w:rPr>
        <w:t xml:space="preserve">s I </w:t>
      </w:r>
      <w:r>
        <w:rPr>
          <w:rFonts w:hint="eastAsia"/>
        </w:rPr>
        <w:t>和</w:t>
      </w:r>
      <w:r>
        <w:rPr>
          <w:rFonts w:hint="eastAsia"/>
        </w:rPr>
        <w:t xml:space="preserve"> LISA </w:t>
      </w:r>
      <w:r>
        <w:rPr>
          <w:rFonts w:hint="eastAsia"/>
        </w:rPr>
        <w:t>判断空间集聚，最后通过四维得分解释不同类型区的结构性短板。这样既保留综合评价的可比性，也能服务后文关于空间结构和协同治理的讨论。</w:t>
      </w:r>
    </w:p>
    <w:p w:rsidR="005211C0" w:rsidRDefault="00000000">
      <w:pPr>
        <w:ind w:firstLine="480"/>
        <w:jc w:val="both"/>
      </w:pPr>
      <w:r>
        <w:rPr>
          <w:rFonts w:hint="eastAsia"/>
        </w:rPr>
        <w:t>总体来看，现有研究已经形成了较成熟的</w:t>
      </w:r>
      <w:r>
        <w:rPr>
          <w:rFonts w:hint="eastAsia"/>
        </w:rPr>
        <w:t xml:space="preserve"> SDGs </w:t>
      </w:r>
      <w:r>
        <w:rPr>
          <w:rFonts w:hint="eastAsia"/>
        </w:rPr>
        <w:t>指标评价、跨境协同讨论和综合评价方法，但仍存在三方面不足：一是部分研究仍依赖行政边界，对跨境连续空间的整体性刻画不足；二是跨境地区统计口径差异较大，等尺度、可比较的网格评价仍相对有限；三是部分研究重综合得分，轻空间结构解释，尤其缺少对口岸节点、交通走廊、生态腹地和低密度地区之间组合关系的解释。</w:t>
      </w:r>
    </w:p>
    <w:p w:rsidR="005211C0" w:rsidRDefault="00000000">
      <w:pPr>
        <w:pStyle w:val="2"/>
        <w:ind w:leftChars="-1" w:left="-2" w:firstLineChars="0" w:firstLine="2"/>
        <w:jc w:val="both"/>
        <w:rPr>
          <w:rFonts w:ascii="Times New Roman" w:hAnsi="Times New Roman"/>
        </w:rPr>
      </w:pPr>
      <w:bookmarkStart w:id="3" w:name="_Toc230099570"/>
      <w:r>
        <w:rPr>
          <w:rFonts w:ascii="Times New Roman" w:hAnsi="Times New Roman" w:hint="eastAsia"/>
        </w:rPr>
        <w:t xml:space="preserve">1.3 </w:t>
      </w:r>
      <w:r>
        <w:rPr>
          <w:rFonts w:ascii="Times New Roman" w:hAnsi="Times New Roman" w:hint="eastAsia"/>
        </w:rPr>
        <w:t>研究目的、问题与思路</w:t>
      </w:r>
      <w:bookmarkEnd w:id="3"/>
    </w:p>
    <w:p w:rsidR="005211C0" w:rsidRDefault="00000000">
      <w:pPr>
        <w:ind w:firstLine="480"/>
        <w:jc w:val="both"/>
      </w:pPr>
      <w:r>
        <w:rPr>
          <w:rFonts w:hint="eastAsia"/>
        </w:rPr>
        <w:t>中国东北—俄罗斯远东跨境区域的</w:t>
      </w:r>
      <w:r>
        <w:rPr>
          <w:rFonts w:hint="eastAsia"/>
        </w:rPr>
        <w:t xml:space="preserve"> SDGs </w:t>
      </w:r>
      <w:r>
        <w:rPr>
          <w:rFonts w:hint="eastAsia"/>
        </w:rPr>
        <w:t>评价，不宜被简化为中俄两侧发展水平的直接比较。该区域内部同时存在口岸节点、交通走廊、农业平原、森林湿地和低密度腹地，不同空间单元所具备的可持续发展基础与约束条件并不相同。因此，本文将研究重点放在跨境区域</w:t>
      </w:r>
      <w:r>
        <w:rPr>
          <w:rFonts w:hint="eastAsia"/>
        </w:rPr>
        <w:t xml:space="preserve"> SDGs </w:t>
      </w:r>
      <w:r>
        <w:rPr>
          <w:rFonts w:hint="eastAsia"/>
        </w:rPr>
        <w:t>空间支撑条件的识别与解释上，关注其在网格尺度上的空间分异、集聚特征及治理含义。</w:t>
      </w:r>
    </w:p>
    <w:p w:rsidR="005211C0" w:rsidRDefault="00000000">
      <w:pPr>
        <w:ind w:firstLine="480"/>
        <w:jc w:val="both"/>
      </w:pPr>
      <w:r>
        <w:rPr>
          <w:rFonts w:hint="eastAsia"/>
        </w:rPr>
        <w:t>本文主要回答以下几个研究问题：第一，在</w:t>
      </w:r>
      <w:r>
        <w:rPr>
          <w:rFonts w:hint="eastAsia"/>
        </w:rPr>
        <w:t>2010</w:t>
      </w:r>
      <w:r>
        <w:rPr>
          <w:rFonts w:hint="eastAsia"/>
        </w:rPr>
        <w:t>到</w:t>
      </w:r>
      <w:r>
        <w:rPr>
          <w:rFonts w:hint="eastAsia"/>
        </w:rPr>
        <w:t>2024</w:t>
      </w:r>
      <w:r>
        <w:rPr>
          <w:rFonts w:hint="eastAsia"/>
        </w:rPr>
        <w:t>年期间，中国东北与俄罗斯远东这一跨境区域的可持续发展目标（</w:t>
      </w:r>
      <w:r>
        <w:rPr>
          <w:rFonts w:hint="eastAsia"/>
        </w:rPr>
        <w:t>SDGs</w:t>
      </w:r>
      <w:r>
        <w:rPr>
          <w:rFonts w:hint="eastAsia"/>
        </w:rPr>
        <w:t>）空间支撑条件，到底呈现出什么样的时空变化格局，是否已经形成了比较稳定的节点、走廊和腹地之间的分异情况；第二，综合指数及其随时间的变化，是否存在明显的空间集聚现象，高值集聚区、低值集聚区以及空间离群区，分别对应着哪些地理单元和空间类型；第三，中俄两侧在不同评价维度上存在哪些相似之处、不同之处以及可以互补的地方，这些地理特征能不能为双方开展跨境共治提供一些合作方面的参考。</w:t>
      </w:r>
    </w:p>
    <w:p w:rsidR="005211C0" w:rsidRDefault="00000000">
      <w:pPr>
        <w:ind w:firstLine="480"/>
        <w:jc w:val="both"/>
      </w:pPr>
      <w:r>
        <w:rPr>
          <w:rFonts w:hint="eastAsia"/>
        </w:rPr>
        <w:t>为了比较系统地评估中国东北—俄罗斯远东跨境区域的</w:t>
      </w:r>
      <w:r>
        <w:rPr>
          <w:rFonts w:hint="eastAsia"/>
        </w:rPr>
        <w:t>SDGs</w:t>
      </w:r>
      <w:r>
        <w:rPr>
          <w:rFonts w:hint="eastAsia"/>
        </w:rPr>
        <w:t>空间支撑条件，本文制定了以下技术路线（图</w:t>
      </w:r>
      <w:r>
        <w:rPr>
          <w:rFonts w:hint="eastAsia"/>
        </w:rPr>
        <w:t>1-1</w:t>
      </w:r>
      <w:r>
        <w:rPr>
          <w:rFonts w:hint="eastAsia"/>
        </w:rPr>
        <w:t>）。首先在数据准备阶段，把多源地理空间数据都转换到</w:t>
      </w:r>
      <w:r>
        <w:rPr>
          <w:rFonts w:hint="eastAsia"/>
        </w:rPr>
        <w:t>10</w:t>
      </w:r>
      <w:r>
        <w:rPr>
          <w:rFonts w:hint="eastAsia"/>
        </w:rPr>
        <w:t>公里大小的规则网格尺度上，这样就形成了覆盖</w:t>
      </w:r>
      <w:r>
        <w:rPr>
          <w:rFonts w:hint="eastAsia"/>
        </w:rPr>
        <w:t>2010</w:t>
      </w:r>
      <w:r>
        <w:rPr>
          <w:rFonts w:hint="eastAsia"/>
        </w:rPr>
        <w:t>、</w:t>
      </w:r>
      <w:r>
        <w:rPr>
          <w:rFonts w:hint="eastAsia"/>
        </w:rPr>
        <w:t>2015</w:t>
      </w:r>
      <w:r>
        <w:rPr>
          <w:rFonts w:hint="eastAsia"/>
        </w:rPr>
        <w:t>、</w:t>
      </w:r>
      <w:r>
        <w:rPr>
          <w:rFonts w:hint="eastAsia"/>
        </w:rPr>
        <w:t>2020</w:t>
      </w:r>
      <w:r>
        <w:rPr>
          <w:rFonts w:hint="eastAsia"/>
        </w:rPr>
        <w:t>和</w:t>
      </w:r>
      <w:r>
        <w:rPr>
          <w:rFonts w:hint="eastAsia"/>
        </w:rPr>
        <w:t>2024</w:t>
      </w:r>
      <w:r>
        <w:rPr>
          <w:rFonts w:hint="eastAsia"/>
        </w:rPr>
        <w:t>年四个时期、一共</w:t>
      </w:r>
      <w:r>
        <w:rPr>
          <w:rFonts w:hint="eastAsia"/>
        </w:rPr>
        <w:t>30160</w:t>
      </w:r>
      <w:r>
        <w:rPr>
          <w:rFonts w:hint="eastAsia"/>
        </w:rPr>
        <w:t>个网格单元的基础样本；其次围绕人类活动、通达性、生态状态和环境本底这四个维度，本文构建了一套</w:t>
      </w:r>
      <w:r>
        <w:rPr>
          <w:rFonts w:hint="eastAsia"/>
        </w:rPr>
        <w:t>SDGs</w:t>
      </w:r>
      <w:r>
        <w:rPr>
          <w:rFonts w:hint="eastAsia"/>
        </w:rPr>
        <w:t>空间支撑条件的评价指标体系，采用的赋权方法是“维度内使用熵权法、维度之间采用等权平衡”的组合方式，再通过</w:t>
      </w:r>
      <w:r>
        <w:rPr>
          <w:rFonts w:hint="eastAsia"/>
        </w:rPr>
        <w:t>TOPSIS</w:t>
      </w:r>
      <w:r>
        <w:rPr>
          <w:rFonts w:hint="eastAsia"/>
        </w:rPr>
        <w:t>模型</w:t>
      </w:r>
      <w:r>
        <w:rPr>
          <w:rFonts w:hint="eastAsia"/>
        </w:rPr>
        <w:lastRenderedPageBreak/>
        <w:t>算出相对贴近度，从而在跨境连续空间上实现了对</w:t>
      </w:r>
      <w:r>
        <w:rPr>
          <w:rFonts w:hint="eastAsia"/>
        </w:rPr>
        <w:t>SDGs</w:t>
      </w:r>
      <w:r>
        <w:rPr>
          <w:rFonts w:hint="eastAsia"/>
        </w:rPr>
        <w:t>支撑条件的网格化综合评价；最后根据计算出来的综合指数结果，本文分析了它的时空格局以及不同国家、不同省州之间的差异，同时引入全局莫兰指数和</w:t>
      </w:r>
      <w:r>
        <w:rPr>
          <w:rFonts w:hint="eastAsia"/>
        </w:rPr>
        <w:t>LISA</w:t>
      </w:r>
      <w:r>
        <w:rPr>
          <w:rFonts w:hint="eastAsia"/>
        </w:rPr>
        <w:t>聚类方法，用以识别空间自相关和局部集聚特征，在此基础上进一步分析了不同集聚区的特点，以及中俄两侧各自的比较优势和结构性约束，从而为探讨双方共同面临的挑战、存在差异的风险以及跨境协同治理的需求，提供一些分析依据。</w:t>
      </w:r>
    </w:p>
    <w:p w:rsidR="005211C0" w:rsidRDefault="00000000">
      <w:pPr>
        <w:ind w:firstLineChars="0" w:firstLine="0"/>
        <w:jc w:val="center"/>
      </w:pPr>
      <w:r>
        <w:rPr>
          <w:noProof/>
        </w:rPr>
        <w:drawing>
          <wp:inline distT="0" distB="0" distL="0" distR="0">
            <wp:extent cx="5071745" cy="2586990"/>
            <wp:effectExtent l="0" t="0" r="0" b="3810"/>
            <wp:docPr id="1431741277"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41277" name="图片 1" descr="图形用户界面&#10;&#10;AI 生成的内容可能不正确。"/>
                    <pic:cNvPicPr>
                      <a:picLocks noChangeAspect="1"/>
                    </pic:cNvPicPr>
                  </pic:nvPicPr>
                  <pic:blipFill>
                    <a:blip r:embed="rId17"/>
                    <a:stretch>
                      <a:fillRect/>
                    </a:stretch>
                  </pic:blipFill>
                  <pic:spPr>
                    <a:xfrm>
                      <a:off x="0" y="0"/>
                      <a:ext cx="5115913" cy="2610032"/>
                    </a:xfrm>
                    <a:prstGeom prst="rect">
                      <a:avLst/>
                    </a:prstGeom>
                  </pic:spPr>
                </pic:pic>
              </a:graphicData>
            </a:graphic>
          </wp:inline>
        </w:drawing>
      </w:r>
    </w:p>
    <w:p w:rsidR="005211C0" w:rsidRDefault="00000000">
      <w:pPr>
        <w:ind w:firstLineChars="0" w:firstLine="0"/>
        <w:jc w:val="center"/>
        <w:rPr>
          <w:rFonts w:asciiTheme="majorEastAsia" w:eastAsiaTheme="majorEastAsia" w:hAnsiTheme="majorEastAsia" w:cstheme="majorEastAsia"/>
          <w:sz w:val="21"/>
        </w:rPr>
      </w:pPr>
      <w:r>
        <w:rPr>
          <w:rFonts w:asciiTheme="majorEastAsia" w:eastAsiaTheme="majorEastAsia" w:hAnsiTheme="majorEastAsia" w:cstheme="majorEastAsia" w:hint="eastAsia"/>
          <w:sz w:val="21"/>
        </w:rPr>
        <w:t>图 1-1 中国东北—俄罗斯远东跨境区域 SDGs 空间支撑条件评价技术路线</w:t>
      </w:r>
    </w:p>
    <w:p w:rsidR="005211C0" w:rsidRDefault="00000000">
      <w:pPr>
        <w:pStyle w:val="2"/>
        <w:ind w:leftChars="-1" w:left="-2" w:firstLineChars="0" w:firstLine="2"/>
        <w:jc w:val="both"/>
        <w:rPr>
          <w:rFonts w:ascii="Times New Roman" w:hAnsi="Times New Roman"/>
        </w:rPr>
      </w:pPr>
      <w:bookmarkStart w:id="4" w:name="_Toc230099571"/>
      <w:r>
        <w:rPr>
          <w:rFonts w:ascii="Times New Roman" w:hAnsi="Times New Roman" w:hint="eastAsia"/>
        </w:rPr>
        <w:t>1.4</w:t>
      </w:r>
      <w:r>
        <w:rPr>
          <w:rFonts w:ascii="Times New Roman" w:hAnsi="Times New Roman" w:hint="eastAsia"/>
        </w:rPr>
        <w:t>创新点</w:t>
      </w:r>
      <w:bookmarkEnd w:id="4"/>
    </w:p>
    <w:p w:rsidR="005211C0" w:rsidRDefault="00000000">
      <w:pPr>
        <w:ind w:firstLine="480"/>
        <w:jc w:val="both"/>
      </w:pPr>
      <w:r>
        <w:rPr>
          <w:rFonts w:hint="eastAsia"/>
        </w:rPr>
        <w:t>第一，本文关注生态系统连续性与行政治理分割性并存的跨境区域，将</w:t>
      </w:r>
      <w:r>
        <w:rPr>
          <w:rFonts w:hint="eastAsia"/>
        </w:rPr>
        <w:t xml:space="preserve"> SDGs </w:t>
      </w:r>
      <w:r>
        <w:rPr>
          <w:rFonts w:hint="eastAsia"/>
        </w:rPr>
        <w:t>评价由传统行政单元拓展到中国东北—俄罗斯远东跨境连续空间。能够弥补国别或省州尺度评价难以揭示局地空间差异的不足。</w:t>
      </w:r>
    </w:p>
    <w:p w:rsidR="005211C0" w:rsidRDefault="00000000">
      <w:pPr>
        <w:ind w:firstLine="480"/>
        <w:jc w:val="both"/>
      </w:pPr>
      <w:r>
        <w:rPr>
          <w:rFonts w:hint="eastAsia"/>
        </w:rPr>
        <w:t>第二，本文基于多源地理空间数据，构建了</w:t>
      </w:r>
      <w:r>
        <w:rPr>
          <w:rFonts w:hint="eastAsia"/>
        </w:rPr>
        <w:t xml:space="preserve"> 10 km </w:t>
      </w:r>
      <w:r>
        <w:rPr>
          <w:rFonts w:hint="eastAsia"/>
        </w:rPr>
        <w:t>网格尺度的</w:t>
      </w:r>
      <w:r>
        <w:rPr>
          <w:rFonts w:hint="eastAsia"/>
        </w:rPr>
        <w:t xml:space="preserve"> </w:t>
      </w:r>
      <w:r>
        <w:rPr>
          <w:rFonts w:hint="eastAsia"/>
        </w:rPr>
        <w:t>“人类活动—通达性—生态状态—环境本底”四维十二指标</w:t>
      </w:r>
      <w:r>
        <w:rPr>
          <w:rFonts w:hint="eastAsia"/>
        </w:rPr>
        <w:t xml:space="preserve">SDGs </w:t>
      </w:r>
      <w:r>
        <w:rPr>
          <w:rFonts w:hint="eastAsia"/>
        </w:rPr>
        <w:t>空间支撑条件评价框架。并采用全时期合并标准化、维度内熵权、维度间等权和</w:t>
      </w:r>
      <w:r>
        <w:rPr>
          <w:rFonts w:hint="eastAsia"/>
        </w:rPr>
        <w:t xml:space="preserve"> TOPSIS </w:t>
      </w:r>
      <w:r>
        <w:rPr>
          <w:rFonts w:hint="eastAsia"/>
        </w:rPr>
        <w:t>综合评价方法，提高了跨期、跨国评价结果的可比性。</w:t>
      </w:r>
    </w:p>
    <w:p w:rsidR="005211C0" w:rsidRDefault="00000000">
      <w:pPr>
        <w:ind w:firstLine="480"/>
        <w:jc w:val="both"/>
      </w:pPr>
      <w:r>
        <w:rPr>
          <w:rFonts w:hint="eastAsia"/>
        </w:rPr>
        <w:t>第三，本文通过</w:t>
      </w:r>
      <w:r>
        <w:rPr>
          <w:rFonts w:hint="eastAsia"/>
        </w:rPr>
        <w:t xml:space="preserve"> Global Moran</w:t>
      </w:r>
      <w:r>
        <w:rPr>
          <w:rFonts w:hint="eastAsia"/>
        </w:rPr>
        <w:t>’</w:t>
      </w:r>
      <w:r>
        <w:rPr>
          <w:rFonts w:hint="eastAsia"/>
        </w:rPr>
        <w:t>s I</w:t>
      </w:r>
      <w:r>
        <w:rPr>
          <w:rFonts w:hint="eastAsia"/>
        </w:rPr>
        <w:t>、</w:t>
      </w:r>
      <w:r>
        <w:rPr>
          <w:rFonts w:hint="eastAsia"/>
        </w:rPr>
        <w:t xml:space="preserve">LISA </w:t>
      </w:r>
      <w:r>
        <w:rPr>
          <w:rFonts w:hint="eastAsia"/>
        </w:rPr>
        <w:t>类型区和维度均值比较，识别高低值集聚区及其结构性差异，将综合评估结果与</w:t>
      </w:r>
      <w:r>
        <w:rPr>
          <w:rFonts w:hint="eastAsia"/>
        </w:rPr>
        <w:t xml:space="preserve"> ESDA </w:t>
      </w:r>
      <w:r>
        <w:rPr>
          <w:rFonts w:hint="eastAsia"/>
        </w:rPr>
        <w:t>空间集聚识别、维度短板分析相结合。从而将评估结果进一步转化为共同挑战、差异化风险和跨境协同治理需求的空间依据。</w:t>
      </w:r>
    </w:p>
    <w:p w:rsidR="005211C0" w:rsidRDefault="00000000">
      <w:pPr>
        <w:pStyle w:val="1"/>
        <w:ind w:firstLineChars="0" w:firstLine="0"/>
        <w:jc w:val="both"/>
        <w:rPr>
          <w:rFonts w:ascii="Times New Roman" w:hAnsi="Times New Roman"/>
        </w:rPr>
      </w:pPr>
      <w:bookmarkStart w:id="5" w:name="_Toc230099572"/>
      <w:r>
        <w:rPr>
          <w:rFonts w:ascii="Times New Roman" w:hAnsi="Times New Roman"/>
        </w:rPr>
        <w:lastRenderedPageBreak/>
        <w:t>2</w:t>
      </w:r>
      <w:r>
        <w:rPr>
          <w:rFonts w:ascii="Times New Roman" w:hAnsi="Times New Roman"/>
        </w:rPr>
        <w:t>研究区概况</w:t>
      </w:r>
      <w:bookmarkEnd w:id="5"/>
    </w:p>
    <w:p w:rsidR="005211C0" w:rsidRDefault="00000000">
      <w:pPr>
        <w:pStyle w:val="2"/>
        <w:ind w:leftChars="-1" w:left="-2" w:firstLineChars="0" w:firstLine="2"/>
        <w:jc w:val="both"/>
        <w:rPr>
          <w:rFonts w:ascii="Times New Roman" w:hAnsi="Times New Roman"/>
        </w:rPr>
      </w:pPr>
      <w:bookmarkStart w:id="6" w:name="_Toc230099573"/>
      <w:r>
        <w:rPr>
          <w:rFonts w:ascii="Times New Roman" w:hAnsi="Times New Roman" w:hint="eastAsia"/>
        </w:rPr>
        <w:t xml:space="preserve">2.1 </w:t>
      </w:r>
      <w:r>
        <w:rPr>
          <w:rFonts w:ascii="Times New Roman" w:hAnsi="Times New Roman"/>
        </w:rPr>
        <w:t>地理位置与范围</w:t>
      </w:r>
      <w:bookmarkEnd w:id="6"/>
    </w:p>
    <w:p w:rsidR="005211C0" w:rsidRDefault="00000000">
      <w:pPr>
        <w:ind w:firstLine="480"/>
        <w:jc w:val="both"/>
      </w:pPr>
      <w:r>
        <w:rPr>
          <w:rFonts w:hint="eastAsia"/>
        </w:rPr>
        <w:t>研究区覆盖中国东北地区、内蒙古东部边境地带以及俄罗斯远东南部、外贝加尔等相关区域，经度范围约为</w:t>
      </w:r>
      <w:r>
        <w:rPr>
          <w:rFonts w:hint="eastAsia"/>
        </w:rPr>
        <w:t xml:space="preserve"> 107.69</w:t>
      </w:r>
      <w:r>
        <w:rPr>
          <w:rFonts w:hint="eastAsia"/>
        </w:rPr>
        <w:t>°</w:t>
      </w:r>
      <w:r>
        <w:rPr>
          <w:rFonts w:hint="eastAsia"/>
        </w:rPr>
        <w:t>E</w:t>
      </w:r>
      <w:r>
        <w:rPr>
          <w:rFonts w:hint="eastAsia"/>
        </w:rPr>
        <w:t>—</w:t>
      </w:r>
      <w:r>
        <w:rPr>
          <w:rFonts w:hint="eastAsia"/>
        </w:rPr>
        <w:t>147.28</w:t>
      </w:r>
      <w:r>
        <w:rPr>
          <w:rFonts w:hint="eastAsia"/>
        </w:rPr>
        <w:t>°</w:t>
      </w:r>
      <w:r>
        <w:rPr>
          <w:rFonts w:hint="eastAsia"/>
        </w:rPr>
        <w:t>E</w:t>
      </w:r>
      <w:r>
        <w:rPr>
          <w:rFonts w:hint="eastAsia"/>
        </w:rPr>
        <w:t>，纬度范围约为</w:t>
      </w:r>
      <w:r>
        <w:rPr>
          <w:rFonts w:hint="eastAsia"/>
        </w:rPr>
        <w:t xml:space="preserve"> 38.72</w:t>
      </w:r>
      <w:r>
        <w:rPr>
          <w:rFonts w:hint="eastAsia"/>
        </w:rPr>
        <w:t>°</w:t>
      </w:r>
      <w:r>
        <w:rPr>
          <w:rFonts w:hint="eastAsia"/>
        </w:rPr>
        <w:t>N</w:t>
      </w:r>
      <w:r>
        <w:rPr>
          <w:rFonts w:hint="eastAsia"/>
        </w:rPr>
        <w:t>—</w:t>
      </w:r>
      <w:r>
        <w:rPr>
          <w:rFonts w:hint="eastAsia"/>
        </w:rPr>
        <w:t>62.49</w:t>
      </w:r>
      <w:r>
        <w:rPr>
          <w:rFonts w:hint="eastAsia"/>
        </w:rPr>
        <w:t>°</w:t>
      </w:r>
      <w:r>
        <w:rPr>
          <w:rFonts w:hint="eastAsia"/>
        </w:rPr>
        <w:t>N</w:t>
      </w:r>
      <w:r>
        <w:rPr>
          <w:rFonts w:hint="eastAsia"/>
        </w:rPr>
        <w:t>（图</w:t>
      </w:r>
      <w:r>
        <w:rPr>
          <w:rFonts w:hint="eastAsia"/>
        </w:rPr>
        <w:t>2-1</w:t>
      </w:r>
      <w:r>
        <w:rPr>
          <w:rFonts w:hint="eastAsia"/>
        </w:rPr>
        <w:t>）。</w:t>
      </w:r>
    </w:p>
    <w:p w:rsidR="005211C0" w:rsidRDefault="00000000">
      <w:pPr>
        <w:ind w:firstLine="480"/>
        <w:jc w:val="both"/>
      </w:pPr>
      <w:r>
        <w:rPr>
          <w:rFonts w:hint="eastAsia"/>
        </w:rPr>
        <w:t>该区域南北跨度大，包含森林、草地、湿地、山地、耕地和城镇等用地类型，自然环境与人类活动分布差异明显。中国侧包括松嫩平原、三江平原、辽吉城市走廊、大兴安岭和小兴安岭等区域。松嫩平原和三江平原是东北地区重要的农业生产空间，大兴安岭、小兴安岭及长白山北部地区则构成重要的森林生态屏障。俄罗斯侧包括滨海边疆区南部沿海地带、阿穆尔河沿线平原、锡霍特山山地森林区、外贝加尔山地—草地过渡区以及哈巴罗夫斯克内陆腹地等空间单元。</w:t>
      </w:r>
    </w:p>
    <w:p w:rsidR="005211C0" w:rsidRDefault="00000000">
      <w:pPr>
        <w:ind w:firstLine="480"/>
        <w:jc w:val="both"/>
      </w:pPr>
      <w:r>
        <w:rPr>
          <w:rFonts w:hint="eastAsia"/>
        </w:rPr>
        <w:t>研究区也是中俄两国地缘接触、资源互补和口岸联通的重要空间。一方面，该区域连接中国东北、内蒙古东部与俄罗斯远东南部、外贝加尔等地区，是中蒙俄经济走廊和东北亚区域合作的重要组成部分；另一方面，区域内部又具有高纬寒冷、人口密度较低、生态安全约束突出等特征，是典型的复杂边境地域系统</w:t>
      </w:r>
      <w:r>
        <w:rPr>
          <w:rFonts w:hint="eastAsia"/>
        </w:rPr>
        <w:t>[10</w:t>
      </w:r>
      <w:r>
        <w:rPr>
          <w:rFonts w:hint="eastAsia"/>
        </w:rPr>
        <w:t>–</w:t>
      </w:r>
      <w:r>
        <w:rPr>
          <w:rFonts w:hint="eastAsia"/>
        </w:rPr>
        <w:t>13]</w:t>
      </w:r>
      <w:r>
        <w:rPr>
          <w:rFonts w:hint="eastAsia"/>
        </w:rPr>
        <w:t>。</w:t>
      </w:r>
    </w:p>
    <w:p w:rsidR="005211C0" w:rsidRDefault="00000000">
      <w:pPr>
        <w:pStyle w:val="2"/>
        <w:ind w:leftChars="-1" w:left="-2" w:firstLineChars="0" w:firstLine="2"/>
        <w:jc w:val="both"/>
      </w:pPr>
      <w:bookmarkStart w:id="7" w:name="_Toc230099574"/>
      <w:r>
        <w:rPr>
          <w:rFonts w:ascii="Times New Roman" w:hAnsi="Times New Roman"/>
        </w:rPr>
        <w:t>2.2</w:t>
      </w:r>
      <w:r>
        <w:rPr>
          <w:rFonts w:ascii="Times New Roman" w:hAnsi="Times New Roman"/>
        </w:rPr>
        <w:t>自然与人文特征</w:t>
      </w:r>
      <w:bookmarkEnd w:id="7"/>
    </w:p>
    <w:p w:rsidR="005211C0" w:rsidRDefault="00000000">
      <w:pPr>
        <w:ind w:firstLine="480"/>
        <w:jc w:val="both"/>
      </w:pPr>
      <w:r>
        <w:rPr>
          <w:rFonts w:hint="eastAsia"/>
        </w:rPr>
        <w:t>研究区纬度跨度较大，冷温带和中温带特征明显，冬季漫长寒冷，热量条件和生长季长度存在空间差异</w:t>
      </w:r>
      <w:r>
        <w:rPr>
          <w:rFonts w:hint="eastAsia"/>
        </w:rPr>
        <w:t>[10,34]</w:t>
      </w:r>
      <w:r>
        <w:rPr>
          <w:rFonts w:hint="eastAsia"/>
        </w:rPr>
        <w:t>。中国东北平原地区农业开发程度较高，但也面临低温冷害、季节性干旱和黑土保护压力；俄罗斯远东和外贝加尔部分地区气候寒冷、人口稀疏，森林火灾、冻土退化和极端气候事件对生态系统稳定性构成潜在影响</w:t>
      </w:r>
      <w:r>
        <w:rPr>
          <w:rFonts w:hint="eastAsia"/>
        </w:rPr>
        <w:t>[35,36]</w:t>
      </w:r>
      <w:r>
        <w:rPr>
          <w:rFonts w:hint="eastAsia"/>
        </w:rPr>
        <w:t>。上述自然本底差异决定了研究区内部发展基础和生态约束并不均衡</w:t>
      </w:r>
      <w:r>
        <w:rPr>
          <w:rFonts w:hint="eastAsia"/>
        </w:rPr>
        <w:t>[10,15]</w:t>
      </w:r>
      <w:r>
        <w:rPr>
          <w:rFonts w:hint="eastAsia"/>
        </w:rPr>
        <w:t>。</w:t>
      </w:r>
    </w:p>
    <w:p w:rsidR="005211C0" w:rsidRDefault="00000000">
      <w:pPr>
        <w:ind w:firstLine="480"/>
        <w:jc w:val="both"/>
      </w:pPr>
      <w:r>
        <w:rPr>
          <w:rFonts w:hint="eastAsia"/>
        </w:rPr>
        <w:t>从人文与空间联系来看，研究区是中俄两国地缘接触、资源互补和口岸联通的重要空间</w:t>
      </w:r>
      <w:r>
        <w:rPr>
          <w:rFonts w:hint="eastAsia"/>
        </w:rPr>
        <w:t>[10</w:t>
      </w:r>
      <w:r>
        <w:rPr>
          <w:rFonts w:hint="eastAsia"/>
        </w:rPr>
        <w:t>–</w:t>
      </w:r>
      <w:r>
        <w:rPr>
          <w:rFonts w:hint="eastAsia"/>
        </w:rPr>
        <w:t>13]</w:t>
      </w:r>
      <w:r>
        <w:rPr>
          <w:rFonts w:hint="eastAsia"/>
        </w:rPr>
        <w:t>。中国侧黑龙江、吉林、辽宁和内蒙古东部边境区域兼具口岸开放、农业生产、能源资源和生态屏障等多重功能。黑龙江和乌苏里江沿线口岸联系较为密切，三江平原、松嫩平原和辽吉城市走廊的农业生产空间与城镇活动空间耦合程度较高。黑河、绥芬河、满洲里、珲春、同江、抚远等口岸节点是中国东北向北开放和边境协同的重要支点；哈尔滨、长春、沈阳、大连等城市则在产业组织、交通集散和公共服务供给方面具有较强支撑作用。整体来看，中国侧农业生产基础、城镇体系和交通联系相对完善，口岸与城市节点对区域空间组织具有较强带动作用</w:t>
      </w:r>
      <w:r>
        <w:rPr>
          <w:rFonts w:hint="eastAsia"/>
        </w:rPr>
        <w:t>[14</w:t>
      </w:r>
      <w:r>
        <w:rPr>
          <w:rFonts w:hint="eastAsia"/>
        </w:rPr>
        <w:t>–</w:t>
      </w:r>
      <w:r>
        <w:rPr>
          <w:rFonts w:hint="eastAsia"/>
        </w:rPr>
        <w:t>16]</w:t>
      </w:r>
      <w:r>
        <w:rPr>
          <w:rFonts w:hint="eastAsia"/>
        </w:rPr>
        <w:t>。</w:t>
      </w:r>
    </w:p>
    <w:p w:rsidR="005211C0" w:rsidRDefault="00000000">
      <w:pPr>
        <w:ind w:firstLine="480"/>
        <w:jc w:val="both"/>
      </w:pPr>
      <w:r>
        <w:rPr>
          <w:rFonts w:hint="eastAsia"/>
        </w:rPr>
        <w:lastRenderedPageBreak/>
        <w:t>俄罗斯侧滨海边疆区、哈巴罗夫斯克边疆区、阿穆尔州、犹太自治州和后贝加尔边疆区等地区整体人口密度较低，建设活动主要集中于少数城市、港口、铁路和公路走廊。符拉迪沃斯托克、哈巴罗夫斯克、布拉戈维申斯克等城市是俄罗斯远东南部重要的交通和服务节点，其中滨海边疆区南部具有港口和沿海开放优势，阿穆尔州和犹太自治州与中国东北边境联系较为密切，后贝加尔边疆区则在中蒙俄通道联系中具有一定区位意义。但与中国侧相比，俄罗斯侧广阔内陆腹地人口稀疏、交通距离长，公共服务和基础设施布局更集中于少数节点地区。</w:t>
      </w:r>
    </w:p>
    <w:p w:rsidR="005211C0" w:rsidRDefault="00000000">
      <w:pPr>
        <w:ind w:firstLine="480"/>
        <w:jc w:val="both"/>
      </w:pPr>
      <w:r>
        <w:rPr>
          <w:rFonts w:hint="eastAsia"/>
        </w:rPr>
        <w:t>研究区依托黑龙江—阿穆尔河、乌苏里江和额尔古纳河等界河水系，以及铁路、公路、口岸和港口网络，形成了以节点和通道为核心的空间联系格局。中俄两侧在资源禀赋、生态空间、农业生产、交通基础和市场联系方面具有一定互补性，但也受到制度边界、人口密度差异、交通距离和生态约束等因素影响。中国侧的农业生产、城镇活动和口岸开放基础相对突出，俄罗斯侧的森林山地生态空间、资源禀赋和港口—交通节点特征更加明显</w:t>
      </w:r>
      <w:r>
        <w:rPr>
          <w:rFonts w:hint="eastAsia"/>
        </w:rPr>
        <w:t>[12,29]</w:t>
      </w:r>
      <w:r>
        <w:rPr>
          <w:rFonts w:hint="eastAsia"/>
        </w:rPr>
        <w:t>。</w:t>
      </w:r>
    </w:p>
    <w:p w:rsidR="005211C0" w:rsidRDefault="00000000">
      <w:pPr>
        <w:pStyle w:val="af3"/>
        <w:jc w:val="center"/>
      </w:pPr>
      <w:r>
        <w:rPr>
          <w:noProof/>
        </w:rPr>
        <w:drawing>
          <wp:inline distT="0" distB="0" distL="0" distR="0">
            <wp:extent cx="3048000" cy="2874645"/>
            <wp:effectExtent l="0" t="0" r="0" b="0"/>
            <wp:docPr id="169323508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35081" name="图片 7"/>
                    <pic:cNvPicPr>
                      <a:picLocks noChangeAspect="1"/>
                    </pic:cNvPicPr>
                  </pic:nvPicPr>
                  <pic:blipFill>
                    <a:blip r:embed="rId18" cstate="print">
                      <a:extLst>
                        <a:ext uri="{28A0092B-C50C-407E-A947-70E740481C1C}">
                          <a14:useLocalDpi xmlns:a14="http://schemas.microsoft.com/office/drawing/2010/main" val="0"/>
                        </a:ext>
                      </a:extLst>
                    </a:blip>
                    <a:srcRect r="3704" b="1518"/>
                    <a:stretch>
                      <a:fillRect/>
                    </a:stretch>
                  </pic:blipFill>
                  <pic:spPr>
                    <a:xfrm>
                      <a:off x="0" y="0"/>
                      <a:ext cx="3153330" cy="2974296"/>
                    </a:xfrm>
                    <a:prstGeom prst="rect">
                      <a:avLst/>
                    </a:prstGeom>
                    <a:ln>
                      <a:noFill/>
                    </a:ln>
                  </pic:spPr>
                </pic:pic>
              </a:graphicData>
            </a:graphic>
          </wp:inline>
        </w:drawing>
      </w:r>
    </w:p>
    <w:p w:rsidR="005211C0" w:rsidRDefault="00000000">
      <w:pPr>
        <w:pStyle w:val="a3"/>
        <w:ind w:firstLineChars="0" w:firstLine="0"/>
        <w:jc w:val="center"/>
        <w:rPr>
          <w:rFonts w:asciiTheme="majorEastAsia" w:eastAsiaTheme="majorEastAsia" w:hAnsiTheme="majorEastAsia"/>
          <w:sz w:val="21"/>
          <w:szCs w:val="21"/>
        </w:rPr>
      </w:pPr>
      <w:r>
        <w:rPr>
          <w:rFonts w:asciiTheme="majorEastAsia" w:eastAsiaTheme="majorEastAsia" w:hAnsiTheme="majorEastAsia" w:hint="eastAsia"/>
          <w:sz w:val="21"/>
          <w:szCs w:val="21"/>
        </w:rPr>
        <w:t>图 2-1 中国东北—俄罗斯远东跨境区域研究区概况</w:t>
      </w:r>
    </w:p>
    <w:p w:rsidR="005211C0" w:rsidRDefault="00000000">
      <w:pPr>
        <w:pStyle w:val="1"/>
        <w:ind w:leftChars="-1" w:left="-2" w:firstLineChars="0" w:firstLine="1"/>
        <w:jc w:val="both"/>
      </w:pPr>
      <w:bookmarkStart w:id="8" w:name="_Toc230099575"/>
      <w:r>
        <w:rPr>
          <w:rFonts w:ascii="Times New Roman" w:hAnsi="Times New Roman"/>
        </w:rPr>
        <w:t>3</w:t>
      </w:r>
      <w:r>
        <w:t>数据来源与研究方法</w:t>
      </w:r>
      <w:bookmarkEnd w:id="8"/>
    </w:p>
    <w:p w:rsidR="005211C0" w:rsidRDefault="00000000">
      <w:pPr>
        <w:pStyle w:val="2"/>
        <w:ind w:firstLineChars="0" w:firstLine="0"/>
        <w:jc w:val="both"/>
        <w:rPr>
          <w:rFonts w:ascii="Times New Roman" w:hAnsi="Times New Roman"/>
        </w:rPr>
      </w:pPr>
      <w:bookmarkStart w:id="9" w:name="_Toc230099576"/>
      <w:bookmarkStart w:id="10" w:name="_Toc229736674"/>
      <w:r>
        <w:rPr>
          <w:rFonts w:ascii="Times New Roman" w:hAnsi="Times New Roman" w:hint="eastAsia"/>
        </w:rPr>
        <w:t xml:space="preserve">3.1 </w:t>
      </w:r>
      <w:r>
        <w:rPr>
          <w:rFonts w:ascii="Times New Roman" w:hAnsi="Times New Roman"/>
        </w:rPr>
        <w:t>数据来源与预处理</w:t>
      </w:r>
      <w:bookmarkEnd w:id="9"/>
      <w:bookmarkEnd w:id="10"/>
    </w:p>
    <w:p w:rsidR="005211C0" w:rsidRDefault="00000000">
      <w:pPr>
        <w:ind w:firstLine="480"/>
        <w:jc w:val="both"/>
      </w:pPr>
      <w:r>
        <w:rPr>
          <w:rFonts w:hint="eastAsia"/>
        </w:rPr>
        <w:t>本文收集了</w:t>
      </w:r>
      <w:r>
        <w:rPr>
          <w:rFonts w:hint="eastAsia"/>
        </w:rPr>
        <w:t xml:space="preserve"> 2010</w:t>
      </w:r>
      <w:r>
        <w:rPr>
          <w:rFonts w:hint="eastAsia"/>
        </w:rPr>
        <w:t>、</w:t>
      </w:r>
      <w:r>
        <w:rPr>
          <w:rFonts w:hint="eastAsia"/>
        </w:rPr>
        <w:t>2015</w:t>
      </w:r>
      <w:r>
        <w:rPr>
          <w:rFonts w:hint="eastAsia"/>
        </w:rPr>
        <w:t>、</w:t>
      </w:r>
      <w:r>
        <w:rPr>
          <w:rFonts w:hint="eastAsia"/>
        </w:rPr>
        <w:t xml:space="preserve">2020 </w:t>
      </w:r>
      <w:r>
        <w:rPr>
          <w:rFonts w:hint="eastAsia"/>
        </w:rPr>
        <w:t>和</w:t>
      </w:r>
      <w:r>
        <w:rPr>
          <w:rFonts w:hint="eastAsia"/>
        </w:rPr>
        <w:t xml:space="preserve"> 2024 </w:t>
      </w:r>
      <w:r>
        <w:rPr>
          <w:rFonts w:hint="eastAsia"/>
        </w:rPr>
        <w:t>年四个目标年份的多源地理空间数据，用于构建中国东北—俄罗斯远东跨境区域</w:t>
      </w:r>
      <w:r>
        <w:rPr>
          <w:rFonts w:hint="eastAsia"/>
        </w:rPr>
        <w:t xml:space="preserve"> SDGs </w:t>
      </w:r>
      <w:r>
        <w:rPr>
          <w:rFonts w:hint="eastAsia"/>
        </w:rPr>
        <w:t>空间支撑条件评价框架。数据选择主要</w:t>
      </w:r>
      <w:r>
        <w:rPr>
          <w:rFonts w:hint="eastAsia"/>
        </w:rPr>
        <w:lastRenderedPageBreak/>
        <w:t>考虑三个条件：能对应人类活动、通达性、生态状态和环境本底等关键维度；技术口径统一且能覆盖中俄两侧；能够转换到</w:t>
      </w:r>
      <w:r>
        <w:rPr>
          <w:rFonts w:hint="eastAsia"/>
        </w:rPr>
        <w:t xml:space="preserve"> 10 km </w:t>
      </w:r>
      <w:r>
        <w:rPr>
          <w:rFonts w:hint="eastAsia"/>
        </w:rPr>
        <w:t>网格尺度并支撑跨期比较。</w:t>
      </w:r>
    </w:p>
    <w:p w:rsidR="005211C0" w:rsidRDefault="00000000">
      <w:pPr>
        <w:ind w:firstLine="480"/>
        <w:jc w:val="both"/>
      </w:pPr>
      <w:r>
        <w:rPr>
          <w:rFonts w:hint="eastAsia"/>
        </w:rPr>
        <w:t>数据包括人口密度、夜间灯光、土地覆盖、归一化植被指数（</w:t>
      </w:r>
      <w:r>
        <w:rPr>
          <w:rFonts w:hint="eastAsia"/>
        </w:rPr>
        <w:t>NDVI</w:t>
      </w:r>
      <w:r>
        <w:rPr>
          <w:rFonts w:hint="eastAsia"/>
        </w:rPr>
        <w:t>）、净初级生产力（</w:t>
      </w:r>
      <w:r>
        <w:rPr>
          <w:rFonts w:hint="eastAsia"/>
        </w:rPr>
        <w:t>NPP</w:t>
      </w:r>
      <w:r>
        <w:rPr>
          <w:rFonts w:hint="eastAsia"/>
        </w:rPr>
        <w:t>）、地形、气候、口岸、城市、道路和行政边界等。其中，人口密度采用</w:t>
      </w:r>
      <w:r>
        <w:rPr>
          <w:rFonts w:hint="eastAsia"/>
        </w:rPr>
        <w:t xml:space="preserve"> GPWv4.11 </w:t>
      </w:r>
      <w:r>
        <w:rPr>
          <w:rFonts w:hint="eastAsia"/>
        </w:rPr>
        <w:t>全球人口栅格数据</w:t>
      </w:r>
      <w:r>
        <w:rPr>
          <w:rFonts w:hint="eastAsia"/>
        </w:rPr>
        <w:t>[37]</w:t>
      </w:r>
      <w:r>
        <w:rPr>
          <w:rFonts w:hint="eastAsia"/>
        </w:rPr>
        <w:t>；夜间灯光采用</w:t>
      </w:r>
      <w:r>
        <w:rPr>
          <w:rFonts w:hint="eastAsia"/>
        </w:rPr>
        <w:t xml:space="preserve"> VIIRS DNB </w:t>
      </w:r>
      <w:r>
        <w:rPr>
          <w:rFonts w:hint="eastAsia"/>
        </w:rPr>
        <w:t>夜间灯光数据</w:t>
      </w:r>
      <w:r>
        <w:rPr>
          <w:rFonts w:hint="eastAsia"/>
        </w:rPr>
        <w:t>[38,39]</w:t>
      </w:r>
      <w:r>
        <w:rPr>
          <w:rFonts w:hint="eastAsia"/>
        </w:rPr>
        <w:t>；土地覆盖采用</w:t>
      </w:r>
      <w:r>
        <w:rPr>
          <w:rFonts w:hint="eastAsia"/>
        </w:rPr>
        <w:t xml:space="preserve"> MODIS MCD12Q1 v061 </w:t>
      </w:r>
      <w:r>
        <w:rPr>
          <w:rFonts w:hint="eastAsia"/>
        </w:rPr>
        <w:t>产品</w:t>
      </w:r>
      <w:r>
        <w:rPr>
          <w:rFonts w:hint="eastAsia"/>
        </w:rPr>
        <w:t>[40]</w:t>
      </w:r>
      <w:r>
        <w:rPr>
          <w:rFonts w:hint="eastAsia"/>
        </w:rPr>
        <w:t>；</w:t>
      </w:r>
      <w:r>
        <w:rPr>
          <w:rFonts w:hint="eastAsia"/>
        </w:rPr>
        <w:t xml:space="preserve">NDVI </w:t>
      </w:r>
      <w:r>
        <w:rPr>
          <w:rFonts w:hint="eastAsia"/>
        </w:rPr>
        <w:t>采用</w:t>
      </w:r>
      <w:r>
        <w:rPr>
          <w:rFonts w:hint="eastAsia"/>
        </w:rPr>
        <w:t xml:space="preserve"> MODIS MOD13A3 v061 </w:t>
      </w:r>
      <w:r>
        <w:rPr>
          <w:rFonts w:hint="eastAsia"/>
        </w:rPr>
        <w:t>产品</w:t>
      </w:r>
      <w:r>
        <w:rPr>
          <w:rFonts w:hint="eastAsia"/>
        </w:rPr>
        <w:t>[41]</w:t>
      </w:r>
      <w:r>
        <w:rPr>
          <w:rFonts w:hint="eastAsia"/>
        </w:rPr>
        <w:t>；</w:t>
      </w:r>
      <w:r>
        <w:rPr>
          <w:rFonts w:hint="eastAsia"/>
        </w:rPr>
        <w:t xml:space="preserve">NPP </w:t>
      </w:r>
      <w:r>
        <w:rPr>
          <w:rFonts w:hint="eastAsia"/>
        </w:rPr>
        <w:t>采用</w:t>
      </w:r>
      <w:r>
        <w:rPr>
          <w:rFonts w:hint="eastAsia"/>
        </w:rPr>
        <w:t xml:space="preserve"> MODIS MOD17A3HGF </w:t>
      </w:r>
      <w:r>
        <w:rPr>
          <w:rFonts w:hint="eastAsia"/>
        </w:rPr>
        <w:t>产品；地形数据采用</w:t>
      </w:r>
      <w:r>
        <w:rPr>
          <w:rFonts w:hint="eastAsia"/>
        </w:rPr>
        <w:t xml:space="preserve"> USGS GTOPO30 </w:t>
      </w:r>
      <w:r>
        <w:rPr>
          <w:rFonts w:hint="eastAsia"/>
        </w:rPr>
        <w:t>全球高程数据</w:t>
      </w:r>
      <w:r>
        <w:rPr>
          <w:rFonts w:hint="eastAsia"/>
        </w:rPr>
        <w:t>[42]</w:t>
      </w:r>
      <w:r>
        <w:rPr>
          <w:rFonts w:hint="eastAsia"/>
        </w:rPr>
        <w:t>；气候水分亏缺和低温冷胁迫基于</w:t>
      </w:r>
      <w:r>
        <w:rPr>
          <w:rFonts w:hint="eastAsia"/>
        </w:rPr>
        <w:t xml:space="preserve"> TerraClimate </w:t>
      </w:r>
      <w:r>
        <w:rPr>
          <w:rFonts w:hint="eastAsia"/>
        </w:rPr>
        <w:t>数据计算</w:t>
      </w:r>
      <w:r>
        <w:rPr>
          <w:rFonts w:hint="eastAsia"/>
        </w:rPr>
        <w:t>[34]</w:t>
      </w:r>
      <w:r>
        <w:rPr>
          <w:rFonts w:hint="eastAsia"/>
        </w:rPr>
        <w:t>；行政边界采用</w:t>
      </w:r>
      <w:r>
        <w:rPr>
          <w:rFonts w:hint="eastAsia"/>
        </w:rPr>
        <w:t xml:space="preserve"> GADM v4.1 </w:t>
      </w:r>
      <w:r>
        <w:rPr>
          <w:rFonts w:hint="eastAsia"/>
        </w:rPr>
        <w:t>数据库</w:t>
      </w:r>
      <w:r>
        <w:rPr>
          <w:rFonts w:hint="eastAsia"/>
        </w:rPr>
        <w:t>[35]</w:t>
      </w:r>
      <w:r>
        <w:rPr>
          <w:rFonts w:hint="eastAsia"/>
        </w:rPr>
        <w:t>。土地覆盖与植被遥感产品为跨境生态评价提供了数据基础</w:t>
      </w:r>
      <w:r>
        <w:rPr>
          <w:rFonts w:hint="eastAsia"/>
        </w:rPr>
        <w:t>[36,43]</w:t>
      </w:r>
      <w:r>
        <w:rPr>
          <w:rFonts w:hint="eastAsia"/>
        </w:rPr>
        <w:t>。道路、城市和口岸数据用于计算网格质心到最近空间节点或线状要素的距离。</w:t>
      </w:r>
    </w:p>
    <w:p w:rsidR="005211C0" w:rsidRDefault="00000000">
      <w:pPr>
        <w:ind w:firstLine="480"/>
        <w:jc w:val="both"/>
      </w:pPr>
      <w:r>
        <w:rPr>
          <w:rFonts w:hint="eastAsia"/>
        </w:rPr>
        <w:t>由于不同数据集的可用年份不完全一致，本文对部分指标进行了替换处理。人口密度数据中，</w:t>
      </w:r>
      <w:r>
        <w:rPr>
          <w:rFonts w:hint="eastAsia"/>
        </w:rPr>
        <w:t xml:space="preserve"> 2024 </w:t>
      </w:r>
      <w:r>
        <w:rPr>
          <w:rFonts w:hint="eastAsia"/>
        </w:rPr>
        <w:t>年采用</w:t>
      </w:r>
      <w:r>
        <w:rPr>
          <w:rFonts w:hint="eastAsia"/>
        </w:rPr>
        <w:t xml:space="preserve"> 2020 </w:t>
      </w:r>
      <w:r>
        <w:rPr>
          <w:rFonts w:hint="eastAsia"/>
        </w:rPr>
        <w:t>年数据近似表征；夜间灯光数据中，</w:t>
      </w:r>
      <w:r>
        <w:rPr>
          <w:rFonts w:hint="eastAsia"/>
        </w:rPr>
        <w:t xml:space="preserve">2010 </w:t>
      </w:r>
      <w:r>
        <w:rPr>
          <w:rFonts w:hint="eastAsia"/>
        </w:rPr>
        <w:t>目标年采用</w:t>
      </w:r>
      <w:r>
        <w:rPr>
          <w:rFonts w:hint="eastAsia"/>
        </w:rPr>
        <w:t xml:space="preserve"> 2012 </w:t>
      </w:r>
      <w:r>
        <w:rPr>
          <w:rFonts w:hint="eastAsia"/>
        </w:rPr>
        <w:t>年</w:t>
      </w:r>
      <w:r>
        <w:rPr>
          <w:rFonts w:hint="eastAsia"/>
        </w:rPr>
        <w:t xml:space="preserve"> VIIRS </w:t>
      </w:r>
      <w:r>
        <w:rPr>
          <w:rFonts w:hint="eastAsia"/>
        </w:rPr>
        <w:t>数据近似表征。土地覆盖、</w:t>
      </w:r>
      <w:r>
        <w:rPr>
          <w:rFonts w:hint="eastAsia"/>
        </w:rPr>
        <w:t>NDVI</w:t>
      </w:r>
      <w:r>
        <w:rPr>
          <w:rFonts w:hint="eastAsia"/>
        </w:rPr>
        <w:t>、</w:t>
      </w:r>
      <w:r>
        <w:rPr>
          <w:rFonts w:hint="eastAsia"/>
        </w:rPr>
        <w:t xml:space="preserve">NPP </w:t>
      </w:r>
      <w:r>
        <w:rPr>
          <w:rFonts w:hint="eastAsia"/>
        </w:rPr>
        <w:t>和气候相关指标按目标年份提取或计算；地形坡度为静态指标，在各年份保持一致。</w:t>
      </w:r>
    </w:p>
    <w:p w:rsidR="005211C0" w:rsidRDefault="00000000">
      <w:pPr>
        <w:ind w:firstLine="480"/>
        <w:jc w:val="both"/>
      </w:pPr>
      <w:r>
        <w:rPr>
          <w:rFonts w:hint="eastAsia"/>
        </w:rPr>
        <w:t>为保证规则网格生成的连续性，本文将研究区统一投影至</w:t>
      </w:r>
      <w:r>
        <w:rPr>
          <w:rFonts w:hint="eastAsia"/>
        </w:rPr>
        <w:t xml:space="preserve"> Asia North Albers Equal Area Conic </w:t>
      </w:r>
      <w:r>
        <w:rPr>
          <w:rFonts w:hint="eastAsia"/>
        </w:rPr>
        <w:t>坐标系（</w:t>
      </w:r>
      <w:r>
        <w:rPr>
          <w:rFonts w:hint="eastAsia"/>
        </w:rPr>
        <w:t>ESRI:102025</w:t>
      </w:r>
      <w:r>
        <w:rPr>
          <w:rFonts w:hint="eastAsia"/>
        </w:rPr>
        <w:t>）。在研究区内生成</w:t>
      </w:r>
      <w:r>
        <w:rPr>
          <w:rFonts w:hint="eastAsia"/>
        </w:rPr>
        <w:t xml:space="preserve"> 10 km </w:t>
      </w:r>
      <w:r>
        <w:rPr>
          <w:rFonts w:hint="eastAsia"/>
        </w:rPr>
        <w:t>×</w:t>
      </w:r>
      <w:r>
        <w:rPr>
          <w:rFonts w:hint="eastAsia"/>
        </w:rPr>
        <w:t xml:space="preserve"> 10 km </w:t>
      </w:r>
      <w:r>
        <w:rPr>
          <w:rFonts w:hint="eastAsia"/>
        </w:rPr>
        <w:t>规则网格，并仅保留质心落入研究区范围内的网格作为评价单元，共得到</w:t>
      </w:r>
      <w:r>
        <w:rPr>
          <w:rFonts w:hint="eastAsia"/>
        </w:rPr>
        <w:t xml:space="preserve"> 30160 </w:t>
      </w:r>
      <w:r>
        <w:rPr>
          <w:rFonts w:hint="eastAsia"/>
        </w:rPr>
        <w:t>个网格用作基础计算单元。</w:t>
      </w:r>
    </w:p>
    <w:p w:rsidR="005211C0" w:rsidRDefault="00000000">
      <w:pPr>
        <w:pStyle w:val="2"/>
        <w:ind w:firstLineChars="0" w:firstLine="0"/>
        <w:jc w:val="both"/>
        <w:rPr>
          <w:rFonts w:ascii="Times New Roman" w:hAnsi="Times New Roman"/>
        </w:rPr>
      </w:pPr>
      <w:bookmarkStart w:id="11" w:name="_Toc229736675"/>
      <w:bookmarkStart w:id="12" w:name="_Toc230099577"/>
      <w:r>
        <w:rPr>
          <w:rFonts w:ascii="Times New Roman" w:hAnsi="Times New Roman" w:hint="eastAsia"/>
        </w:rPr>
        <w:t xml:space="preserve">3.2 </w:t>
      </w:r>
      <w:bookmarkEnd w:id="11"/>
      <w:r>
        <w:rPr>
          <w:rFonts w:ascii="Times New Roman" w:hAnsi="Times New Roman" w:hint="eastAsia"/>
        </w:rPr>
        <w:t>SDGs</w:t>
      </w:r>
      <w:r>
        <w:rPr>
          <w:rFonts w:ascii="Times New Roman" w:hAnsi="Times New Roman" w:hint="eastAsia"/>
        </w:rPr>
        <w:t>空间支撑条件评价指标体系</w:t>
      </w:r>
      <w:bookmarkEnd w:id="12"/>
    </w:p>
    <w:p w:rsidR="00C64861" w:rsidRDefault="00000000">
      <w:pPr>
        <w:ind w:firstLine="480"/>
        <w:jc w:val="both"/>
      </w:pPr>
      <w:r>
        <w:rPr>
          <w:rFonts w:hint="eastAsia"/>
        </w:rPr>
        <w:t>本文尽可能关联更全面的官方</w:t>
      </w:r>
      <w:r>
        <w:rPr>
          <w:rFonts w:hint="eastAsia"/>
        </w:rPr>
        <w:t>SDGs</w:t>
      </w:r>
      <w:r>
        <w:rPr>
          <w:rFonts w:hint="eastAsia"/>
        </w:rPr>
        <w:t>，结合跨境区域特征和数据可得性，</w:t>
      </w:r>
      <w:r>
        <w:rPr>
          <w:rFonts w:hint="eastAsia"/>
        </w:rPr>
        <w:t xml:space="preserve">SDGs </w:t>
      </w:r>
      <w:r>
        <w:rPr>
          <w:rFonts w:hint="eastAsia"/>
        </w:rPr>
        <w:t>空间支撑条件评价指标体系（表</w:t>
      </w:r>
      <w:r>
        <w:rPr>
          <w:rFonts w:hint="eastAsia"/>
        </w:rPr>
        <w:t>3-1</w:t>
      </w:r>
      <w:r>
        <w:rPr>
          <w:rFonts w:hint="eastAsia"/>
        </w:rPr>
        <w:t>）。人类活动维度用于反映人口、经济活动和农业生产基础；通达性维度用于反映口岸、城市和道路对跨境联系的支撑；生态状态维度用于反映植被、森林和生态系统生产力；环境本底维度用于反映地形、水分和低温条件对区域发展的约束</w:t>
      </w:r>
      <w:r>
        <w:rPr>
          <w:rFonts w:hint="eastAsia"/>
        </w:rPr>
        <w:t>[36]</w:t>
      </w:r>
      <w:r>
        <w:rPr>
          <w:rFonts w:hint="eastAsia"/>
        </w:rPr>
        <w:t>。</w:t>
      </w:r>
    </w:p>
    <w:p w:rsidR="005211C0" w:rsidRDefault="00C64861" w:rsidP="00C64861">
      <w:pPr>
        <w:ind w:firstLineChars="0" w:firstLine="0"/>
        <w:jc w:val="center"/>
      </w:pPr>
      <w:r>
        <w:rPr>
          <w:rFonts w:hint="eastAsia"/>
        </w:rPr>
        <w:t>表</w:t>
      </w:r>
      <w:r>
        <w:rPr>
          <w:rFonts w:hint="eastAsia"/>
        </w:rPr>
        <w:t xml:space="preserve">3-1 SDGs </w:t>
      </w:r>
      <w:r>
        <w:rPr>
          <w:rFonts w:hint="eastAsia"/>
        </w:rPr>
        <w:t>空间支撑条件评价指标体系</w:t>
      </w:r>
    </w:p>
    <w:tbl>
      <w:tblPr>
        <w:tblStyle w:val="210"/>
        <w:tblW w:w="4763" w:type="pct"/>
        <w:jc w:val="center"/>
        <w:tblLook w:val="04A0" w:firstRow="1" w:lastRow="0" w:firstColumn="1" w:lastColumn="0" w:noHBand="0" w:noVBand="1"/>
      </w:tblPr>
      <w:tblGrid>
        <w:gridCol w:w="1701"/>
        <w:gridCol w:w="2127"/>
        <w:gridCol w:w="3119"/>
        <w:gridCol w:w="1693"/>
      </w:tblGrid>
      <w:tr w:rsidR="00C64861" w:rsidTr="00FD2F0F">
        <w:trPr>
          <w:cnfStyle w:val="100000000000" w:firstRow="1" w:lastRow="0" w:firstColumn="0" w:lastColumn="0" w:oddVBand="0" w:evenVBand="0" w:oddHBand="0"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984" w:type="pct"/>
            <w:tcBorders>
              <w:top w:val="single" w:sz="8" w:space="0" w:color="auto"/>
              <w:bottom w:val="single" w:sz="8" w:space="0" w:color="auto"/>
            </w:tcBorders>
            <w:vAlign w:val="top"/>
          </w:tcPr>
          <w:p w:rsidR="00C64861" w:rsidRDefault="00C64861" w:rsidP="00FD2F0F">
            <w:pPr>
              <w:ind w:firstLineChars="0" w:firstLine="0"/>
              <w:jc w:val="both"/>
              <w:rPr>
                <w:rFonts w:ascii="宋体" w:hAnsi="宋体"/>
                <w:b w:val="0"/>
              </w:rPr>
            </w:pPr>
            <w:r>
              <w:rPr>
                <w:rFonts w:ascii="宋体" w:hAnsi="宋体"/>
                <w:bCs w:val="0"/>
              </w:rPr>
              <w:t>维度</w:t>
            </w:r>
          </w:p>
        </w:tc>
        <w:tc>
          <w:tcPr>
            <w:tcW w:w="1231" w:type="pct"/>
            <w:tcBorders>
              <w:top w:val="single" w:sz="8" w:space="0" w:color="auto"/>
              <w:bottom w:val="single" w:sz="8" w:space="0" w:color="auto"/>
            </w:tcBorders>
            <w:vAlign w:val="top"/>
          </w:tcPr>
          <w:p w:rsidR="00C64861" w:rsidRDefault="00C64861" w:rsidP="00FD2F0F">
            <w:pPr>
              <w:ind w:firstLineChars="20" w:firstLine="48"/>
              <w:jc w:val="both"/>
              <w:cnfStyle w:val="100000000000" w:firstRow="1" w:lastRow="0" w:firstColumn="0" w:lastColumn="0" w:oddVBand="0" w:evenVBand="0" w:oddHBand="0" w:evenHBand="0" w:firstRowFirstColumn="0" w:firstRowLastColumn="0" w:lastRowFirstColumn="0" w:lastRowLastColumn="0"/>
              <w:rPr>
                <w:rFonts w:ascii="宋体" w:hAnsi="宋体"/>
                <w:b w:val="0"/>
              </w:rPr>
            </w:pPr>
            <w:r>
              <w:rPr>
                <w:rFonts w:ascii="宋体" w:hAnsi="宋体"/>
                <w:bCs w:val="0"/>
              </w:rPr>
              <w:t>指标名称</w:t>
            </w:r>
          </w:p>
        </w:tc>
        <w:tc>
          <w:tcPr>
            <w:tcW w:w="1805" w:type="pct"/>
            <w:tcBorders>
              <w:top w:val="single" w:sz="8" w:space="0" w:color="auto"/>
              <w:bottom w:val="single" w:sz="8" w:space="0" w:color="auto"/>
            </w:tcBorders>
            <w:vAlign w:val="top"/>
          </w:tcPr>
          <w:p w:rsidR="00C64861" w:rsidRDefault="00C64861" w:rsidP="00FD2F0F">
            <w:pPr>
              <w:ind w:firstLineChars="13" w:firstLine="31"/>
              <w:jc w:val="both"/>
              <w:cnfStyle w:val="100000000000" w:firstRow="1" w:lastRow="0" w:firstColumn="0" w:lastColumn="0" w:oddVBand="0" w:evenVBand="0" w:oddHBand="0" w:evenHBand="0" w:firstRowFirstColumn="0" w:firstRowLastColumn="0" w:lastRowFirstColumn="0" w:lastRowLastColumn="0"/>
              <w:rPr>
                <w:rFonts w:ascii="宋体" w:hAnsi="宋体"/>
                <w:b w:val="0"/>
              </w:rPr>
            </w:pPr>
            <w:r>
              <w:rPr>
                <w:rFonts w:ascii="宋体" w:hAnsi="宋体" w:hint="eastAsia"/>
                <w:bCs w:val="0"/>
              </w:rPr>
              <w:t>主要含义</w:t>
            </w:r>
          </w:p>
        </w:tc>
        <w:tc>
          <w:tcPr>
            <w:tcW w:w="980" w:type="pct"/>
            <w:tcBorders>
              <w:top w:val="single" w:sz="8" w:space="0" w:color="auto"/>
              <w:bottom w:val="single" w:sz="8" w:space="0" w:color="auto"/>
            </w:tcBorders>
            <w:vAlign w:val="top"/>
          </w:tcPr>
          <w:p w:rsidR="00C64861" w:rsidRDefault="00C64861" w:rsidP="00FD2F0F">
            <w:pPr>
              <w:ind w:firstLineChars="14" w:firstLine="34"/>
              <w:jc w:val="both"/>
              <w:cnfStyle w:val="100000000000" w:firstRow="1" w:lastRow="0" w:firstColumn="0" w:lastColumn="0" w:oddVBand="0" w:evenVBand="0" w:oddHBand="0" w:evenHBand="0" w:firstRowFirstColumn="0" w:firstRowLastColumn="0" w:lastRowFirstColumn="0" w:lastRowLastColumn="0"/>
              <w:rPr>
                <w:rFonts w:ascii="宋体" w:hAnsi="宋体"/>
                <w:b w:val="0"/>
              </w:rPr>
            </w:pPr>
            <w:r>
              <w:rPr>
                <w:rFonts w:ascii="宋体" w:hAnsi="宋体" w:hint="eastAsia"/>
                <w:bCs w:val="0"/>
              </w:rPr>
              <w:t>关联</w:t>
            </w:r>
            <w:r>
              <w:rPr>
                <w:rFonts w:ascii="宋体" w:hAnsi="宋体"/>
                <w:bCs w:val="0"/>
              </w:rPr>
              <w:t>SDGs</w:t>
            </w:r>
          </w:p>
        </w:tc>
      </w:tr>
      <w:tr w:rsidR="00C64861" w:rsidTr="00FD2F0F">
        <w:trPr>
          <w:trHeight w:val="467"/>
          <w:jc w:val="center"/>
        </w:trPr>
        <w:tc>
          <w:tcPr>
            <w:cnfStyle w:val="001000000000" w:firstRow="0" w:lastRow="0" w:firstColumn="1" w:lastColumn="0" w:oddVBand="0" w:evenVBand="0" w:oddHBand="0" w:evenHBand="0" w:firstRowFirstColumn="0" w:firstRowLastColumn="0" w:lastRowFirstColumn="0" w:lastRowLastColumn="0"/>
            <w:tcW w:w="984" w:type="pct"/>
            <w:tcBorders>
              <w:top w:val="single" w:sz="8" w:space="0" w:color="auto"/>
            </w:tcBorders>
            <w:vAlign w:val="top"/>
          </w:tcPr>
          <w:p w:rsidR="00C64861" w:rsidRDefault="00C64861" w:rsidP="00FD2F0F">
            <w:pPr>
              <w:ind w:firstLineChars="0" w:firstLine="0"/>
              <w:jc w:val="both"/>
              <w:rPr>
                <w:rFonts w:ascii="宋体" w:hAnsi="宋体"/>
                <w:b w:val="0"/>
              </w:rPr>
            </w:pPr>
            <w:r>
              <w:rPr>
                <w:bCs w:val="0"/>
              </w:rPr>
              <w:t>D1</w:t>
            </w:r>
            <w:r>
              <w:rPr>
                <w:rFonts w:ascii="宋体" w:hAnsi="宋体" w:hint="eastAsia"/>
                <w:bCs w:val="0"/>
              </w:rPr>
              <w:t>人类活动</w:t>
            </w:r>
          </w:p>
        </w:tc>
        <w:tc>
          <w:tcPr>
            <w:tcW w:w="1231" w:type="pct"/>
            <w:tcBorders>
              <w:top w:val="single" w:sz="8" w:space="0" w:color="auto"/>
            </w:tcBorders>
            <w:vAlign w:val="top"/>
          </w:tcPr>
          <w:p w:rsidR="00C64861" w:rsidRDefault="00C64861" w:rsidP="00FD2F0F">
            <w:pPr>
              <w:ind w:firstLineChars="20" w:firstLine="48"/>
              <w:jc w:val="both"/>
              <w:cnfStyle w:val="000000000000" w:firstRow="0" w:lastRow="0" w:firstColumn="0" w:lastColumn="0" w:oddVBand="0" w:evenVBand="0" w:oddHBand="0" w:evenHBand="0" w:firstRowFirstColumn="0" w:firstRowLastColumn="0" w:lastRowFirstColumn="0" w:lastRowLastColumn="0"/>
              <w:rPr>
                <w:rFonts w:ascii="宋体" w:hAnsi="宋体"/>
                <w:bCs/>
              </w:rPr>
            </w:pPr>
            <w:r>
              <w:rPr>
                <w:rFonts w:ascii="宋体" w:hAnsi="宋体" w:hint="eastAsia"/>
                <w:bCs/>
              </w:rPr>
              <w:t>人口密度</w:t>
            </w:r>
          </w:p>
        </w:tc>
        <w:tc>
          <w:tcPr>
            <w:tcW w:w="1805" w:type="pct"/>
            <w:tcBorders>
              <w:top w:val="single" w:sz="8" w:space="0" w:color="auto"/>
            </w:tcBorders>
            <w:vAlign w:val="top"/>
          </w:tcPr>
          <w:p w:rsidR="00C64861" w:rsidRDefault="00C64861" w:rsidP="00FD2F0F">
            <w:pPr>
              <w:ind w:firstLineChars="13" w:firstLine="31"/>
              <w:jc w:val="both"/>
              <w:cnfStyle w:val="000000000000" w:firstRow="0" w:lastRow="0" w:firstColumn="0" w:lastColumn="0" w:oddVBand="0" w:evenVBand="0" w:oddHBand="0" w:evenHBand="0" w:firstRowFirstColumn="0" w:firstRowLastColumn="0" w:lastRowFirstColumn="0" w:lastRowLastColumn="0"/>
              <w:rPr>
                <w:rFonts w:ascii="宋体" w:hAnsi="宋体"/>
                <w:bCs/>
              </w:rPr>
            </w:pPr>
            <w:r>
              <w:rPr>
                <w:rFonts w:ascii="宋体" w:hAnsi="宋体" w:hint="eastAsia"/>
                <w:bCs/>
              </w:rPr>
              <w:t>衡量区域人类活动强度和人口承载能力的基础指标[34,32]</w:t>
            </w:r>
          </w:p>
        </w:tc>
        <w:tc>
          <w:tcPr>
            <w:tcW w:w="980" w:type="pct"/>
            <w:tcBorders>
              <w:top w:val="single" w:sz="8" w:space="0" w:color="auto"/>
            </w:tcBorders>
            <w:vAlign w:val="top"/>
          </w:tcPr>
          <w:p w:rsidR="00C64861" w:rsidRDefault="00C64861" w:rsidP="00FD2F0F">
            <w:pPr>
              <w:ind w:firstLineChars="14" w:firstLine="34"/>
              <w:jc w:val="both"/>
              <w:cnfStyle w:val="000000000000" w:firstRow="0" w:lastRow="0" w:firstColumn="0" w:lastColumn="0" w:oddVBand="0" w:evenVBand="0" w:oddHBand="0" w:evenHBand="0" w:firstRowFirstColumn="0" w:firstRowLastColumn="0" w:lastRowFirstColumn="0" w:lastRowLastColumn="0"/>
              <w:rPr>
                <w:bCs/>
              </w:rPr>
            </w:pPr>
            <w:r>
              <w:rPr>
                <w:rFonts w:hint="eastAsia"/>
                <w:bCs/>
              </w:rPr>
              <w:t>SDG 1</w:t>
            </w:r>
          </w:p>
          <w:p w:rsidR="00C64861" w:rsidRDefault="00C64861" w:rsidP="00FD2F0F">
            <w:pPr>
              <w:ind w:firstLineChars="14" w:firstLine="34"/>
              <w:jc w:val="both"/>
              <w:cnfStyle w:val="000000000000" w:firstRow="0" w:lastRow="0" w:firstColumn="0" w:lastColumn="0" w:oddVBand="0" w:evenVBand="0" w:oddHBand="0" w:evenHBand="0" w:firstRowFirstColumn="0" w:firstRowLastColumn="0" w:lastRowFirstColumn="0" w:lastRowLastColumn="0"/>
              <w:rPr>
                <w:bCs/>
              </w:rPr>
            </w:pPr>
            <w:r>
              <w:rPr>
                <w:rFonts w:hint="eastAsia"/>
                <w:bCs/>
              </w:rPr>
              <w:t>SDG 11</w:t>
            </w:r>
          </w:p>
        </w:tc>
      </w:tr>
    </w:tbl>
    <w:p w:rsidR="005211C0" w:rsidRDefault="005211C0">
      <w:pPr>
        <w:pStyle w:val="af3"/>
        <w:ind w:firstLine="315"/>
        <w:jc w:val="center"/>
      </w:pPr>
    </w:p>
    <w:p w:rsidR="00C64861" w:rsidRDefault="00C64861">
      <w:pPr>
        <w:pStyle w:val="af3"/>
        <w:ind w:firstLine="315"/>
        <w:jc w:val="center"/>
        <w:rPr>
          <w:rFonts w:hint="eastAsia"/>
        </w:rPr>
      </w:pPr>
      <w:r>
        <w:rPr>
          <w:rFonts w:hint="eastAsia"/>
        </w:rPr>
        <w:lastRenderedPageBreak/>
        <w:t>续表</w:t>
      </w:r>
      <w:r>
        <w:rPr>
          <w:rFonts w:hint="eastAsia"/>
        </w:rPr>
        <w:t>3-1</w:t>
      </w:r>
    </w:p>
    <w:tbl>
      <w:tblPr>
        <w:tblStyle w:val="210"/>
        <w:tblW w:w="4763" w:type="pct"/>
        <w:jc w:val="center"/>
        <w:tblLook w:val="04A0" w:firstRow="1" w:lastRow="0" w:firstColumn="1" w:lastColumn="0" w:noHBand="0" w:noVBand="1"/>
      </w:tblPr>
      <w:tblGrid>
        <w:gridCol w:w="1701"/>
        <w:gridCol w:w="2127"/>
        <w:gridCol w:w="3119"/>
        <w:gridCol w:w="1693"/>
      </w:tblGrid>
      <w:tr w:rsidR="005211C0" w:rsidTr="005211C0">
        <w:trPr>
          <w:cnfStyle w:val="100000000000" w:firstRow="1" w:lastRow="0" w:firstColumn="0" w:lastColumn="0" w:oddVBand="0" w:evenVBand="0" w:oddHBand="0"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984" w:type="pct"/>
            <w:tcBorders>
              <w:top w:val="single" w:sz="8" w:space="0" w:color="auto"/>
              <w:bottom w:val="single" w:sz="8" w:space="0" w:color="auto"/>
            </w:tcBorders>
            <w:vAlign w:val="top"/>
          </w:tcPr>
          <w:p w:rsidR="005211C0" w:rsidRDefault="00000000">
            <w:pPr>
              <w:ind w:firstLineChars="0" w:firstLine="0"/>
              <w:jc w:val="both"/>
              <w:rPr>
                <w:rFonts w:ascii="宋体" w:hAnsi="宋体"/>
                <w:b w:val="0"/>
              </w:rPr>
            </w:pPr>
            <w:r>
              <w:rPr>
                <w:rFonts w:ascii="宋体" w:hAnsi="宋体"/>
                <w:bCs w:val="0"/>
              </w:rPr>
              <w:t>维度</w:t>
            </w:r>
          </w:p>
        </w:tc>
        <w:tc>
          <w:tcPr>
            <w:tcW w:w="1231" w:type="pct"/>
            <w:tcBorders>
              <w:top w:val="single" w:sz="8" w:space="0" w:color="auto"/>
              <w:bottom w:val="single" w:sz="8" w:space="0" w:color="auto"/>
            </w:tcBorders>
            <w:vAlign w:val="top"/>
          </w:tcPr>
          <w:p w:rsidR="005211C0" w:rsidRDefault="00000000">
            <w:pPr>
              <w:ind w:firstLineChars="20" w:firstLine="48"/>
              <w:jc w:val="both"/>
              <w:cnfStyle w:val="100000000000" w:firstRow="1" w:lastRow="0" w:firstColumn="0" w:lastColumn="0" w:oddVBand="0" w:evenVBand="0" w:oddHBand="0" w:evenHBand="0" w:firstRowFirstColumn="0" w:firstRowLastColumn="0" w:lastRowFirstColumn="0" w:lastRowLastColumn="0"/>
              <w:rPr>
                <w:rFonts w:ascii="宋体" w:hAnsi="宋体"/>
                <w:b w:val="0"/>
              </w:rPr>
            </w:pPr>
            <w:r>
              <w:rPr>
                <w:rFonts w:ascii="宋体" w:hAnsi="宋体"/>
                <w:bCs w:val="0"/>
              </w:rPr>
              <w:t>指标名称</w:t>
            </w:r>
          </w:p>
        </w:tc>
        <w:tc>
          <w:tcPr>
            <w:tcW w:w="1805" w:type="pct"/>
            <w:tcBorders>
              <w:top w:val="single" w:sz="8" w:space="0" w:color="auto"/>
              <w:bottom w:val="single" w:sz="8" w:space="0" w:color="auto"/>
            </w:tcBorders>
            <w:vAlign w:val="top"/>
          </w:tcPr>
          <w:p w:rsidR="005211C0" w:rsidRDefault="00000000">
            <w:pPr>
              <w:ind w:firstLineChars="13" w:firstLine="31"/>
              <w:jc w:val="both"/>
              <w:cnfStyle w:val="100000000000" w:firstRow="1" w:lastRow="0" w:firstColumn="0" w:lastColumn="0" w:oddVBand="0" w:evenVBand="0" w:oddHBand="0" w:evenHBand="0" w:firstRowFirstColumn="0" w:firstRowLastColumn="0" w:lastRowFirstColumn="0" w:lastRowLastColumn="0"/>
              <w:rPr>
                <w:rFonts w:ascii="宋体" w:hAnsi="宋体"/>
                <w:b w:val="0"/>
              </w:rPr>
            </w:pPr>
            <w:r>
              <w:rPr>
                <w:rFonts w:ascii="宋体" w:hAnsi="宋体" w:hint="eastAsia"/>
                <w:bCs w:val="0"/>
              </w:rPr>
              <w:t>主要含义</w:t>
            </w:r>
          </w:p>
        </w:tc>
        <w:tc>
          <w:tcPr>
            <w:tcW w:w="980" w:type="pct"/>
            <w:tcBorders>
              <w:top w:val="single" w:sz="8" w:space="0" w:color="auto"/>
              <w:bottom w:val="single" w:sz="8" w:space="0" w:color="auto"/>
            </w:tcBorders>
            <w:vAlign w:val="top"/>
          </w:tcPr>
          <w:p w:rsidR="005211C0" w:rsidRDefault="00000000">
            <w:pPr>
              <w:ind w:firstLineChars="14" w:firstLine="34"/>
              <w:jc w:val="both"/>
              <w:cnfStyle w:val="100000000000" w:firstRow="1" w:lastRow="0" w:firstColumn="0" w:lastColumn="0" w:oddVBand="0" w:evenVBand="0" w:oddHBand="0" w:evenHBand="0" w:firstRowFirstColumn="0" w:firstRowLastColumn="0" w:lastRowFirstColumn="0" w:lastRowLastColumn="0"/>
              <w:rPr>
                <w:rFonts w:ascii="宋体" w:hAnsi="宋体"/>
                <w:b w:val="0"/>
              </w:rPr>
            </w:pPr>
            <w:r>
              <w:rPr>
                <w:rFonts w:ascii="宋体" w:hAnsi="宋体" w:hint="eastAsia"/>
                <w:bCs w:val="0"/>
              </w:rPr>
              <w:t>关联</w:t>
            </w:r>
            <w:r>
              <w:rPr>
                <w:rFonts w:ascii="宋体" w:hAnsi="宋体"/>
                <w:bCs w:val="0"/>
              </w:rPr>
              <w:t>SDGs</w:t>
            </w:r>
          </w:p>
        </w:tc>
      </w:tr>
      <w:tr w:rsidR="005211C0" w:rsidTr="005211C0">
        <w:trPr>
          <w:trHeight w:val="467"/>
          <w:jc w:val="center"/>
        </w:trPr>
        <w:tc>
          <w:tcPr>
            <w:cnfStyle w:val="001000000000" w:firstRow="0" w:lastRow="0" w:firstColumn="1" w:lastColumn="0" w:oddVBand="0" w:evenVBand="0" w:oddHBand="0" w:evenHBand="0" w:firstRowFirstColumn="0" w:firstRowLastColumn="0" w:lastRowFirstColumn="0" w:lastRowLastColumn="0"/>
            <w:tcW w:w="984" w:type="pct"/>
            <w:vMerge w:val="restart"/>
            <w:vAlign w:val="top"/>
          </w:tcPr>
          <w:p w:rsidR="005211C0" w:rsidRDefault="005211C0">
            <w:pPr>
              <w:ind w:firstLine="480"/>
              <w:jc w:val="both"/>
              <w:rPr>
                <w:rFonts w:ascii="宋体" w:hAnsi="宋体"/>
                <w:b w:val="0"/>
              </w:rPr>
            </w:pPr>
          </w:p>
        </w:tc>
        <w:tc>
          <w:tcPr>
            <w:tcW w:w="1231" w:type="pct"/>
            <w:vAlign w:val="top"/>
          </w:tcPr>
          <w:p w:rsidR="005211C0" w:rsidRDefault="00000000">
            <w:pPr>
              <w:ind w:firstLineChars="20" w:firstLine="48"/>
              <w:jc w:val="both"/>
              <w:cnfStyle w:val="000000000000" w:firstRow="0" w:lastRow="0" w:firstColumn="0" w:lastColumn="0" w:oddVBand="0" w:evenVBand="0" w:oddHBand="0" w:evenHBand="0" w:firstRowFirstColumn="0" w:firstRowLastColumn="0" w:lastRowFirstColumn="0" w:lastRowLastColumn="0"/>
              <w:rPr>
                <w:rFonts w:ascii="宋体" w:hAnsi="宋体"/>
                <w:bCs/>
              </w:rPr>
            </w:pPr>
            <w:r>
              <w:rPr>
                <w:rFonts w:ascii="宋体" w:hAnsi="宋体"/>
                <w:bCs/>
              </w:rPr>
              <w:t>夜间灯光强度</w:t>
            </w:r>
          </w:p>
        </w:tc>
        <w:tc>
          <w:tcPr>
            <w:tcW w:w="1805" w:type="pct"/>
            <w:vAlign w:val="top"/>
          </w:tcPr>
          <w:p w:rsidR="005211C0" w:rsidRDefault="00000000">
            <w:pPr>
              <w:ind w:firstLineChars="13" w:firstLine="31"/>
              <w:jc w:val="both"/>
              <w:cnfStyle w:val="000000000000" w:firstRow="0" w:lastRow="0" w:firstColumn="0" w:lastColumn="0" w:oddVBand="0" w:evenVBand="0" w:oddHBand="0" w:evenHBand="0" w:firstRowFirstColumn="0" w:firstRowLastColumn="0" w:lastRowFirstColumn="0" w:lastRowLastColumn="0"/>
              <w:rPr>
                <w:rFonts w:ascii="宋体" w:hAnsi="宋体"/>
                <w:bCs/>
              </w:rPr>
            </w:pPr>
            <w:r>
              <w:rPr>
                <w:rFonts w:ascii="宋体" w:hAnsi="宋体"/>
                <w:bCs/>
              </w:rPr>
              <w:t>间接反映经济活动和基础设施水平，与</w:t>
            </w:r>
            <w:r>
              <w:rPr>
                <w:bCs/>
              </w:rPr>
              <w:t>GDP</w:t>
            </w:r>
            <w:r>
              <w:rPr>
                <w:rFonts w:ascii="宋体" w:hAnsi="宋体"/>
                <w:bCs/>
              </w:rPr>
              <w:t>和城镇化水平高度相关[8,36]</w:t>
            </w:r>
          </w:p>
        </w:tc>
        <w:tc>
          <w:tcPr>
            <w:tcW w:w="980" w:type="pct"/>
            <w:vAlign w:val="top"/>
          </w:tcPr>
          <w:p w:rsidR="005211C0" w:rsidRDefault="00000000">
            <w:pPr>
              <w:ind w:left="1" w:firstLineChars="14" w:firstLine="34"/>
              <w:jc w:val="both"/>
              <w:cnfStyle w:val="000000000000" w:firstRow="0" w:lastRow="0" w:firstColumn="0" w:lastColumn="0" w:oddVBand="0" w:evenVBand="0" w:oddHBand="0" w:evenHBand="0" w:firstRowFirstColumn="0" w:firstRowLastColumn="0" w:lastRowFirstColumn="0" w:lastRowLastColumn="0"/>
              <w:rPr>
                <w:bCs/>
              </w:rPr>
            </w:pPr>
            <w:r>
              <w:rPr>
                <w:bCs/>
              </w:rPr>
              <w:t>SDG 8</w:t>
            </w:r>
          </w:p>
        </w:tc>
      </w:tr>
      <w:tr w:rsidR="005211C0" w:rsidTr="005211C0">
        <w:trPr>
          <w:trHeight w:val="467"/>
          <w:jc w:val="center"/>
        </w:trPr>
        <w:tc>
          <w:tcPr>
            <w:cnfStyle w:val="001000000000" w:firstRow="0" w:lastRow="0" w:firstColumn="1" w:lastColumn="0" w:oddVBand="0" w:evenVBand="0" w:oddHBand="0" w:evenHBand="0" w:firstRowFirstColumn="0" w:firstRowLastColumn="0" w:lastRowFirstColumn="0" w:lastRowLastColumn="0"/>
            <w:tcW w:w="984" w:type="pct"/>
            <w:vMerge/>
            <w:vAlign w:val="top"/>
          </w:tcPr>
          <w:p w:rsidR="005211C0" w:rsidRDefault="005211C0">
            <w:pPr>
              <w:ind w:firstLine="480"/>
              <w:jc w:val="both"/>
              <w:rPr>
                <w:rFonts w:ascii="宋体" w:hAnsi="宋体"/>
                <w:b w:val="0"/>
              </w:rPr>
            </w:pPr>
          </w:p>
        </w:tc>
        <w:tc>
          <w:tcPr>
            <w:tcW w:w="1231" w:type="pct"/>
            <w:vAlign w:val="top"/>
          </w:tcPr>
          <w:p w:rsidR="005211C0" w:rsidRDefault="00000000">
            <w:pPr>
              <w:ind w:firstLineChars="20" w:firstLine="48"/>
              <w:jc w:val="both"/>
              <w:cnfStyle w:val="000000000000" w:firstRow="0" w:lastRow="0" w:firstColumn="0" w:lastColumn="0" w:oddVBand="0" w:evenVBand="0" w:oddHBand="0" w:evenHBand="0" w:firstRowFirstColumn="0" w:firstRowLastColumn="0" w:lastRowFirstColumn="0" w:lastRowLastColumn="0"/>
              <w:rPr>
                <w:rFonts w:ascii="宋体" w:hAnsi="宋体"/>
                <w:bCs/>
              </w:rPr>
            </w:pPr>
            <w:r>
              <w:rPr>
                <w:rFonts w:ascii="宋体" w:hAnsi="宋体"/>
                <w:bCs/>
              </w:rPr>
              <w:t>耕地比例</w:t>
            </w:r>
          </w:p>
        </w:tc>
        <w:tc>
          <w:tcPr>
            <w:tcW w:w="1805" w:type="pct"/>
            <w:vAlign w:val="top"/>
          </w:tcPr>
          <w:p w:rsidR="005211C0" w:rsidRDefault="00000000">
            <w:pPr>
              <w:ind w:firstLineChars="13" w:firstLine="31"/>
              <w:jc w:val="both"/>
              <w:cnfStyle w:val="000000000000" w:firstRow="0" w:lastRow="0" w:firstColumn="0" w:lastColumn="0" w:oddVBand="0" w:evenVBand="0" w:oddHBand="0" w:evenHBand="0" w:firstRowFirstColumn="0" w:firstRowLastColumn="0" w:lastRowFirstColumn="0" w:lastRowLastColumn="0"/>
              <w:rPr>
                <w:rFonts w:ascii="宋体" w:hAnsi="宋体"/>
                <w:bCs/>
              </w:rPr>
            </w:pPr>
            <w:r>
              <w:rPr>
                <w:rFonts w:ascii="宋体" w:hAnsi="宋体"/>
                <w:bCs/>
              </w:rPr>
              <w:t>反映农业生产空间和生计支撑[21]</w:t>
            </w:r>
          </w:p>
        </w:tc>
        <w:tc>
          <w:tcPr>
            <w:tcW w:w="980" w:type="pct"/>
            <w:vAlign w:val="top"/>
          </w:tcPr>
          <w:p w:rsidR="005211C0" w:rsidRDefault="00000000">
            <w:pPr>
              <w:ind w:firstLineChars="14" w:firstLine="34"/>
              <w:jc w:val="both"/>
              <w:cnfStyle w:val="000000000000" w:firstRow="0" w:lastRow="0" w:firstColumn="0" w:lastColumn="0" w:oddVBand="0" w:evenVBand="0" w:oddHBand="0" w:evenHBand="0" w:firstRowFirstColumn="0" w:firstRowLastColumn="0" w:lastRowFirstColumn="0" w:lastRowLastColumn="0"/>
              <w:rPr>
                <w:bCs/>
              </w:rPr>
            </w:pPr>
            <w:r>
              <w:rPr>
                <w:bCs/>
              </w:rPr>
              <w:t>SDG 2</w:t>
            </w:r>
          </w:p>
        </w:tc>
      </w:tr>
      <w:tr w:rsidR="005211C0" w:rsidTr="005211C0">
        <w:trPr>
          <w:trHeight w:val="467"/>
          <w:jc w:val="center"/>
        </w:trPr>
        <w:tc>
          <w:tcPr>
            <w:cnfStyle w:val="001000000000" w:firstRow="0" w:lastRow="0" w:firstColumn="1" w:lastColumn="0" w:oddVBand="0" w:evenVBand="0" w:oddHBand="0" w:evenHBand="0" w:firstRowFirstColumn="0" w:firstRowLastColumn="0" w:lastRowFirstColumn="0" w:lastRowLastColumn="0"/>
            <w:tcW w:w="984" w:type="pct"/>
            <w:vMerge w:val="restart"/>
            <w:vAlign w:val="top"/>
          </w:tcPr>
          <w:p w:rsidR="005211C0" w:rsidRDefault="00000000">
            <w:pPr>
              <w:ind w:firstLineChars="0" w:firstLine="0"/>
              <w:jc w:val="both"/>
              <w:rPr>
                <w:rFonts w:ascii="宋体" w:hAnsi="宋体"/>
                <w:b w:val="0"/>
              </w:rPr>
            </w:pPr>
            <w:r>
              <w:rPr>
                <w:bCs w:val="0"/>
              </w:rPr>
              <w:t>D</w:t>
            </w:r>
            <w:r>
              <w:rPr>
                <w:rFonts w:hint="eastAsia"/>
                <w:bCs w:val="0"/>
              </w:rPr>
              <w:t xml:space="preserve">2 </w:t>
            </w:r>
            <w:r>
              <w:rPr>
                <w:rFonts w:ascii="宋体" w:hAnsi="宋体" w:hint="eastAsia"/>
                <w:bCs w:val="0"/>
              </w:rPr>
              <w:t>通</w:t>
            </w:r>
            <w:r>
              <w:rPr>
                <w:rFonts w:ascii="宋体" w:hAnsi="宋体"/>
                <w:bCs w:val="0"/>
              </w:rPr>
              <w:t>达性</w:t>
            </w:r>
          </w:p>
        </w:tc>
        <w:tc>
          <w:tcPr>
            <w:tcW w:w="1231" w:type="pct"/>
            <w:vAlign w:val="top"/>
          </w:tcPr>
          <w:p w:rsidR="005211C0" w:rsidRDefault="00000000">
            <w:pPr>
              <w:ind w:firstLineChars="20" w:firstLine="48"/>
              <w:jc w:val="both"/>
              <w:cnfStyle w:val="000000000000" w:firstRow="0" w:lastRow="0" w:firstColumn="0" w:lastColumn="0" w:oddVBand="0" w:evenVBand="0" w:oddHBand="0" w:evenHBand="0" w:firstRowFirstColumn="0" w:firstRowLastColumn="0" w:lastRowFirstColumn="0" w:lastRowLastColumn="0"/>
              <w:rPr>
                <w:rFonts w:ascii="宋体" w:hAnsi="宋体"/>
                <w:bCs/>
              </w:rPr>
            </w:pPr>
            <w:r>
              <w:rPr>
                <w:rFonts w:ascii="宋体" w:hAnsi="宋体"/>
                <w:bCs/>
              </w:rPr>
              <w:t>距边境口岸距离</w:t>
            </w:r>
          </w:p>
        </w:tc>
        <w:tc>
          <w:tcPr>
            <w:tcW w:w="1805" w:type="pct"/>
            <w:vAlign w:val="top"/>
          </w:tcPr>
          <w:p w:rsidR="005211C0" w:rsidRDefault="00000000">
            <w:pPr>
              <w:ind w:firstLineChars="13" w:firstLine="31"/>
              <w:jc w:val="both"/>
              <w:cnfStyle w:val="000000000000" w:firstRow="0" w:lastRow="0" w:firstColumn="0" w:lastColumn="0" w:oddVBand="0" w:evenVBand="0" w:oddHBand="0" w:evenHBand="0" w:firstRowFirstColumn="0" w:firstRowLastColumn="0" w:lastRowFirstColumn="0" w:lastRowLastColumn="0"/>
              <w:rPr>
                <w:rFonts w:ascii="宋体" w:hAnsi="宋体"/>
                <w:bCs/>
              </w:rPr>
            </w:pPr>
            <w:r>
              <w:rPr>
                <w:rFonts w:ascii="宋体" w:hAnsi="宋体"/>
                <w:bCs/>
              </w:rPr>
              <w:t>表征跨境通达性和节点依赖程度[24,27]</w:t>
            </w:r>
          </w:p>
        </w:tc>
        <w:tc>
          <w:tcPr>
            <w:tcW w:w="980" w:type="pct"/>
            <w:vAlign w:val="top"/>
          </w:tcPr>
          <w:p w:rsidR="005211C0" w:rsidRDefault="00000000">
            <w:pPr>
              <w:ind w:firstLineChars="14" w:firstLine="34"/>
              <w:jc w:val="both"/>
              <w:cnfStyle w:val="000000000000" w:firstRow="0" w:lastRow="0" w:firstColumn="0" w:lastColumn="0" w:oddVBand="0" w:evenVBand="0" w:oddHBand="0" w:evenHBand="0" w:firstRowFirstColumn="0" w:firstRowLastColumn="0" w:lastRowFirstColumn="0" w:lastRowLastColumn="0"/>
              <w:rPr>
                <w:bCs/>
              </w:rPr>
            </w:pPr>
            <w:r>
              <w:rPr>
                <w:bCs/>
              </w:rPr>
              <w:t>SDG 17</w:t>
            </w:r>
          </w:p>
        </w:tc>
      </w:tr>
      <w:tr w:rsidR="005211C0" w:rsidTr="005211C0">
        <w:trPr>
          <w:trHeight w:val="467"/>
          <w:jc w:val="center"/>
        </w:trPr>
        <w:tc>
          <w:tcPr>
            <w:cnfStyle w:val="001000000000" w:firstRow="0" w:lastRow="0" w:firstColumn="1" w:lastColumn="0" w:oddVBand="0" w:evenVBand="0" w:oddHBand="0" w:evenHBand="0" w:firstRowFirstColumn="0" w:firstRowLastColumn="0" w:lastRowFirstColumn="0" w:lastRowLastColumn="0"/>
            <w:tcW w:w="984" w:type="pct"/>
            <w:vMerge/>
            <w:vAlign w:val="top"/>
          </w:tcPr>
          <w:p w:rsidR="005211C0" w:rsidRDefault="005211C0">
            <w:pPr>
              <w:ind w:firstLine="480"/>
              <w:jc w:val="both"/>
              <w:rPr>
                <w:rFonts w:ascii="宋体" w:hAnsi="宋体"/>
                <w:b w:val="0"/>
              </w:rPr>
            </w:pPr>
          </w:p>
        </w:tc>
        <w:tc>
          <w:tcPr>
            <w:tcW w:w="1231" w:type="pct"/>
            <w:vAlign w:val="top"/>
          </w:tcPr>
          <w:p w:rsidR="005211C0" w:rsidRDefault="00000000">
            <w:pPr>
              <w:ind w:firstLineChars="20" w:firstLine="48"/>
              <w:jc w:val="both"/>
              <w:cnfStyle w:val="000000000000" w:firstRow="0" w:lastRow="0" w:firstColumn="0" w:lastColumn="0" w:oddVBand="0" w:evenVBand="0" w:oddHBand="0" w:evenHBand="0" w:firstRowFirstColumn="0" w:firstRowLastColumn="0" w:lastRowFirstColumn="0" w:lastRowLastColumn="0"/>
              <w:rPr>
                <w:rFonts w:ascii="宋体" w:hAnsi="宋体"/>
                <w:bCs/>
              </w:rPr>
            </w:pPr>
            <w:r>
              <w:rPr>
                <w:rFonts w:ascii="宋体" w:hAnsi="宋体"/>
                <w:bCs/>
              </w:rPr>
              <w:t>距城市距离</w:t>
            </w:r>
          </w:p>
        </w:tc>
        <w:tc>
          <w:tcPr>
            <w:tcW w:w="1805" w:type="pct"/>
            <w:vAlign w:val="top"/>
          </w:tcPr>
          <w:p w:rsidR="005211C0" w:rsidRDefault="00000000">
            <w:pPr>
              <w:ind w:firstLineChars="13" w:firstLine="31"/>
              <w:jc w:val="both"/>
              <w:cnfStyle w:val="000000000000" w:firstRow="0" w:lastRow="0" w:firstColumn="0" w:lastColumn="0" w:oddVBand="0" w:evenVBand="0" w:oddHBand="0" w:evenHBand="0" w:firstRowFirstColumn="0" w:firstRowLastColumn="0" w:lastRowFirstColumn="0" w:lastRowLastColumn="0"/>
              <w:rPr>
                <w:rFonts w:ascii="宋体" w:hAnsi="宋体"/>
                <w:bCs/>
              </w:rPr>
            </w:pPr>
            <w:r>
              <w:rPr>
                <w:rFonts w:ascii="宋体" w:hAnsi="宋体"/>
                <w:bCs/>
              </w:rPr>
              <w:t>反映城市公共服务和市场接近性[22,23]</w:t>
            </w:r>
          </w:p>
        </w:tc>
        <w:tc>
          <w:tcPr>
            <w:tcW w:w="980" w:type="pct"/>
            <w:vAlign w:val="top"/>
          </w:tcPr>
          <w:p w:rsidR="005211C0" w:rsidRDefault="00000000">
            <w:pPr>
              <w:ind w:firstLineChars="14" w:firstLine="34"/>
              <w:jc w:val="both"/>
              <w:cnfStyle w:val="000000000000" w:firstRow="0" w:lastRow="0" w:firstColumn="0" w:lastColumn="0" w:oddVBand="0" w:evenVBand="0" w:oddHBand="0" w:evenHBand="0" w:firstRowFirstColumn="0" w:firstRowLastColumn="0" w:lastRowFirstColumn="0" w:lastRowLastColumn="0"/>
              <w:rPr>
                <w:bCs/>
              </w:rPr>
            </w:pPr>
            <w:r>
              <w:rPr>
                <w:bCs/>
              </w:rPr>
              <w:t>SDG 11</w:t>
            </w:r>
          </w:p>
        </w:tc>
      </w:tr>
      <w:tr w:rsidR="005211C0" w:rsidTr="005211C0">
        <w:trPr>
          <w:trHeight w:val="467"/>
          <w:jc w:val="center"/>
        </w:trPr>
        <w:tc>
          <w:tcPr>
            <w:cnfStyle w:val="001000000000" w:firstRow="0" w:lastRow="0" w:firstColumn="1" w:lastColumn="0" w:oddVBand="0" w:evenVBand="0" w:oddHBand="0" w:evenHBand="0" w:firstRowFirstColumn="0" w:firstRowLastColumn="0" w:lastRowFirstColumn="0" w:lastRowLastColumn="0"/>
            <w:tcW w:w="984" w:type="pct"/>
            <w:vMerge/>
            <w:vAlign w:val="top"/>
          </w:tcPr>
          <w:p w:rsidR="005211C0" w:rsidRDefault="005211C0">
            <w:pPr>
              <w:ind w:firstLine="480"/>
              <w:jc w:val="both"/>
              <w:rPr>
                <w:rFonts w:ascii="宋体" w:hAnsi="宋体"/>
                <w:b w:val="0"/>
              </w:rPr>
            </w:pPr>
          </w:p>
        </w:tc>
        <w:tc>
          <w:tcPr>
            <w:tcW w:w="1231" w:type="pct"/>
            <w:vAlign w:val="top"/>
          </w:tcPr>
          <w:p w:rsidR="005211C0" w:rsidRDefault="00000000">
            <w:pPr>
              <w:ind w:firstLineChars="20" w:firstLine="48"/>
              <w:jc w:val="both"/>
              <w:cnfStyle w:val="000000000000" w:firstRow="0" w:lastRow="0" w:firstColumn="0" w:lastColumn="0" w:oddVBand="0" w:evenVBand="0" w:oddHBand="0" w:evenHBand="0" w:firstRowFirstColumn="0" w:firstRowLastColumn="0" w:lastRowFirstColumn="0" w:lastRowLastColumn="0"/>
              <w:rPr>
                <w:rFonts w:ascii="宋体" w:hAnsi="宋体"/>
                <w:bCs/>
              </w:rPr>
            </w:pPr>
            <w:r>
              <w:rPr>
                <w:rFonts w:ascii="宋体" w:hAnsi="宋体"/>
                <w:bCs/>
              </w:rPr>
              <w:t>距道路距离</w:t>
            </w:r>
          </w:p>
        </w:tc>
        <w:tc>
          <w:tcPr>
            <w:tcW w:w="1805" w:type="pct"/>
            <w:vAlign w:val="top"/>
          </w:tcPr>
          <w:p w:rsidR="005211C0" w:rsidRDefault="00000000">
            <w:pPr>
              <w:ind w:firstLineChars="13" w:firstLine="31"/>
              <w:jc w:val="both"/>
              <w:cnfStyle w:val="000000000000" w:firstRow="0" w:lastRow="0" w:firstColumn="0" w:lastColumn="0" w:oddVBand="0" w:evenVBand="0" w:oddHBand="0" w:evenHBand="0" w:firstRowFirstColumn="0" w:firstRowLastColumn="0" w:lastRowFirstColumn="0" w:lastRowLastColumn="0"/>
              <w:rPr>
                <w:rFonts w:ascii="宋体" w:hAnsi="宋体"/>
                <w:bCs/>
              </w:rPr>
            </w:pPr>
            <w:r>
              <w:rPr>
                <w:rFonts w:ascii="宋体" w:hAnsi="宋体"/>
                <w:bCs/>
              </w:rPr>
              <w:t>表征交通走廊支撑和基础设施可达性[27]</w:t>
            </w:r>
          </w:p>
        </w:tc>
        <w:tc>
          <w:tcPr>
            <w:tcW w:w="980" w:type="pct"/>
            <w:vAlign w:val="top"/>
          </w:tcPr>
          <w:p w:rsidR="005211C0" w:rsidRDefault="00000000">
            <w:pPr>
              <w:ind w:firstLineChars="14" w:firstLine="34"/>
              <w:jc w:val="both"/>
              <w:cnfStyle w:val="000000000000" w:firstRow="0" w:lastRow="0" w:firstColumn="0" w:lastColumn="0" w:oddVBand="0" w:evenVBand="0" w:oddHBand="0" w:evenHBand="0" w:firstRowFirstColumn="0" w:firstRowLastColumn="0" w:lastRowFirstColumn="0" w:lastRowLastColumn="0"/>
              <w:rPr>
                <w:bCs/>
              </w:rPr>
            </w:pPr>
            <w:r>
              <w:rPr>
                <w:bCs/>
              </w:rPr>
              <w:t>SDG 9</w:t>
            </w:r>
          </w:p>
        </w:tc>
      </w:tr>
      <w:tr w:rsidR="005211C0" w:rsidTr="005211C0">
        <w:trPr>
          <w:trHeight w:val="467"/>
          <w:jc w:val="center"/>
        </w:trPr>
        <w:tc>
          <w:tcPr>
            <w:cnfStyle w:val="001000000000" w:firstRow="0" w:lastRow="0" w:firstColumn="1" w:lastColumn="0" w:oddVBand="0" w:evenVBand="0" w:oddHBand="0" w:evenHBand="0" w:firstRowFirstColumn="0" w:firstRowLastColumn="0" w:lastRowFirstColumn="0" w:lastRowLastColumn="0"/>
            <w:tcW w:w="984" w:type="pct"/>
            <w:vMerge w:val="restart"/>
            <w:vAlign w:val="top"/>
          </w:tcPr>
          <w:p w:rsidR="005211C0" w:rsidRDefault="00000000">
            <w:pPr>
              <w:ind w:firstLineChars="0" w:firstLine="0"/>
              <w:jc w:val="both"/>
              <w:rPr>
                <w:rFonts w:ascii="宋体" w:hAnsi="宋体"/>
                <w:b w:val="0"/>
              </w:rPr>
            </w:pPr>
            <w:r>
              <w:rPr>
                <w:bCs w:val="0"/>
              </w:rPr>
              <w:t>D3</w:t>
            </w:r>
            <w:r>
              <w:rPr>
                <w:rFonts w:hint="eastAsia"/>
                <w:bCs w:val="0"/>
              </w:rPr>
              <w:t xml:space="preserve"> </w:t>
            </w:r>
            <w:r>
              <w:rPr>
                <w:rFonts w:ascii="宋体" w:hAnsi="宋体"/>
                <w:bCs w:val="0"/>
              </w:rPr>
              <w:t>生态状态</w:t>
            </w:r>
          </w:p>
        </w:tc>
        <w:tc>
          <w:tcPr>
            <w:tcW w:w="1231" w:type="pct"/>
            <w:vAlign w:val="top"/>
          </w:tcPr>
          <w:p w:rsidR="005211C0" w:rsidRDefault="00000000">
            <w:pPr>
              <w:ind w:firstLineChars="20" w:firstLine="48"/>
              <w:jc w:val="both"/>
              <w:cnfStyle w:val="000000000000" w:firstRow="0" w:lastRow="0" w:firstColumn="0" w:lastColumn="0" w:oddVBand="0" w:evenVBand="0" w:oddHBand="0" w:evenHBand="0" w:firstRowFirstColumn="0" w:firstRowLastColumn="0" w:lastRowFirstColumn="0" w:lastRowLastColumn="0"/>
              <w:rPr>
                <w:rFonts w:ascii="宋体" w:hAnsi="宋体"/>
                <w:bCs/>
              </w:rPr>
            </w:pPr>
            <w:r>
              <w:rPr>
                <w:rFonts w:ascii="宋体" w:hAnsi="宋体"/>
                <w:bCs/>
              </w:rPr>
              <w:t>NDVI</w:t>
            </w:r>
          </w:p>
        </w:tc>
        <w:tc>
          <w:tcPr>
            <w:tcW w:w="1805" w:type="pct"/>
            <w:vAlign w:val="top"/>
          </w:tcPr>
          <w:p w:rsidR="005211C0" w:rsidRDefault="00000000">
            <w:pPr>
              <w:ind w:firstLineChars="13" w:firstLine="31"/>
              <w:jc w:val="both"/>
              <w:cnfStyle w:val="000000000000" w:firstRow="0" w:lastRow="0" w:firstColumn="0" w:lastColumn="0" w:oddVBand="0" w:evenVBand="0" w:oddHBand="0" w:evenHBand="0" w:firstRowFirstColumn="0" w:firstRowLastColumn="0" w:lastRowFirstColumn="0" w:lastRowLastColumn="0"/>
              <w:rPr>
                <w:rFonts w:ascii="宋体" w:hAnsi="宋体"/>
                <w:bCs/>
              </w:rPr>
            </w:pPr>
            <w:r>
              <w:rPr>
                <w:rFonts w:ascii="宋体" w:hAnsi="宋体"/>
                <w:bCs/>
              </w:rPr>
              <w:t>植被活力和生态状态的标准遥感指标[20,42]</w:t>
            </w:r>
          </w:p>
        </w:tc>
        <w:tc>
          <w:tcPr>
            <w:tcW w:w="980" w:type="pct"/>
            <w:vAlign w:val="top"/>
          </w:tcPr>
          <w:p w:rsidR="005211C0" w:rsidRDefault="00000000">
            <w:pPr>
              <w:ind w:firstLineChars="14" w:firstLine="34"/>
              <w:jc w:val="both"/>
              <w:cnfStyle w:val="000000000000" w:firstRow="0" w:lastRow="0" w:firstColumn="0" w:lastColumn="0" w:oddVBand="0" w:evenVBand="0" w:oddHBand="0" w:evenHBand="0" w:firstRowFirstColumn="0" w:firstRowLastColumn="0" w:lastRowFirstColumn="0" w:lastRowLastColumn="0"/>
              <w:rPr>
                <w:bCs/>
              </w:rPr>
            </w:pPr>
            <w:r>
              <w:rPr>
                <w:bCs/>
              </w:rPr>
              <w:t>SDG 15</w:t>
            </w:r>
          </w:p>
        </w:tc>
      </w:tr>
      <w:tr w:rsidR="005211C0" w:rsidTr="005211C0">
        <w:trPr>
          <w:trHeight w:val="467"/>
          <w:jc w:val="center"/>
        </w:trPr>
        <w:tc>
          <w:tcPr>
            <w:cnfStyle w:val="001000000000" w:firstRow="0" w:lastRow="0" w:firstColumn="1" w:lastColumn="0" w:oddVBand="0" w:evenVBand="0" w:oddHBand="0" w:evenHBand="0" w:firstRowFirstColumn="0" w:firstRowLastColumn="0" w:lastRowFirstColumn="0" w:lastRowLastColumn="0"/>
            <w:tcW w:w="984" w:type="pct"/>
            <w:vMerge/>
            <w:vAlign w:val="top"/>
          </w:tcPr>
          <w:p w:rsidR="005211C0" w:rsidRDefault="005211C0">
            <w:pPr>
              <w:ind w:firstLine="480"/>
              <w:jc w:val="both"/>
              <w:rPr>
                <w:rFonts w:ascii="宋体" w:hAnsi="宋体"/>
                <w:b w:val="0"/>
              </w:rPr>
            </w:pPr>
          </w:p>
        </w:tc>
        <w:tc>
          <w:tcPr>
            <w:tcW w:w="1231" w:type="pct"/>
            <w:vAlign w:val="top"/>
          </w:tcPr>
          <w:p w:rsidR="005211C0" w:rsidRDefault="00000000">
            <w:pPr>
              <w:ind w:firstLineChars="20" w:firstLine="48"/>
              <w:jc w:val="both"/>
              <w:cnfStyle w:val="000000000000" w:firstRow="0" w:lastRow="0" w:firstColumn="0" w:lastColumn="0" w:oddVBand="0" w:evenVBand="0" w:oddHBand="0" w:evenHBand="0" w:firstRowFirstColumn="0" w:firstRowLastColumn="0" w:lastRowFirstColumn="0" w:lastRowLastColumn="0"/>
              <w:rPr>
                <w:rFonts w:ascii="宋体" w:hAnsi="宋体"/>
                <w:bCs/>
              </w:rPr>
            </w:pPr>
            <w:r>
              <w:rPr>
                <w:rFonts w:ascii="宋体" w:hAnsi="宋体"/>
                <w:bCs/>
              </w:rPr>
              <w:t>林地覆盖率</w:t>
            </w:r>
          </w:p>
        </w:tc>
        <w:tc>
          <w:tcPr>
            <w:tcW w:w="1805" w:type="pct"/>
            <w:vAlign w:val="top"/>
          </w:tcPr>
          <w:p w:rsidR="005211C0" w:rsidRDefault="00000000">
            <w:pPr>
              <w:ind w:firstLineChars="13" w:firstLine="31"/>
              <w:jc w:val="both"/>
              <w:cnfStyle w:val="000000000000" w:firstRow="0" w:lastRow="0" w:firstColumn="0" w:lastColumn="0" w:oddVBand="0" w:evenVBand="0" w:oddHBand="0" w:evenHBand="0" w:firstRowFirstColumn="0" w:firstRowLastColumn="0" w:lastRowFirstColumn="0" w:lastRowLastColumn="0"/>
              <w:rPr>
                <w:rFonts w:ascii="宋体" w:hAnsi="宋体"/>
                <w:bCs/>
              </w:rPr>
            </w:pPr>
            <w:r>
              <w:rPr>
                <w:rFonts w:ascii="宋体" w:hAnsi="宋体"/>
                <w:bCs/>
              </w:rPr>
              <w:t>反映森林生态结构的完整性与稳定性[21,43]</w:t>
            </w:r>
          </w:p>
        </w:tc>
        <w:tc>
          <w:tcPr>
            <w:tcW w:w="980" w:type="pct"/>
            <w:vAlign w:val="top"/>
          </w:tcPr>
          <w:p w:rsidR="005211C0" w:rsidRDefault="00000000">
            <w:pPr>
              <w:ind w:firstLineChars="14" w:firstLine="34"/>
              <w:jc w:val="both"/>
              <w:cnfStyle w:val="000000000000" w:firstRow="0" w:lastRow="0" w:firstColumn="0" w:lastColumn="0" w:oddVBand="0" w:evenVBand="0" w:oddHBand="0" w:evenHBand="0" w:firstRowFirstColumn="0" w:firstRowLastColumn="0" w:lastRowFirstColumn="0" w:lastRowLastColumn="0"/>
              <w:rPr>
                <w:bCs/>
              </w:rPr>
            </w:pPr>
            <w:r>
              <w:rPr>
                <w:bCs/>
              </w:rPr>
              <w:t>SDG 15</w:t>
            </w:r>
          </w:p>
        </w:tc>
      </w:tr>
      <w:tr w:rsidR="005211C0" w:rsidTr="005211C0">
        <w:trPr>
          <w:trHeight w:val="467"/>
          <w:jc w:val="center"/>
        </w:trPr>
        <w:tc>
          <w:tcPr>
            <w:cnfStyle w:val="001000000000" w:firstRow="0" w:lastRow="0" w:firstColumn="1" w:lastColumn="0" w:oddVBand="0" w:evenVBand="0" w:oddHBand="0" w:evenHBand="0" w:firstRowFirstColumn="0" w:firstRowLastColumn="0" w:lastRowFirstColumn="0" w:lastRowLastColumn="0"/>
            <w:tcW w:w="984" w:type="pct"/>
            <w:vMerge/>
            <w:vAlign w:val="top"/>
          </w:tcPr>
          <w:p w:rsidR="005211C0" w:rsidRDefault="005211C0">
            <w:pPr>
              <w:ind w:firstLine="480"/>
              <w:jc w:val="both"/>
              <w:rPr>
                <w:rFonts w:ascii="宋体" w:hAnsi="宋体"/>
                <w:b w:val="0"/>
              </w:rPr>
            </w:pPr>
          </w:p>
        </w:tc>
        <w:tc>
          <w:tcPr>
            <w:tcW w:w="1231" w:type="pct"/>
            <w:vAlign w:val="top"/>
          </w:tcPr>
          <w:p w:rsidR="005211C0" w:rsidRDefault="00000000">
            <w:pPr>
              <w:ind w:firstLineChars="20" w:firstLine="48"/>
              <w:jc w:val="both"/>
              <w:cnfStyle w:val="000000000000" w:firstRow="0" w:lastRow="0" w:firstColumn="0" w:lastColumn="0" w:oddVBand="0" w:evenVBand="0" w:oddHBand="0" w:evenHBand="0" w:firstRowFirstColumn="0" w:firstRowLastColumn="0" w:lastRowFirstColumn="0" w:lastRowLastColumn="0"/>
              <w:rPr>
                <w:rFonts w:ascii="宋体" w:hAnsi="宋体"/>
                <w:bCs/>
              </w:rPr>
            </w:pPr>
            <w:r>
              <w:rPr>
                <w:rFonts w:ascii="宋体" w:hAnsi="宋体"/>
                <w:bCs/>
              </w:rPr>
              <w:t>净初级生产力</w:t>
            </w:r>
          </w:p>
        </w:tc>
        <w:tc>
          <w:tcPr>
            <w:tcW w:w="1805" w:type="pct"/>
            <w:vAlign w:val="top"/>
          </w:tcPr>
          <w:p w:rsidR="005211C0" w:rsidRDefault="00000000">
            <w:pPr>
              <w:ind w:firstLineChars="13" w:firstLine="31"/>
              <w:jc w:val="both"/>
              <w:cnfStyle w:val="000000000000" w:firstRow="0" w:lastRow="0" w:firstColumn="0" w:lastColumn="0" w:oddVBand="0" w:evenVBand="0" w:oddHBand="0" w:evenHBand="0" w:firstRowFirstColumn="0" w:firstRowLastColumn="0" w:lastRowFirstColumn="0" w:lastRowLastColumn="0"/>
              <w:rPr>
                <w:rFonts w:ascii="宋体" w:hAnsi="宋体"/>
                <w:bCs/>
              </w:rPr>
            </w:pPr>
            <w:r>
              <w:rPr>
                <w:rFonts w:ascii="宋体" w:hAnsi="宋体"/>
                <w:bCs/>
              </w:rPr>
              <w:t>生态系统碳汇和生产力水平的核心指标[20,42]</w:t>
            </w:r>
          </w:p>
        </w:tc>
        <w:tc>
          <w:tcPr>
            <w:tcW w:w="980" w:type="pct"/>
            <w:vAlign w:val="top"/>
          </w:tcPr>
          <w:p w:rsidR="005211C0" w:rsidRDefault="00000000">
            <w:pPr>
              <w:ind w:firstLineChars="14" w:firstLine="34"/>
              <w:jc w:val="both"/>
              <w:cnfStyle w:val="000000000000" w:firstRow="0" w:lastRow="0" w:firstColumn="0" w:lastColumn="0" w:oddVBand="0" w:evenVBand="0" w:oddHBand="0" w:evenHBand="0" w:firstRowFirstColumn="0" w:firstRowLastColumn="0" w:lastRowFirstColumn="0" w:lastRowLastColumn="0"/>
              <w:rPr>
                <w:bCs/>
              </w:rPr>
            </w:pPr>
            <w:r>
              <w:rPr>
                <w:bCs/>
              </w:rPr>
              <w:t>SDG 13</w:t>
            </w:r>
          </w:p>
          <w:p w:rsidR="005211C0" w:rsidRDefault="00000000">
            <w:pPr>
              <w:ind w:firstLineChars="14" w:firstLine="34"/>
              <w:jc w:val="both"/>
              <w:cnfStyle w:val="000000000000" w:firstRow="0" w:lastRow="0" w:firstColumn="0" w:lastColumn="0" w:oddVBand="0" w:evenVBand="0" w:oddHBand="0" w:evenHBand="0" w:firstRowFirstColumn="0" w:firstRowLastColumn="0" w:lastRowFirstColumn="0" w:lastRowLastColumn="0"/>
              <w:rPr>
                <w:bCs/>
              </w:rPr>
            </w:pPr>
            <w:r>
              <w:rPr>
                <w:bCs/>
              </w:rPr>
              <w:t>SDG 15</w:t>
            </w:r>
          </w:p>
        </w:tc>
      </w:tr>
      <w:tr w:rsidR="005211C0" w:rsidTr="005211C0">
        <w:trPr>
          <w:trHeight w:val="467"/>
          <w:jc w:val="center"/>
        </w:trPr>
        <w:tc>
          <w:tcPr>
            <w:cnfStyle w:val="001000000000" w:firstRow="0" w:lastRow="0" w:firstColumn="1" w:lastColumn="0" w:oddVBand="0" w:evenVBand="0" w:oddHBand="0" w:evenHBand="0" w:firstRowFirstColumn="0" w:firstRowLastColumn="0" w:lastRowFirstColumn="0" w:lastRowLastColumn="0"/>
            <w:tcW w:w="984" w:type="pct"/>
            <w:vMerge w:val="restart"/>
            <w:vAlign w:val="top"/>
          </w:tcPr>
          <w:p w:rsidR="005211C0" w:rsidRDefault="00000000">
            <w:pPr>
              <w:ind w:firstLineChars="0" w:firstLine="0"/>
              <w:jc w:val="both"/>
              <w:rPr>
                <w:rFonts w:ascii="宋体" w:hAnsi="宋体"/>
                <w:b w:val="0"/>
              </w:rPr>
            </w:pPr>
            <w:r>
              <w:rPr>
                <w:bCs w:val="0"/>
              </w:rPr>
              <w:t>D4</w:t>
            </w:r>
            <w:r>
              <w:rPr>
                <w:rFonts w:hint="eastAsia"/>
                <w:bCs w:val="0"/>
              </w:rPr>
              <w:t xml:space="preserve"> </w:t>
            </w:r>
            <w:r>
              <w:rPr>
                <w:rFonts w:ascii="宋体" w:hAnsi="宋体"/>
                <w:bCs w:val="0"/>
              </w:rPr>
              <w:t>环境本底</w:t>
            </w:r>
          </w:p>
        </w:tc>
        <w:tc>
          <w:tcPr>
            <w:tcW w:w="1231" w:type="pct"/>
            <w:vAlign w:val="top"/>
          </w:tcPr>
          <w:p w:rsidR="005211C0" w:rsidRDefault="00000000">
            <w:pPr>
              <w:ind w:firstLineChars="20" w:firstLine="48"/>
              <w:jc w:val="both"/>
              <w:cnfStyle w:val="000000000000" w:firstRow="0" w:lastRow="0" w:firstColumn="0" w:lastColumn="0" w:oddVBand="0" w:evenVBand="0" w:oddHBand="0" w:evenHBand="0" w:firstRowFirstColumn="0" w:firstRowLastColumn="0" w:lastRowFirstColumn="0" w:lastRowLastColumn="0"/>
              <w:rPr>
                <w:rFonts w:ascii="宋体" w:hAnsi="宋体"/>
                <w:bCs/>
              </w:rPr>
            </w:pPr>
            <w:r>
              <w:rPr>
                <w:rFonts w:ascii="宋体" w:hAnsi="宋体"/>
                <w:bCs/>
              </w:rPr>
              <w:t>地形坡度</w:t>
            </w:r>
          </w:p>
        </w:tc>
        <w:tc>
          <w:tcPr>
            <w:tcW w:w="1805" w:type="pct"/>
            <w:vAlign w:val="top"/>
          </w:tcPr>
          <w:p w:rsidR="005211C0" w:rsidRDefault="00000000">
            <w:pPr>
              <w:ind w:firstLineChars="13" w:firstLine="31"/>
              <w:jc w:val="both"/>
              <w:cnfStyle w:val="000000000000" w:firstRow="0" w:lastRow="0" w:firstColumn="0" w:lastColumn="0" w:oddVBand="0" w:evenVBand="0" w:oddHBand="0" w:evenHBand="0" w:firstRowFirstColumn="0" w:firstRowLastColumn="0" w:lastRowFirstColumn="0" w:lastRowLastColumn="0"/>
              <w:rPr>
                <w:rFonts w:ascii="宋体" w:hAnsi="宋体"/>
                <w:bCs/>
              </w:rPr>
            </w:pPr>
            <w:r>
              <w:rPr>
                <w:rFonts w:ascii="宋体" w:hAnsi="宋体"/>
                <w:bCs/>
              </w:rPr>
              <w:t>制约人类活动和基础设施建设的环境本底因子[4,44]</w:t>
            </w:r>
          </w:p>
        </w:tc>
        <w:tc>
          <w:tcPr>
            <w:tcW w:w="980" w:type="pct"/>
            <w:vAlign w:val="top"/>
          </w:tcPr>
          <w:p w:rsidR="005211C0" w:rsidRDefault="00000000">
            <w:pPr>
              <w:ind w:firstLineChars="14" w:firstLine="34"/>
              <w:jc w:val="both"/>
              <w:cnfStyle w:val="000000000000" w:firstRow="0" w:lastRow="0" w:firstColumn="0" w:lastColumn="0" w:oddVBand="0" w:evenVBand="0" w:oddHBand="0" w:evenHBand="0" w:firstRowFirstColumn="0" w:firstRowLastColumn="0" w:lastRowFirstColumn="0" w:lastRowLastColumn="0"/>
              <w:rPr>
                <w:bCs/>
              </w:rPr>
            </w:pPr>
            <w:r>
              <w:rPr>
                <w:bCs/>
              </w:rPr>
              <w:t>-</w:t>
            </w:r>
          </w:p>
        </w:tc>
      </w:tr>
      <w:tr w:rsidR="005211C0" w:rsidTr="005211C0">
        <w:trPr>
          <w:trHeight w:val="467"/>
          <w:jc w:val="center"/>
        </w:trPr>
        <w:tc>
          <w:tcPr>
            <w:cnfStyle w:val="001000000000" w:firstRow="0" w:lastRow="0" w:firstColumn="1" w:lastColumn="0" w:oddVBand="0" w:evenVBand="0" w:oddHBand="0" w:evenHBand="0" w:firstRowFirstColumn="0" w:firstRowLastColumn="0" w:lastRowFirstColumn="0" w:lastRowLastColumn="0"/>
            <w:tcW w:w="984" w:type="pct"/>
            <w:vMerge/>
            <w:vAlign w:val="top"/>
          </w:tcPr>
          <w:p w:rsidR="005211C0" w:rsidRDefault="005211C0">
            <w:pPr>
              <w:ind w:firstLine="480"/>
              <w:jc w:val="both"/>
              <w:rPr>
                <w:rFonts w:ascii="宋体" w:hAnsi="宋体"/>
                <w:b w:val="0"/>
              </w:rPr>
            </w:pPr>
          </w:p>
        </w:tc>
        <w:tc>
          <w:tcPr>
            <w:tcW w:w="1231" w:type="pct"/>
            <w:vAlign w:val="top"/>
          </w:tcPr>
          <w:p w:rsidR="005211C0" w:rsidRDefault="00000000">
            <w:pPr>
              <w:ind w:firstLineChars="20" w:firstLine="48"/>
              <w:jc w:val="both"/>
              <w:cnfStyle w:val="000000000000" w:firstRow="0" w:lastRow="0" w:firstColumn="0" w:lastColumn="0" w:oddVBand="0" w:evenVBand="0" w:oddHBand="0" w:evenHBand="0" w:firstRowFirstColumn="0" w:firstRowLastColumn="0" w:lastRowFirstColumn="0" w:lastRowLastColumn="0"/>
              <w:rPr>
                <w:rFonts w:ascii="宋体" w:hAnsi="宋体"/>
                <w:bCs/>
              </w:rPr>
            </w:pPr>
            <w:r>
              <w:rPr>
                <w:rFonts w:ascii="宋体" w:hAnsi="宋体"/>
                <w:bCs/>
              </w:rPr>
              <w:t>气候水分亏缺</w:t>
            </w:r>
          </w:p>
        </w:tc>
        <w:tc>
          <w:tcPr>
            <w:tcW w:w="1805" w:type="pct"/>
            <w:vAlign w:val="top"/>
          </w:tcPr>
          <w:p w:rsidR="005211C0" w:rsidRDefault="00000000">
            <w:pPr>
              <w:ind w:firstLineChars="13" w:firstLine="31"/>
              <w:jc w:val="both"/>
              <w:cnfStyle w:val="000000000000" w:firstRow="0" w:lastRow="0" w:firstColumn="0" w:lastColumn="0" w:oddVBand="0" w:evenVBand="0" w:oddHBand="0" w:evenHBand="0" w:firstRowFirstColumn="0" w:firstRowLastColumn="0" w:lastRowFirstColumn="0" w:lastRowLastColumn="0"/>
              <w:rPr>
                <w:rFonts w:ascii="宋体" w:hAnsi="宋体"/>
                <w:bCs/>
              </w:rPr>
            </w:pPr>
            <w:r>
              <w:rPr>
                <w:rFonts w:ascii="宋体" w:hAnsi="宋体"/>
                <w:bCs/>
              </w:rPr>
              <w:t>潜在蒸散量与降水量差值表征水分胁迫和气候韧性[40]</w:t>
            </w:r>
          </w:p>
        </w:tc>
        <w:tc>
          <w:tcPr>
            <w:tcW w:w="980" w:type="pct"/>
            <w:vAlign w:val="top"/>
          </w:tcPr>
          <w:p w:rsidR="005211C0" w:rsidRDefault="00000000">
            <w:pPr>
              <w:ind w:firstLineChars="14" w:firstLine="34"/>
              <w:jc w:val="both"/>
              <w:cnfStyle w:val="000000000000" w:firstRow="0" w:lastRow="0" w:firstColumn="0" w:lastColumn="0" w:oddVBand="0" w:evenVBand="0" w:oddHBand="0" w:evenHBand="0" w:firstRowFirstColumn="0" w:firstRowLastColumn="0" w:lastRowFirstColumn="0" w:lastRowLastColumn="0"/>
              <w:rPr>
                <w:bCs/>
              </w:rPr>
            </w:pPr>
            <w:r>
              <w:rPr>
                <w:bCs/>
              </w:rPr>
              <w:t>SDG 13</w:t>
            </w:r>
          </w:p>
        </w:tc>
      </w:tr>
      <w:tr w:rsidR="005211C0" w:rsidTr="005211C0">
        <w:trPr>
          <w:trHeight w:val="467"/>
          <w:jc w:val="center"/>
        </w:trPr>
        <w:tc>
          <w:tcPr>
            <w:cnfStyle w:val="001000000000" w:firstRow="0" w:lastRow="0" w:firstColumn="1" w:lastColumn="0" w:oddVBand="0" w:evenVBand="0" w:oddHBand="0" w:evenHBand="0" w:firstRowFirstColumn="0" w:firstRowLastColumn="0" w:lastRowFirstColumn="0" w:lastRowLastColumn="0"/>
            <w:tcW w:w="984" w:type="pct"/>
            <w:vMerge/>
            <w:vAlign w:val="top"/>
          </w:tcPr>
          <w:p w:rsidR="005211C0" w:rsidRDefault="005211C0">
            <w:pPr>
              <w:ind w:firstLine="480"/>
              <w:jc w:val="both"/>
              <w:rPr>
                <w:rFonts w:ascii="宋体" w:hAnsi="宋体"/>
                <w:b w:val="0"/>
              </w:rPr>
            </w:pPr>
          </w:p>
        </w:tc>
        <w:tc>
          <w:tcPr>
            <w:tcW w:w="1231" w:type="pct"/>
            <w:vAlign w:val="top"/>
          </w:tcPr>
          <w:p w:rsidR="005211C0" w:rsidRDefault="00000000">
            <w:pPr>
              <w:ind w:firstLineChars="20" w:firstLine="48"/>
              <w:jc w:val="both"/>
              <w:cnfStyle w:val="000000000000" w:firstRow="0" w:lastRow="0" w:firstColumn="0" w:lastColumn="0" w:oddVBand="0" w:evenVBand="0" w:oddHBand="0" w:evenHBand="0" w:firstRowFirstColumn="0" w:firstRowLastColumn="0" w:lastRowFirstColumn="0" w:lastRowLastColumn="0"/>
              <w:rPr>
                <w:rFonts w:ascii="宋体" w:hAnsi="宋体"/>
                <w:bCs/>
              </w:rPr>
            </w:pPr>
            <w:r>
              <w:rPr>
                <w:rFonts w:ascii="宋体" w:hAnsi="宋体"/>
                <w:bCs/>
              </w:rPr>
              <w:t>低温冷胁迫</w:t>
            </w:r>
          </w:p>
        </w:tc>
        <w:tc>
          <w:tcPr>
            <w:tcW w:w="1805" w:type="pct"/>
            <w:vAlign w:val="top"/>
          </w:tcPr>
          <w:p w:rsidR="005211C0" w:rsidRDefault="00000000">
            <w:pPr>
              <w:ind w:firstLineChars="13" w:firstLine="31"/>
              <w:jc w:val="both"/>
              <w:cnfStyle w:val="000000000000" w:firstRow="0" w:lastRow="0" w:firstColumn="0" w:lastColumn="0" w:oddVBand="0" w:evenVBand="0" w:oddHBand="0" w:evenHBand="0" w:firstRowFirstColumn="0" w:firstRowLastColumn="0" w:lastRowFirstColumn="0" w:lastRowLastColumn="0"/>
              <w:rPr>
                <w:rFonts w:ascii="宋体" w:hAnsi="宋体"/>
                <w:bCs/>
              </w:rPr>
            </w:pPr>
            <w:r>
              <w:rPr>
                <w:rFonts w:ascii="宋体" w:hAnsi="宋体"/>
                <w:bCs/>
              </w:rPr>
              <w:t>年平均气温负向转换表征高纬寒冷约束[40]</w:t>
            </w:r>
          </w:p>
        </w:tc>
        <w:tc>
          <w:tcPr>
            <w:tcW w:w="980" w:type="pct"/>
            <w:vAlign w:val="top"/>
          </w:tcPr>
          <w:p w:rsidR="005211C0" w:rsidRDefault="00000000">
            <w:pPr>
              <w:ind w:firstLineChars="14" w:firstLine="34"/>
              <w:jc w:val="both"/>
              <w:cnfStyle w:val="000000000000" w:firstRow="0" w:lastRow="0" w:firstColumn="0" w:lastColumn="0" w:oddVBand="0" w:evenVBand="0" w:oddHBand="0" w:evenHBand="0" w:firstRowFirstColumn="0" w:firstRowLastColumn="0" w:lastRowFirstColumn="0" w:lastRowLastColumn="0"/>
              <w:rPr>
                <w:bCs/>
              </w:rPr>
            </w:pPr>
            <w:r>
              <w:rPr>
                <w:bCs/>
              </w:rPr>
              <w:t>SDG 13</w:t>
            </w:r>
          </w:p>
        </w:tc>
      </w:tr>
    </w:tbl>
    <w:p w:rsidR="005211C0" w:rsidRDefault="00000000">
      <w:pPr>
        <w:ind w:firstLine="480"/>
        <w:jc w:val="both"/>
      </w:pPr>
      <w:bookmarkStart w:id="13" w:name="_Toc229736678"/>
      <w:bookmarkEnd w:id="13"/>
      <w:r>
        <w:rPr>
          <w:rFonts w:hint="eastAsia"/>
        </w:rPr>
        <w:t>为了使各个指标的数据具有可比性，</w:t>
      </w:r>
      <w:r>
        <w:t>本文先对原始指标进行</w:t>
      </w:r>
      <w:r>
        <w:t xml:space="preserve"> 1% </w:t>
      </w:r>
      <w:r>
        <w:t>和</w:t>
      </w:r>
      <w:r>
        <w:t xml:space="preserve"> 99% </w:t>
      </w:r>
      <w:r>
        <w:t>分位数极值剪裁，以降低异常值对标准化结果的影响；耕地比例和林地覆盖率等比例型指标限定</w:t>
      </w:r>
      <w:r>
        <w:lastRenderedPageBreak/>
        <w:t>在</w:t>
      </w:r>
      <w:r>
        <w:t xml:space="preserve"> </w:t>
      </w:r>
      <m:oMath>
        <m:r>
          <w:rPr>
            <w:rFonts w:ascii="Cambria Math" w:hAnsi="Cambria Math"/>
          </w:rPr>
          <m:t xml:space="preserve">[0,1] </m:t>
        </m:r>
      </m:oMath>
      <w:r>
        <w:t>范围内。随后采用全时期合并极差标准化，即将</w:t>
      </w:r>
      <w:r>
        <w:t xml:space="preserve"> 2010</w:t>
      </w:r>
      <w:r>
        <w:t>、</w:t>
      </w:r>
      <w:r>
        <w:t>2015</w:t>
      </w:r>
      <w:r>
        <w:t>、</w:t>
      </w:r>
      <w:r>
        <w:t xml:space="preserve">2020 </w:t>
      </w:r>
      <w:r>
        <w:t>和</w:t>
      </w:r>
      <w:r>
        <w:t xml:space="preserve"> 2024 </w:t>
      </w:r>
      <w:r>
        <w:t>年同一指标的样本合并后，统一确定最大值和最小值。</w:t>
      </w:r>
    </w:p>
    <w:p w:rsidR="005211C0" w:rsidRDefault="00000000">
      <w:pPr>
        <w:ind w:firstLine="480"/>
        <w:jc w:val="both"/>
      </w:pPr>
      <w:r>
        <w:t>正向指标</w:t>
      </w:r>
      <w:r>
        <w:rPr>
          <w:rFonts w:hint="eastAsia"/>
        </w:rPr>
        <w:t>见式</w:t>
      </w:r>
      <w:r>
        <w:t>（</w:t>
      </w:r>
      <w:r>
        <w:t>3-1</w:t>
      </w:r>
      <w:r>
        <w:t>）：</w:t>
      </w:r>
    </w:p>
    <w:p w:rsidR="005211C0" w:rsidRDefault="00000000">
      <w:pPr>
        <w:ind w:firstLine="480"/>
        <w:jc w:val="both"/>
      </w:pPr>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X</m:t>
                  </m:r>
                </m:e>
                <m:sub>
                  <m:r>
                    <w:rPr>
                      <w:rFonts w:ascii="Cambria Math" w:hAnsi="Cambria Math"/>
                    </w:rPr>
                    <m:t>tij</m:t>
                  </m:r>
                </m:sub>
                <m:sup>
                  <m:r>
                    <m:rPr>
                      <m:sty m:val="p"/>
                    </m:rPr>
                    <w:rPr>
                      <w:rFonts w:ascii="Cambria Math" w:hAnsi="Cambria Math"/>
                    </w:rPr>
                    <m:t>'</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tij</m:t>
                      </m:r>
                    </m:sub>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r>
                        <m:rPr>
                          <m:sty m:val="p"/>
                        </m:rPr>
                        <w:rPr>
                          <w:rFonts w:ascii="Cambria Math" w:hAnsi="Cambria Math"/>
                        </w:rPr>
                        <m:t>min</m:t>
                      </m:r>
                      <m:r>
                        <w:rPr>
                          <w:rFonts w:ascii="Cambria Math" w:hAnsi="Cambria Math"/>
                        </w:rPr>
                        <m:t>⁡</m:t>
                      </m:r>
                    </m:sup>
                  </m:sSubSup>
                </m:num>
                <m:den>
                  <m:sSubSup>
                    <m:sSubSupPr>
                      <m:ctrlPr>
                        <w:rPr>
                          <w:rFonts w:ascii="Cambria Math" w:hAnsi="Cambria Math"/>
                        </w:rPr>
                      </m:ctrlPr>
                    </m:sSubSupPr>
                    <m:e>
                      <m:r>
                        <w:rPr>
                          <w:rFonts w:ascii="Cambria Math" w:hAnsi="Cambria Math"/>
                        </w:rPr>
                        <m:t>X</m:t>
                      </m:r>
                    </m:e>
                    <m:sub>
                      <m:r>
                        <w:rPr>
                          <w:rFonts w:ascii="Cambria Math" w:hAnsi="Cambria Math"/>
                        </w:rPr>
                        <m:t>j</m:t>
                      </m:r>
                    </m:sub>
                    <m:sup>
                      <m:r>
                        <m:rPr>
                          <m:sty m:val="p"/>
                        </m:rPr>
                        <w:rPr>
                          <w:rFonts w:ascii="Cambria Math" w:hAnsi="Cambria Math"/>
                        </w:rPr>
                        <m:t>max</m:t>
                      </m:r>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r>
                        <m:rPr>
                          <m:sty m:val="p"/>
                        </m:rPr>
                        <w:rPr>
                          <w:rFonts w:ascii="Cambria Math" w:hAnsi="Cambria Math"/>
                        </w:rPr>
                        <m:t>min</m:t>
                      </m:r>
                      <m:r>
                        <w:rPr>
                          <w:rFonts w:ascii="Cambria Math" w:hAnsi="Cambria Math"/>
                        </w:rPr>
                        <m:t>⁡</m:t>
                      </m:r>
                    </m:sup>
                  </m:sSubSup>
                </m:den>
              </m:f>
            </m:e>
            <m:e/>
            <m:e/>
          </m:mr>
        </m:m>
      </m:oMath>
      <w:r>
        <w:t xml:space="preserve"> (3-1)</w:t>
      </w:r>
    </w:p>
    <w:p w:rsidR="005211C0" w:rsidRDefault="00000000">
      <w:pPr>
        <w:ind w:firstLine="480"/>
        <w:jc w:val="both"/>
      </w:pPr>
      <w:r>
        <w:t>负向指标</w:t>
      </w:r>
      <w:r>
        <w:rPr>
          <w:rFonts w:hint="eastAsia"/>
        </w:rPr>
        <w:t>见式</w:t>
      </w:r>
      <w:r>
        <w:t>（</w:t>
      </w:r>
      <w:r>
        <w:t>3-2</w:t>
      </w:r>
      <w:r>
        <w:t>）：</w:t>
      </w:r>
    </w:p>
    <w:p w:rsidR="005211C0" w:rsidRDefault="00000000">
      <w:pPr>
        <w:ind w:firstLine="480"/>
        <w:jc w:val="both"/>
      </w:pPr>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X</m:t>
                  </m:r>
                </m:e>
                <m:sub>
                  <m:r>
                    <w:rPr>
                      <w:rFonts w:ascii="Cambria Math" w:hAnsi="Cambria Math"/>
                    </w:rPr>
                    <m:t>tij</m:t>
                  </m:r>
                </m:sub>
                <m:sup>
                  <m:r>
                    <m:rPr>
                      <m:sty m:val="p"/>
                    </m:rPr>
                    <w:rPr>
                      <w:rFonts w:ascii="Cambria Math" w:hAnsi="Cambria Math"/>
                    </w:rPr>
                    <m:t>'</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j</m:t>
                      </m:r>
                    </m:sub>
                    <m:sup>
                      <m:r>
                        <m:rPr>
                          <m:sty m:val="p"/>
                        </m:rPr>
                        <w:rPr>
                          <w:rFonts w:ascii="Cambria Math" w:hAnsi="Cambria Math"/>
                        </w:rPr>
                        <m:t>max</m:t>
                      </m:r>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tij</m:t>
                      </m:r>
                    </m:sub>
                    <m:sup/>
                  </m:sSubSup>
                </m:num>
                <m:den>
                  <m:sSubSup>
                    <m:sSubSupPr>
                      <m:ctrlPr>
                        <w:rPr>
                          <w:rFonts w:ascii="Cambria Math" w:hAnsi="Cambria Math"/>
                        </w:rPr>
                      </m:ctrlPr>
                    </m:sSubSupPr>
                    <m:e>
                      <m:r>
                        <w:rPr>
                          <w:rFonts w:ascii="Cambria Math" w:hAnsi="Cambria Math"/>
                        </w:rPr>
                        <m:t>X</m:t>
                      </m:r>
                    </m:e>
                    <m:sub>
                      <m:r>
                        <w:rPr>
                          <w:rFonts w:ascii="Cambria Math" w:hAnsi="Cambria Math"/>
                        </w:rPr>
                        <m:t>j</m:t>
                      </m:r>
                    </m:sub>
                    <m:sup>
                      <m:r>
                        <m:rPr>
                          <m:sty m:val="p"/>
                        </m:rPr>
                        <w:rPr>
                          <w:rFonts w:ascii="Cambria Math" w:hAnsi="Cambria Math"/>
                        </w:rPr>
                        <m:t>max</m:t>
                      </m:r>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r>
                        <m:rPr>
                          <m:sty m:val="p"/>
                        </m:rPr>
                        <w:rPr>
                          <w:rFonts w:ascii="Cambria Math" w:hAnsi="Cambria Math"/>
                        </w:rPr>
                        <m:t>min</m:t>
                      </m:r>
                      <m:r>
                        <w:rPr>
                          <w:rFonts w:ascii="Cambria Math" w:hAnsi="Cambria Math"/>
                        </w:rPr>
                        <m:t>⁡</m:t>
                      </m:r>
                    </m:sup>
                  </m:sSubSup>
                </m:den>
              </m:f>
            </m:e>
            <m:e/>
            <m:e/>
          </m:mr>
        </m:m>
      </m:oMath>
      <w:r>
        <w:t>(3-</w:t>
      </w:r>
      <w:r>
        <w:rPr>
          <w:rFonts w:hint="eastAsia"/>
        </w:rPr>
        <w:t>2</w:t>
      </w:r>
      <w:r>
        <w:t>)</w:t>
      </w:r>
    </w:p>
    <w:p w:rsidR="005211C0" w:rsidRDefault="00000000">
      <w:pPr>
        <w:ind w:firstLine="480"/>
        <w:jc w:val="both"/>
      </w:pPr>
      <w:r>
        <w:t>式中，</w:t>
      </w:r>
      <m:oMath>
        <m:sSub>
          <m:sSubPr>
            <m:ctrlPr>
              <w:rPr>
                <w:rFonts w:ascii="Cambria Math" w:hAnsi="Cambria Math"/>
              </w:rPr>
            </m:ctrlPr>
          </m:sSubPr>
          <m:e>
            <m:r>
              <w:rPr>
                <w:rFonts w:ascii="Cambria Math" w:hAnsi="Cambria Math"/>
              </w:rPr>
              <m:t>X</m:t>
            </m:r>
          </m:e>
          <m:sub>
            <m:r>
              <w:rPr>
                <w:rFonts w:ascii="Cambria Math" w:hAnsi="Cambria Math"/>
              </w:rPr>
              <m:t>tij</m:t>
            </m:r>
          </m:sub>
        </m:sSub>
      </m:oMath>
      <w:r>
        <w:rPr>
          <w:rFonts w:hint="eastAsia"/>
        </w:rPr>
        <w:t xml:space="preserve"> </w:t>
      </w:r>
      <w:r>
        <w:t>表示经过极值剪裁后的指标值；</w:t>
      </w:r>
      <m:oMath>
        <m:sSubSup>
          <m:sSubSupPr>
            <m:ctrlPr>
              <w:rPr>
                <w:rFonts w:ascii="Cambria Math" w:hAnsi="Cambria Math"/>
              </w:rPr>
            </m:ctrlPr>
          </m:sSubSupPr>
          <m:e>
            <m:r>
              <w:rPr>
                <w:rFonts w:ascii="Cambria Math" w:hAnsi="Cambria Math"/>
              </w:rPr>
              <m:t>X</m:t>
            </m:r>
          </m:e>
          <m:sub>
            <m:r>
              <w:rPr>
                <w:rFonts w:ascii="Cambria Math" w:hAnsi="Cambria Math"/>
              </w:rPr>
              <m:t>j</m:t>
            </m:r>
          </m:sub>
          <m:sup>
            <m:r>
              <m:rPr>
                <m:sty m:val="p"/>
              </m:rPr>
              <w:rPr>
                <w:rFonts w:ascii="Cambria Math" w:hAnsi="Cambria Math"/>
              </w:rPr>
              <m:t>min</m:t>
            </m:r>
            <m:r>
              <w:rPr>
                <w:rFonts w:ascii="Cambria Math" w:hAnsi="Cambria Math"/>
              </w:rPr>
              <m:t>⁡</m:t>
            </m:r>
          </m:sup>
        </m:sSubSup>
      </m:oMath>
      <w:r>
        <w:t xml:space="preserve"> </w:t>
      </w:r>
      <w:r>
        <w:t>和</w:t>
      </w:r>
      <w:r>
        <w:t xml:space="preserve"> </w:t>
      </w:r>
      <m:oMath>
        <m:sSubSup>
          <m:sSubSupPr>
            <m:ctrlPr>
              <w:rPr>
                <w:rFonts w:ascii="Cambria Math" w:hAnsi="Cambria Math"/>
              </w:rPr>
            </m:ctrlPr>
          </m:sSubSupPr>
          <m:e>
            <m:r>
              <w:rPr>
                <w:rFonts w:ascii="Cambria Math" w:hAnsi="Cambria Math"/>
              </w:rPr>
              <m:t>X</m:t>
            </m:r>
          </m:e>
          <m:sub>
            <m:r>
              <w:rPr>
                <w:rFonts w:ascii="Cambria Math" w:hAnsi="Cambria Math"/>
              </w:rPr>
              <m:t>j</m:t>
            </m:r>
          </m:sub>
          <m:sup>
            <m:r>
              <m:rPr>
                <m:sty m:val="p"/>
              </m:rPr>
              <w:rPr>
                <w:rFonts w:ascii="Cambria Math" w:hAnsi="Cambria Math"/>
              </w:rPr>
              <m:t>max</m:t>
            </m:r>
            <m:r>
              <w:rPr>
                <w:rFonts w:ascii="Cambria Math" w:hAnsi="Cambria Math"/>
              </w:rPr>
              <m:t>⁡</m:t>
            </m:r>
          </m:sup>
        </m:sSubSup>
      </m:oMath>
      <w:r>
        <w:t>分别表示第</w:t>
      </w:r>
      <w:r>
        <w:t xml:space="preserve"> </w:t>
      </w:r>
      <m:oMath>
        <m:r>
          <w:rPr>
            <w:rFonts w:ascii="Cambria Math" w:hAnsi="Cambria Math"/>
          </w:rPr>
          <m:t>j</m:t>
        </m:r>
      </m:oMath>
      <w:r>
        <w:t>个指标在四期合并样本中的最小值和最大值；</w:t>
      </w:r>
      <m:oMath>
        <m:sSubSup>
          <m:sSubSupPr>
            <m:ctrlPr>
              <w:rPr>
                <w:rFonts w:ascii="Cambria Math" w:hAnsi="Cambria Math"/>
              </w:rPr>
            </m:ctrlPr>
          </m:sSubSupPr>
          <m:e>
            <m:r>
              <w:rPr>
                <w:rFonts w:ascii="Cambria Math" w:hAnsi="Cambria Math"/>
              </w:rPr>
              <m:t>X</m:t>
            </m:r>
          </m:e>
          <m:sub>
            <m:r>
              <w:rPr>
                <w:rFonts w:ascii="Cambria Math" w:hAnsi="Cambria Math"/>
              </w:rPr>
              <m:t>tij</m:t>
            </m:r>
          </m:sub>
          <m:sup>
            <m:r>
              <m:rPr>
                <m:sty m:val="p"/>
              </m:rPr>
              <w:rPr>
                <w:rFonts w:ascii="Cambria Math" w:hAnsi="Cambria Math"/>
              </w:rPr>
              <m:t>'</m:t>
            </m:r>
          </m:sup>
        </m:sSubSup>
      </m:oMath>
      <w:r>
        <w:t xml:space="preserve"> </w:t>
      </w:r>
      <w:r>
        <w:t>为标准化值。标准化后，所有指标均转换为数值越大表示</w:t>
      </w:r>
      <w:r>
        <w:t xml:space="preserve"> SDGs </w:t>
      </w:r>
      <w:r>
        <w:t>空间支撑条件越优。</w:t>
      </w:r>
    </w:p>
    <w:p w:rsidR="005211C0" w:rsidRDefault="00000000">
      <w:pPr>
        <w:pStyle w:val="2"/>
        <w:ind w:firstLineChars="0" w:firstLine="0"/>
        <w:jc w:val="both"/>
        <w:rPr>
          <w:rFonts w:ascii="Times New Roman" w:hAnsi="Times New Roman"/>
        </w:rPr>
      </w:pPr>
      <w:bookmarkStart w:id="14" w:name="_Toc230099578"/>
      <w:r>
        <w:rPr>
          <w:rFonts w:ascii="Times New Roman" w:hAnsi="Times New Roman"/>
        </w:rPr>
        <w:t>3.</w:t>
      </w:r>
      <w:r>
        <w:rPr>
          <w:rFonts w:ascii="Times New Roman" w:hAnsi="Times New Roman" w:hint="eastAsia"/>
        </w:rPr>
        <w:t>3</w:t>
      </w:r>
      <w:r>
        <w:rPr>
          <w:rFonts w:ascii="Times New Roman" w:hAnsi="Times New Roman"/>
        </w:rPr>
        <w:t xml:space="preserve"> </w:t>
      </w:r>
      <w:r>
        <w:rPr>
          <w:rFonts w:ascii="Times New Roman" w:hAnsi="Times New Roman"/>
        </w:rPr>
        <w:t>熵权</w:t>
      </w:r>
      <w:r>
        <w:rPr>
          <w:rFonts w:ascii="Times New Roman" w:hAnsi="Times New Roman"/>
        </w:rPr>
        <w:t xml:space="preserve">TOPSIS </w:t>
      </w:r>
      <w:r>
        <w:rPr>
          <w:rFonts w:ascii="Times New Roman" w:hAnsi="Times New Roman"/>
        </w:rPr>
        <w:t>综合评价</w:t>
      </w:r>
      <w:bookmarkEnd w:id="14"/>
    </w:p>
    <w:p w:rsidR="005211C0" w:rsidRDefault="00000000">
      <w:pPr>
        <w:ind w:firstLine="480"/>
        <w:jc w:val="both"/>
      </w:pPr>
      <w:r>
        <w:t>本文采用维度内熵权</w:t>
      </w:r>
      <w:r>
        <w:rPr>
          <w:rFonts w:hint="eastAsia"/>
        </w:rPr>
        <w:t>、</w:t>
      </w:r>
      <w:r>
        <w:t>维度间等权的组合赋权方法。具体而言，先将四期标准化样本合并，在每个维度内部利用熵权法确定指标权重</w:t>
      </w:r>
      <w:r>
        <w:t>[4</w:t>
      </w:r>
      <w:r>
        <w:rPr>
          <w:rFonts w:hint="eastAsia"/>
        </w:rPr>
        <w:t>4</w:t>
      </w:r>
      <w:r>
        <w:t>]</w:t>
      </w:r>
      <w:r>
        <w:t>；随后将人类活动、通达性、生态状态和环境本底四个维度的总权重均设为</w:t>
      </w:r>
      <w:r>
        <w:t xml:space="preserve"> 0.25</w:t>
      </w:r>
      <w:r>
        <w:t>。该方法既保留了熵权法反映指标差异信息的优点，也避免人口密度、夜间灯光等高离散指标过度主导综合指数。熵权法根据指标在四期合并样本中的离散程度计算权重，离散程度越高，指标提供的区分信息越多；在计算过程中，对零值采用极小值修正，以避免除零和</w:t>
      </w:r>
      <w:r>
        <w:t xml:space="preserve"> </w:t>
      </w:r>
      <m:oMath>
        <m:func>
          <m:funcPr>
            <m:ctrlPr>
              <w:rPr>
                <w:rFonts w:ascii="Cambria Math" w:hAnsi="Cambria Math"/>
              </w:rPr>
            </m:ctrlPr>
          </m:funcPr>
          <m:fName>
            <m:r>
              <m:rPr>
                <m:sty m:val="p"/>
              </m:rPr>
              <w:rPr>
                <w:rFonts w:ascii="Cambria Math" w:hAnsi="Cambria Math"/>
              </w:rPr>
              <m:t>ln</m:t>
            </m:r>
          </m:fName>
          <m:e>
            <m:r>
              <w:rPr>
                <w:rFonts w:ascii="Cambria Math" w:hAnsi="Cambria Math"/>
              </w:rPr>
              <m:t>0</m:t>
            </m:r>
          </m:e>
        </m:func>
      </m:oMath>
      <w:r>
        <w:rPr>
          <w:rFonts w:hint="eastAsia"/>
        </w:rPr>
        <w:t xml:space="preserve"> </w:t>
      </w:r>
      <w:r>
        <w:t>问题。</w:t>
      </w:r>
    </w:p>
    <w:p w:rsidR="005211C0" w:rsidRDefault="00000000">
      <w:pPr>
        <w:pStyle w:val="af3"/>
        <w:ind w:firstLine="400"/>
        <w:jc w:val="both"/>
        <w:rPr>
          <w:szCs w:val="24"/>
        </w:rPr>
      </w:pPr>
      <w:r>
        <w:rPr>
          <w:rFonts w:ascii="宋体" w:hAnsi="宋体" w:hint="eastAsia"/>
        </w:rPr>
        <w:t>在熵权法基础上，本文采用</w:t>
      </w:r>
      <w:r>
        <w:rPr>
          <w:rFonts w:hint="eastAsia"/>
        </w:rPr>
        <w:t>TOPSIS</w:t>
      </w:r>
      <w:r>
        <w:rPr>
          <w:rFonts w:ascii="宋体" w:hAnsi="宋体" w:hint="eastAsia"/>
        </w:rPr>
        <w:t>（</w:t>
      </w:r>
      <w:r>
        <w:rPr>
          <w:rFonts w:hint="eastAsia"/>
        </w:rPr>
        <w:t>Technique for Order Preference by Similarity to Ideal Solution</w:t>
      </w:r>
      <w:r>
        <w:rPr>
          <w:rFonts w:ascii="宋体" w:hAnsi="宋体" w:hint="eastAsia"/>
        </w:rPr>
        <w:t>）方法计算相对贴近度作为</w:t>
      </w:r>
      <w:r>
        <w:rPr>
          <w:rFonts w:hint="eastAsia"/>
        </w:rPr>
        <w:t>SDG</w:t>
      </w:r>
      <w:r>
        <w:rPr>
          <w:rFonts w:ascii="宋体" w:hAnsi="宋体" w:hint="eastAsia"/>
        </w:rPr>
        <w:t>综合指数。已有中的多指标评价研究普遍将</w:t>
      </w:r>
      <w:r>
        <w:rPr>
          <w:rFonts w:hint="eastAsia"/>
        </w:rPr>
        <w:t>TOPSIS</w:t>
      </w:r>
      <w:r>
        <w:rPr>
          <w:rFonts w:ascii="宋体" w:hAnsi="宋体" w:hint="eastAsia"/>
        </w:rPr>
        <w:t>用于综合评价对象排序和相对水平识别，其优势在于同时考虑到正理想解和负理想解的距离，评价结果比简单加权求和更能体现相对接近最优状态的程度</w:t>
      </w:r>
      <w:r>
        <w:rPr>
          <w:rFonts w:hint="eastAsia"/>
        </w:rPr>
        <w:t>[2</w:t>
      </w:r>
      <w:r>
        <w:rPr>
          <w:rFonts w:hint="eastAsia"/>
        </w:rPr>
        <w:t>–</w:t>
      </w:r>
      <w:r>
        <w:rPr>
          <w:rFonts w:hint="eastAsia"/>
        </w:rPr>
        <w:t>4,31]</w:t>
      </w:r>
      <w:r>
        <w:rPr>
          <w:rFonts w:ascii="宋体" w:hAnsi="宋体" w:hint="eastAsia"/>
        </w:rPr>
        <w:t>。</w:t>
      </w:r>
    </w:p>
    <w:p w:rsidR="005211C0" w:rsidRDefault="00000000">
      <w:pPr>
        <w:ind w:firstLine="480"/>
        <w:jc w:val="both"/>
      </w:pP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Z</m:t>
                  </m:r>
                </m:e>
                <m:sub>
                  <m:r>
                    <w:rPr>
                      <w:rFonts w:ascii="Cambria Math" w:hAnsi="Cambria Math"/>
                    </w:rPr>
                    <m:t>tij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sSubSup>
                <m:sSubSupPr>
                  <m:ctrlPr>
                    <w:rPr>
                      <w:rFonts w:ascii="Cambria Math" w:hAnsi="Cambria Math"/>
                    </w:rPr>
                  </m:ctrlPr>
                </m:sSubSupPr>
                <m:e>
                  <m:r>
                    <w:rPr>
                      <w:rFonts w:ascii="Cambria Math" w:hAnsi="Cambria Math"/>
                    </w:rPr>
                    <m:t>X</m:t>
                  </m:r>
                </m:e>
                <m:sub>
                  <m:r>
                    <w:rPr>
                      <w:rFonts w:ascii="Cambria Math" w:hAnsi="Cambria Math"/>
                    </w:rPr>
                    <m:t>tij</m:t>
                  </m:r>
                </m:sub>
                <m:sup>
                  <m:r>
                    <m:rPr>
                      <m:sty m:val="p"/>
                    </m:rPr>
                    <w:rPr>
                      <w:rFonts w:ascii="Cambria Math" w:hAnsi="Cambria Math"/>
                    </w:rPr>
                    <m:t>'</m:t>
                  </m:r>
                </m:sup>
              </m:sSubSup>
            </m:e>
            <m:e/>
            <m:e/>
          </m:mr>
        </m:m>
      </m:oMath>
      <w:r>
        <w:t>(3-</w:t>
      </w:r>
      <w:r>
        <w:rPr>
          <w:rFonts w:hint="eastAsia"/>
        </w:rPr>
        <w:t>3</w:t>
      </w:r>
      <w:r>
        <w:t>)</w:t>
      </w:r>
    </w:p>
    <w:p w:rsidR="005211C0" w:rsidRDefault="00000000">
      <w:pPr>
        <w:ind w:firstLine="480"/>
        <w:jc w:val="both"/>
      </w:pP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C</m:t>
                  </m:r>
                </m:e>
                <m:sub>
                  <m:r>
                    <w:rPr>
                      <w:rFonts w:ascii="Cambria Math" w:hAnsi="Cambria Math"/>
                    </w:rPr>
                    <m:t>ti</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ti</m:t>
                      </m:r>
                    </m:sub>
                    <m:sup>
                      <m:r>
                        <w:rPr>
                          <w:rFonts w:ascii="Cambria Math" w:hAnsi="Cambria Math"/>
                        </w:rPr>
                        <m:t>-</m:t>
                      </m:r>
                    </m:sup>
                  </m:sSubSup>
                </m:num>
                <m:den>
                  <m:sSubSup>
                    <m:sSubSupPr>
                      <m:ctrlPr>
                        <w:rPr>
                          <w:rFonts w:ascii="Cambria Math" w:hAnsi="Cambria Math"/>
                        </w:rPr>
                      </m:ctrlPr>
                    </m:sSubSupPr>
                    <m:e>
                      <m:r>
                        <w:rPr>
                          <w:rFonts w:ascii="Cambria Math" w:hAnsi="Cambria Math"/>
                        </w:rPr>
                        <m:t>D</m:t>
                      </m:r>
                    </m:e>
                    <m:sub>
                      <m:r>
                        <w:rPr>
                          <w:rFonts w:ascii="Cambria Math" w:hAnsi="Cambria Math"/>
                        </w:rPr>
                        <m:t>ti</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ti</m:t>
                      </m:r>
                    </m:sub>
                    <m:sup>
                      <m:r>
                        <w:rPr>
                          <w:rFonts w:ascii="Cambria Math" w:hAnsi="Cambria Math"/>
                        </w:rPr>
                        <m:t>-</m:t>
                      </m:r>
                    </m:sup>
                  </m:sSubSup>
                </m:den>
              </m:f>
            </m:e>
            <m:e/>
            <m:e/>
          </m:mr>
        </m:m>
      </m:oMath>
      <w:r>
        <w:t>(3-</w:t>
      </w:r>
      <w:r>
        <w:rPr>
          <w:rFonts w:hint="eastAsia"/>
        </w:rPr>
        <w:t>4</w:t>
      </w:r>
      <w:r>
        <w:t>)</w:t>
      </w:r>
    </w:p>
    <w:p w:rsidR="005211C0" w:rsidRDefault="00000000">
      <w:pPr>
        <w:ind w:firstLine="480"/>
        <w:jc w:val="both"/>
      </w:pPr>
      <w:r>
        <w:t>式中，</w:t>
      </w:r>
      <w:r>
        <w:t xml:space="preserve"> </w:t>
      </w:r>
      <m:oMath>
        <m:sSub>
          <m:sSubPr>
            <m:ctrlPr>
              <w:rPr>
                <w:rFonts w:ascii="Cambria Math" w:hAnsi="Cambria Math"/>
              </w:rPr>
            </m:ctrlPr>
          </m:sSubPr>
          <m:e>
            <m:r>
              <w:rPr>
                <w:rFonts w:ascii="Cambria Math" w:hAnsi="Cambria Math"/>
              </w:rPr>
              <m:t>w</m:t>
            </m:r>
          </m:e>
          <m:sub>
            <m:r>
              <w:rPr>
                <w:rFonts w:ascii="Cambria Math" w:hAnsi="Cambria Math"/>
              </w:rPr>
              <m:t>jm</m:t>
            </m:r>
          </m:sub>
        </m:sSub>
      </m:oMath>
      <w:r>
        <w:t>为第</w:t>
      </w:r>
      <w:r>
        <w:t xml:space="preserve"> </w:t>
      </w:r>
      <m:oMath>
        <m:r>
          <w:rPr>
            <w:rFonts w:ascii="Cambria Math" w:hAnsi="Cambria Math"/>
          </w:rPr>
          <m:t xml:space="preserve">m </m:t>
        </m:r>
      </m:oMath>
      <w:r>
        <w:t>个维度内第</w:t>
      </w:r>
      <w:r>
        <w:t xml:space="preserve"> </w:t>
      </w:r>
      <m:oMath>
        <m:r>
          <w:rPr>
            <w:rFonts w:ascii="Cambria Math" w:hAnsi="Cambria Math"/>
          </w:rPr>
          <m:t>j</m:t>
        </m:r>
      </m:oMath>
      <w:r>
        <w:rPr>
          <w:rFonts w:hint="eastAsia"/>
        </w:rPr>
        <w:t xml:space="preserve"> </w:t>
      </w:r>
      <w:r>
        <w:t>个指标的熵权</w:t>
      </w:r>
      <w:r>
        <w:rPr>
          <w:rFonts w:hint="eastAsia"/>
        </w:rPr>
        <w:t>，</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w:t>
      </w:r>
      <w:r>
        <w:t>表示第</w:t>
      </w:r>
      <w:r>
        <w:t xml:space="preserve"> </w:t>
      </w:r>
      <m:oMath>
        <m:r>
          <w:rPr>
            <w:rFonts w:ascii="Cambria Math" w:hAnsi="Cambria Math"/>
          </w:rPr>
          <m:t xml:space="preserve">j </m:t>
        </m:r>
      </m:oMath>
      <w:r>
        <w:t>个指标在综合评价中的最终权重。</w:t>
      </w:r>
      <m:oMath>
        <m:sSubSup>
          <m:sSubSupPr>
            <m:ctrlPr>
              <w:rPr>
                <w:rFonts w:ascii="Cambria Math" w:hAnsi="Cambria Math"/>
              </w:rPr>
            </m:ctrlPr>
          </m:sSubSupPr>
          <m:e>
            <m:r>
              <w:rPr>
                <w:rFonts w:ascii="Cambria Math" w:hAnsi="Cambria Math"/>
              </w:rPr>
              <m:t>D</m:t>
            </m:r>
          </m:e>
          <m:sub>
            <m:r>
              <w:rPr>
                <w:rFonts w:ascii="Cambria Math" w:hAnsi="Cambria Math"/>
              </w:rPr>
              <m:t>ti</m:t>
            </m:r>
          </m:sub>
          <m:sup>
            <m:r>
              <w:rPr>
                <w:rFonts w:ascii="Cambria Math" w:hAnsi="Cambria Math"/>
              </w:rPr>
              <m:t>+</m:t>
            </m:r>
          </m:sup>
        </m:sSubSup>
        <m:r>
          <w:rPr>
            <w:rFonts w:ascii="Cambria Math" w:hAnsi="Cambria Math"/>
          </w:rPr>
          <m:t xml:space="preserve"> </m:t>
        </m:r>
      </m:oMath>
      <w:r>
        <w:t>和</w:t>
      </w:r>
      <w:r>
        <w:t xml:space="preserve"> </w:t>
      </w:r>
      <m:oMath>
        <m:sSubSup>
          <m:sSubSupPr>
            <m:ctrlPr>
              <w:rPr>
                <w:rFonts w:ascii="Cambria Math" w:hAnsi="Cambria Math"/>
              </w:rPr>
            </m:ctrlPr>
          </m:sSubSupPr>
          <m:e>
            <m:r>
              <w:rPr>
                <w:rFonts w:ascii="Cambria Math" w:hAnsi="Cambria Math"/>
              </w:rPr>
              <m:t>D</m:t>
            </m:r>
          </m:e>
          <m:sub>
            <m:r>
              <w:rPr>
                <w:rFonts w:ascii="Cambria Math" w:hAnsi="Cambria Math"/>
              </w:rPr>
              <m:t>ti</m:t>
            </m:r>
          </m:sub>
          <m:sup>
            <m:r>
              <w:rPr>
                <w:rFonts w:ascii="Cambria Math" w:hAnsi="Cambria Math"/>
              </w:rPr>
              <m:t>-</m:t>
            </m:r>
          </m:sup>
        </m:sSubSup>
      </m:oMath>
      <w:r>
        <w:t>分别为第</w:t>
      </w:r>
      <w:r>
        <w:t xml:space="preserve"> </w:t>
      </w:r>
      <m:oMath>
        <m:r>
          <w:rPr>
            <w:rFonts w:ascii="Cambria Math" w:hAnsi="Cambria Math"/>
          </w:rPr>
          <m:t>t</m:t>
        </m:r>
      </m:oMath>
      <w:r>
        <w:rPr>
          <w:rFonts w:hint="eastAsia"/>
        </w:rPr>
        <w:t xml:space="preserve"> </w:t>
      </w:r>
      <w:r>
        <w:t>年第</w:t>
      </w:r>
      <w:r>
        <w:t xml:space="preserve"> </w:t>
      </w:r>
      <m:oMath>
        <m:r>
          <w:rPr>
            <w:rFonts w:ascii="Cambria Math" w:hAnsi="Cambria Math"/>
          </w:rPr>
          <m:t>i</m:t>
        </m:r>
      </m:oMath>
      <w:r>
        <w:t>个网格到正、负理想解的欧氏距离</w:t>
      </w:r>
      <w:r>
        <w:rPr>
          <w:rFonts w:hint="eastAsia"/>
        </w:rPr>
        <w:t>。</w:t>
      </w:r>
      <m:oMath>
        <m:sSub>
          <m:sSubPr>
            <m:ctrlPr>
              <w:rPr>
                <w:rFonts w:ascii="Cambria Math" w:hAnsi="Cambria Math"/>
              </w:rPr>
            </m:ctrlPr>
          </m:sSubPr>
          <m:e>
            <m:r>
              <w:rPr>
                <w:rFonts w:ascii="Cambria Math" w:hAnsi="Cambria Math"/>
              </w:rPr>
              <m:t>C</m:t>
            </m:r>
          </m:e>
          <m:sub>
            <m:r>
              <w:rPr>
                <w:rFonts w:ascii="Cambria Math" w:hAnsi="Cambria Math"/>
              </w:rPr>
              <m:t>ti</m:t>
            </m:r>
          </m:sub>
        </m:sSub>
      </m:oMath>
      <w:r>
        <w:t xml:space="preserve"> </w:t>
      </w:r>
      <w:r>
        <w:t>表示第</w:t>
      </w:r>
      <w:r>
        <w:t xml:space="preserve"> </w:t>
      </w:r>
      <m:oMath>
        <m:r>
          <w:rPr>
            <w:rFonts w:ascii="Cambria Math" w:hAnsi="Cambria Math"/>
          </w:rPr>
          <m:t>t</m:t>
        </m:r>
      </m:oMath>
      <w:r>
        <w:t>年第</w:t>
      </w:r>
      <w:r>
        <w:t xml:space="preserve"> </w:t>
      </w:r>
      <m:oMath>
        <m:r>
          <w:rPr>
            <w:rFonts w:ascii="Cambria Math" w:hAnsi="Cambria Math"/>
          </w:rPr>
          <m:t>i</m:t>
        </m:r>
      </m:oMath>
      <w:r>
        <w:t>个网格的</w:t>
      </w:r>
      <w:r>
        <w:t xml:space="preserve"> SDGs </w:t>
      </w:r>
      <w:r>
        <w:t>空间支撑条件综合指数。</w:t>
      </w:r>
      <m:oMath>
        <m:sSub>
          <m:sSubPr>
            <m:ctrlPr>
              <w:rPr>
                <w:rFonts w:ascii="Cambria Math" w:hAnsi="Cambria Math"/>
              </w:rPr>
            </m:ctrlPr>
          </m:sSubPr>
          <m:e>
            <m:r>
              <w:rPr>
                <w:rFonts w:ascii="Cambria Math" w:hAnsi="Cambria Math"/>
              </w:rPr>
              <m:t>C</m:t>
            </m:r>
          </m:e>
          <m:sub>
            <m:r>
              <w:rPr>
                <w:rFonts w:ascii="Cambria Math" w:hAnsi="Cambria Math"/>
              </w:rPr>
              <m:t>ti</m:t>
            </m:r>
          </m:sub>
        </m:sSub>
      </m:oMath>
      <w:r>
        <w:t xml:space="preserve"> </w:t>
      </w:r>
      <w:r>
        <w:t>越接近</w:t>
      </w:r>
      <w:r>
        <w:t xml:space="preserve"> 1</w:t>
      </w:r>
      <w:r>
        <w:t>，表示该网格越接近正理想状态。</w:t>
      </w:r>
    </w:p>
    <w:p w:rsidR="005211C0" w:rsidRDefault="00000000">
      <w:pPr>
        <w:pStyle w:val="2"/>
        <w:ind w:firstLineChars="0" w:firstLine="0"/>
        <w:jc w:val="both"/>
      </w:pPr>
      <w:bookmarkStart w:id="15" w:name="_Toc230099579"/>
      <w:r>
        <w:rPr>
          <w:rFonts w:ascii="Times New Roman" w:hAnsi="Times New Roman"/>
        </w:rPr>
        <w:lastRenderedPageBreak/>
        <w:t>3.</w:t>
      </w:r>
      <w:r>
        <w:rPr>
          <w:rFonts w:ascii="Times New Roman" w:hAnsi="Times New Roman" w:hint="eastAsia"/>
        </w:rPr>
        <w:t>4</w:t>
      </w:r>
      <w:r>
        <w:rPr>
          <w:rFonts w:ascii="Times New Roman" w:hAnsi="Times New Roman"/>
        </w:rPr>
        <w:t xml:space="preserve"> ESDA </w:t>
      </w:r>
      <w:r>
        <w:rPr>
          <w:rFonts w:ascii="Times New Roman" w:hAnsi="Times New Roman"/>
        </w:rPr>
        <w:t>探索性空间数据分析</w:t>
      </w:r>
      <w:bookmarkEnd w:id="15"/>
    </w:p>
    <w:p w:rsidR="005211C0" w:rsidRDefault="00000000">
      <w:pPr>
        <w:ind w:firstLine="480"/>
        <w:jc w:val="both"/>
      </w:pPr>
      <w:r>
        <w:t>为识别</w:t>
      </w:r>
      <w:r>
        <w:t xml:space="preserve"> SDGs </w:t>
      </w:r>
      <w:r>
        <w:t>空间支撑条件的空间相关性和局部集聚特征，本文采用探索性空间数据分析（</w:t>
      </w:r>
      <w:r>
        <w:t>Exploratory Spatial Data Analysis</w:t>
      </w:r>
      <w:r>
        <w:t>，</w:t>
      </w:r>
      <w:r>
        <w:t>ESDA</w:t>
      </w:r>
      <w:r>
        <w:t>）方法。空间权重矩阵是</w:t>
      </w:r>
      <w:r>
        <w:t xml:space="preserve"> ESDA </w:t>
      </w:r>
      <w:r>
        <w:t>分析的基础。本文以</w:t>
      </w:r>
      <w:r>
        <w:t xml:space="preserve"> 10 km </w:t>
      </w:r>
      <w:r>
        <w:t>规则网格为评价单元，采用</w:t>
      </w:r>
      <w:r>
        <w:t xml:space="preserve"> Queen </w:t>
      </w:r>
      <w:r>
        <w:t>一阶邻接权重矩阵，即共享边界或顶点的网格均被视为相邻单元，并对空间权重矩阵进行行标准化处理。</w:t>
      </w:r>
    </w:p>
    <w:p w:rsidR="005211C0" w:rsidRDefault="00000000">
      <w:pPr>
        <w:ind w:firstLine="480"/>
        <w:jc w:val="both"/>
      </w:pPr>
      <w:r>
        <w:t>全局</w:t>
      </w:r>
      <w:r>
        <w:t xml:space="preserve"> Moran’s I </w:t>
      </w:r>
      <w:r>
        <w:t>用于检验研究区整体空间自相关程度，其计算公式为：</w:t>
      </w:r>
    </w:p>
    <w:p w:rsidR="005211C0" w:rsidRDefault="00000000">
      <w:pPr>
        <w:ind w:firstLine="480"/>
        <w:jc w:val="both"/>
      </w:pPr>
      <m:oMath>
        <m:m>
          <m:mPr>
            <m:plcHide m:val="1"/>
            <m:mcs>
              <m:mc>
                <m:mcPr>
                  <m:count m:val="4"/>
                  <m:mcJc m:val="center"/>
                </m:mcPr>
              </m:mc>
            </m:mcs>
            <m:ctrlPr>
              <w:rPr>
                <w:rFonts w:ascii="Cambria Math" w:hAnsi="Cambria Math"/>
              </w:rPr>
            </m:ctrlPr>
          </m:mPr>
          <m:mr>
            <m:e/>
            <m:e>
              <m:r>
                <w:rPr>
                  <w:rFonts w:ascii="Cambria Math" w:hAnsi="Cambria Math"/>
                </w:rPr>
                <m:t>I=</m:t>
              </m:r>
              <m:f>
                <m:fPr>
                  <m:ctrlPr>
                    <w:rPr>
                      <w:rFonts w:ascii="Cambria Math" w:hAnsi="Cambria Math"/>
                    </w:rPr>
                  </m:ctrlPr>
                </m:fPr>
                <m:num>
                  <m:r>
                    <w:rPr>
                      <w:rFonts w:ascii="Cambria Math" w:hAnsi="Cambria Math"/>
                    </w:rPr>
                    <m:t>n</m:t>
                  </m:r>
                </m:num>
                <m:den>
                  <m:sSub>
                    <m:sSubPr>
                      <m:ctrlPr>
                        <w:rPr>
                          <w:rFonts w:ascii="Cambria Math" w:hAnsi="Cambria Math"/>
                        </w:rPr>
                      </m:ctrlPr>
                    </m:sSubPr>
                    <m:e>
                      <m:r>
                        <w:rPr>
                          <w:rFonts w:ascii="Cambria Math" w:hAnsi="Cambria Math"/>
                        </w:rPr>
                        <m:t>S</m:t>
                      </m:r>
                    </m:e>
                    <m:sub>
                      <m:r>
                        <w:rPr>
                          <w:rFonts w:ascii="Cambria Math" w:hAnsi="Cambria Math"/>
                        </w:rPr>
                        <m:t>0</m:t>
                      </m:r>
                    </m:sub>
                  </m:sSub>
                </m:den>
              </m:f>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nary>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x</m:t>
                      </m:r>
                    </m:e>
                  </m:acc>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acc>
                    <m:accPr>
                      <m:chr m:val="ˉ"/>
                      <m:ctrlPr>
                        <w:rPr>
                          <w:rFonts w:ascii="Cambria Math" w:hAnsi="Cambria Math"/>
                        </w:rPr>
                      </m:ctrlPr>
                    </m:accPr>
                    <m:e>
                      <m:r>
                        <w:rPr>
                          <w:rFonts w:ascii="Cambria Math" w:hAnsi="Cambria Math"/>
                        </w:rPr>
                        <m:t>x</m:t>
                      </m:r>
                    </m:e>
                  </m:acc>
                  <m:r>
                    <w:rPr>
                      <w:rFonts w:ascii="Cambria Math" w:hAnsi="Cambria Math"/>
                    </w:rPr>
                    <m:t>)</m:t>
                  </m:r>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x</m:t>
                      </m:r>
                    </m:e>
                  </m:acc>
                  <m:sSup>
                    <m:sSupPr>
                      <m:ctrlPr>
                        <w:rPr>
                          <w:rFonts w:ascii="Cambria Math" w:hAnsi="Cambria Math"/>
                        </w:rPr>
                      </m:ctrlPr>
                    </m:sSupPr>
                    <m:e>
                      <m:r>
                        <w:rPr>
                          <w:rFonts w:ascii="Cambria Math" w:hAnsi="Cambria Math"/>
                        </w:rPr>
                        <m:t>)</m:t>
                      </m:r>
                    </m:e>
                    <m:sup>
                      <m:r>
                        <w:rPr>
                          <w:rFonts w:ascii="Cambria Math" w:hAnsi="Cambria Math"/>
                        </w:rPr>
                        <m:t>2</m:t>
                      </m:r>
                    </m:sup>
                  </m:sSup>
                </m:den>
              </m:f>
            </m:e>
            <m:e/>
            <m:e/>
          </m:mr>
        </m:m>
      </m:oMath>
      <w:r>
        <w:t>(3-</w:t>
      </w:r>
      <w:r>
        <w:rPr>
          <w:rFonts w:hint="eastAsia"/>
        </w:rPr>
        <w:t>5</w:t>
      </w:r>
      <w:r>
        <w:t>)</w:t>
      </w:r>
    </w:p>
    <w:p w:rsidR="005211C0" w:rsidRDefault="00000000">
      <w:pPr>
        <w:ind w:firstLine="480"/>
        <w:jc w:val="both"/>
      </w:pPr>
      <w:r>
        <w:t>式中，</w:t>
      </w:r>
      <m:oMath>
        <m:r>
          <w:rPr>
            <w:rFonts w:ascii="Cambria Math" w:hAnsi="Cambria Math"/>
          </w:rPr>
          <m:t>n</m:t>
        </m:r>
      </m:oMath>
      <w:r>
        <w:t xml:space="preserve"> </w:t>
      </w:r>
      <w:r>
        <w:t>为空间单元数量；</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t>
      </w:r>
      <w:r>
        <w:t>和</w:t>
      </w:r>
      <w:r>
        <w:t xml:space="preserve"> </w:t>
      </w:r>
      <m:oMath>
        <m:sSub>
          <m:sSubPr>
            <m:ctrlPr>
              <w:rPr>
                <w:rFonts w:ascii="Cambria Math" w:hAnsi="Cambria Math"/>
              </w:rPr>
            </m:ctrlPr>
          </m:sSubPr>
          <m:e>
            <m:r>
              <w:rPr>
                <w:rFonts w:ascii="Cambria Math" w:hAnsi="Cambria Math"/>
              </w:rPr>
              <m:t>x</m:t>
            </m:r>
          </m:e>
          <m:sub>
            <m:r>
              <w:rPr>
                <w:rFonts w:ascii="Cambria Math" w:hAnsi="Cambria Math"/>
              </w:rPr>
              <m:t>j</m:t>
            </m:r>
          </m:sub>
        </m:sSub>
      </m:oMath>
      <w:r>
        <w:t>分别表示第</w:t>
      </w:r>
      <w:r>
        <w:t xml:space="preserve"> </w:t>
      </w:r>
      <m:oMath>
        <m:r>
          <w:rPr>
            <w:rFonts w:ascii="Cambria Math" w:hAnsi="Cambria Math"/>
          </w:rPr>
          <m:t>i</m:t>
        </m:r>
      </m:oMath>
      <w:r>
        <w:t>、第</w:t>
      </w:r>
      <w:r>
        <w:t xml:space="preserve"> </w:t>
      </w:r>
      <m:oMath>
        <m:r>
          <w:rPr>
            <w:rFonts w:ascii="Cambria Math" w:hAnsi="Cambria Math"/>
          </w:rPr>
          <m:t>j</m:t>
        </m:r>
      </m:oMath>
      <w:r>
        <w:t>个网格的变量值；</w:t>
      </w:r>
      <m:oMath>
        <m:acc>
          <m:accPr>
            <m:chr m:val="ˉ"/>
            <m:ctrlPr>
              <w:rPr>
                <w:rFonts w:ascii="Cambria Math" w:hAnsi="Cambria Math"/>
              </w:rPr>
            </m:ctrlPr>
          </m:accPr>
          <m:e>
            <m:r>
              <w:rPr>
                <w:rFonts w:ascii="Cambria Math" w:hAnsi="Cambria Math"/>
              </w:rPr>
              <m:t>x</m:t>
            </m:r>
          </m:e>
        </m:acc>
      </m:oMath>
      <w:r>
        <w:t xml:space="preserve"> </w:t>
      </w:r>
      <w:r>
        <w:t>为变量均值；</w:t>
      </w:r>
      <m:oMath>
        <m:sSub>
          <m:sSubPr>
            <m:ctrlPr>
              <w:rPr>
                <w:rFonts w:ascii="Cambria Math" w:hAnsi="Cambria Math"/>
              </w:rPr>
            </m:ctrlPr>
          </m:sSubPr>
          <m:e>
            <m:r>
              <w:rPr>
                <w:rFonts w:ascii="Cambria Math" w:hAnsi="Cambria Math"/>
              </w:rPr>
              <m:t>w</m:t>
            </m:r>
          </m:e>
          <m:sub>
            <m:r>
              <w:rPr>
                <w:rFonts w:ascii="Cambria Math" w:hAnsi="Cambria Math"/>
              </w:rPr>
              <m:t>ij</m:t>
            </m:r>
          </m:sub>
        </m:sSub>
      </m:oMath>
      <w:r>
        <w:t xml:space="preserve"> </w:t>
      </w:r>
      <w:r>
        <w:t>为空间权重矩阵元素；</w:t>
      </w: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i</m:t>
            </m:r>
          </m:sub>
          <m:sup/>
          <m:e/>
        </m:nary>
        <m:nary>
          <m:naryPr>
            <m:chr m:val="∑"/>
            <m:limLoc m:val="subSup"/>
            <m:grow m:val="1"/>
            <m:supHide m:val="1"/>
            <m:ctrlPr>
              <w:rPr>
                <w:rFonts w:ascii="Cambria Math" w:hAnsi="Cambria Math"/>
              </w:rPr>
            </m:ctrlPr>
          </m:naryPr>
          <m:sub>
            <m:r>
              <w:rPr>
                <w:rFonts w:ascii="Cambria Math" w:hAnsi="Cambria Math"/>
              </w:rPr>
              <m:t>j</m:t>
            </m:r>
          </m:sub>
          <m:sup/>
          <m:e/>
        </m:nary>
        <m:sSub>
          <m:sSubPr>
            <m:ctrlPr>
              <w:rPr>
                <w:rFonts w:ascii="Cambria Math" w:hAnsi="Cambria Math"/>
              </w:rPr>
            </m:ctrlPr>
          </m:sSubPr>
          <m:e>
            <m:r>
              <w:rPr>
                <w:rFonts w:ascii="Cambria Math" w:hAnsi="Cambria Math"/>
              </w:rPr>
              <m:t>w</m:t>
            </m:r>
          </m:e>
          <m:sub>
            <m:r>
              <w:rPr>
                <w:rFonts w:ascii="Cambria Math" w:hAnsi="Cambria Math"/>
              </w:rPr>
              <m:t>ij</m:t>
            </m:r>
          </m:sub>
        </m:sSub>
      </m:oMath>
      <w:r>
        <w:t>。当</w:t>
      </w:r>
      <w:r>
        <w:t xml:space="preserve"> Moran’s I </w:t>
      </w:r>
      <w:r>
        <w:t>大于</w:t>
      </w:r>
      <w:r>
        <w:t xml:space="preserve"> 0 </w:t>
      </w:r>
      <w:r>
        <w:t>时，表示相似值在空间上趋于集聚；小于</w:t>
      </w:r>
      <w:r>
        <w:t xml:space="preserve"> 0 </w:t>
      </w:r>
      <w:r>
        <w:t>时，表示相异值邻近分布；接近</w:t>
      </w:r>
      <w:r>
        <w:t xml:space="preserve"> 0 </w:t>
      </w:r>
      <w:r>
        <w:t>时，则表示空间分布接近随机。</w:t>
      </w:r>
    </w:p>
    <w:p w:rsidR="005211C0" w:rsidRDefault="00000000">
      <w:pPr>
        <w:ind w:firstLine="480"/>
        <w:jc w:val="both"/>
      </w:pPr>
      <w:r>
        <w:t>局部空间关联指数（</w:t>
      </w:r>
      <w:r>
        <w:t>Local Indicators of Spatial Association</w:t>
      </w:r>
      <w:r>
        <w:t>，</w:t>
      </w:r>
      <w:r>
        <w:t>LISA</w:t>
      </w:r>
      <w:r>
        <w:t>）用于识别局部空间集聚类型，其计算公式为：</w:t>
      </w:r>
    </w:p>
    <w:p w:rsidR="005211C0" w:rsidRDefault="00000000">
      <w:pPr>
        <w:ind w:firstLine="480"/>
        <w:jc w:val="both"/>
      </w:pP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x</m:t>
                      </m:r>
                    </m:e>
                  </m:acc>
                </m:num>
                <m:den>
                  <m:sSub>
                    <m:sSubPr>
                      <m:ctrlPr>
                        <w:rPr>
                          <w:rFonts w:ascii="Cambria Math" w:hAnsi="Cambria Math"/>
                        </w:rPr>
                      </m:ctrlPr>
                    </m:sSubPr>
                    <m:e>
                      <m:r>
                        <w:rPr>
                          <w:rFonts w:ascii="Cambria Math" w:hAnsi="Cambria Math"/>
                        </w:rPr>
                        <m:t>m</m:t>
                      </m:r>
                    </m:e>
                    <m:sub>
                      <m:r>
                        <w:rPr>
                          <w:rFonts w:ascii="Cambria Math" w:hAnsi="Cambria Math"/>
                        </w:rPr>
                        <m:t>2</m:t>
                      </m:r>
                    </m:sub>
                  </m:sSub>
                </m:den>
              </m:f>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nary>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acc>
                <m:accPr>
                  <m:chr m:val="ˉ"/>
                  <m:ctrlPr>
                    <w:rPr>
                      <w:rFonts w:ascii="Cambria Math" w:hAnsi="Cambria Math"/>
                    </w:rPr>
                  </m:ctrlPr>
                </m:accPr>
                <m:e>
                  <m:r>
                    <w:rPr>
                      <w:rFonts w:ascii="Cambria Math" w:hAnsi="Cambria Math"/>
                    </w:rPr>
                    <m:t>x</m:t>
                  </m:r>
                </m:e>
              </m:acc>
              <m:r>
                <w:rPr>
                  <w:rFonts w:ascii="Cambria Math" w:hAnsi="Cambria Math"/>
                </w:rPr>
                <m:t>)</m:t>
              </m:r>
            </m:e>
            <m:e/>
            <m:e/>
          </m:mr>
        </m:m>
      </m:oMath>
      <w:r>
        <w:t>(3-</w:t>
      </w:r>
      <w:r>
        <w:rPr>
          <w:rFonts w:hint="eastAsia"/>
        </w:rPr>
        <w:t>6</w:t>
      </w:r>
      <w:r>
        <w:t>)</w:t>
      </w:r>
    </w:p>
    <w:p w:rsidR="005211C0" w:rsidRDefault="00000000">
      <w:pPr>
        <w:ind w:firstLine="480"/>
        <w:jc w:val="both"/>
      </w:pPr>
      <w:r>
        <w:t>其中：</w:t>
      </w:r>
    </w:p>
    <w:p w:rsidR="005211C0" w:rsidRDefault="00000000">
      <w:pPr>
        <w:ind w:firstLine="480"/>
        <w:jc w:val="both"/>
      </w:pP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x</m:t>
                      </m:r>
                    </m:e>
                  </m:acc>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n</m:t>
                  </m:r>
                </m:den>
              </m:f>
            </m:e>
            <m:e/>
            <m:e/>
          </m:mr>
        </m:m>
      </m:oMath>
      <w:r>
        <w:t>(3-</w:t>
      </w:r>
      <w:r>
        <w:rPr>
          <w:rFonts w:hint="eastAsia"/>
        </w:rPr>
        <w:t>7</w:t>
      </w:r>
      <w:r>
        <w:t>)</w:t>
      </w:r>
    </w:p>
    <w:p w:rsidR="005211C0" w:rsidRDefault="00000000">
      <w:pPr>
        <w:ind w:firstLine="480"/>
        <w:jc w:val="both"/>
      </w:pPr>
      <w:r>
        <w:rPr>
          <w:rFonts w:hint="eastAsia"/>
        </w:rPr>
        <w:t>其</w:t>
      </w:r>
      <w:r>
        <w:t>结果</w:t>
      </w:r>
      <w:r>
        <w:rPr>
          <w:rFonts w:hint="eastAsia"/>
        </w:rPr>
        <w:t>一般</w:t>
      </w:r>
      <w:r>
        <w:t>可划分为高</w:t>
      </w:r>
      <w:r>
        <w:t>—</w:t>
      </w:r>
      <w:r>
        <w:t>高（</w:t>
      </w:r>
      <w:r>
        <w:t>HH</w:t>
      </w:r>
      <w:r>
        <w:t>）、低</w:t>
      </w:r>
      <w:r>
        <w:t>—</w:t>
      </w:r>
      <w:r>
        <w:t>低（</w:t>
      </w:r>
      <w:r>
        <w:t>LL</w:t>
      </w:r>
      <w:r>
        <w:t>）、高</w:t>
      </w:r>
      <w:r>
        <w:t>—</w:t>
      </w:r>
      <w:r>
        <w:t>低（</w:t>
      </w:r>
      <w:r>
        <w:t>HL</w:t>
      </w:r>
      <w:r>
        <w:t>）和低</w:t>
      </w:r>
      <w:r>
        <w:t>—</w:t>
      </w:r>
      <w:r>
        <w:t>高（</w:t>
      </w:r>
      <w:r>
        <w:t>LH</w:t>
      </w:r>
      <w:r>
        <w:t>）四类。</w:t>
      </w:r>
      <w:r>
        <w:t xml:space="preserve">HH </w:t>
      </w:r>
      <w:r>
        <w:t>表示本地网格及其邻近网格均为高值，</w:t>
      </w:r>
      <w:r>
        <w:t xml:space="preserve">LL </w:t>
      </w:r>
      <w:r>
        <w:t>表示本地网格及其邻近网格均为低值，</w:t>
      </w:r>
      <w:r>
        <w:t xml:space="preserve">HL </w:t>
      </w:r>
      <w:r>
        <w:t>和</w:t>
      </w:r>
      <w:r>
        <w:t xml:space="preserve"> LH </w:t>
      </w:r>
      <w:r>
        <w:t>则分别表示高值或低值空间离群</w:t>
      </w:r>
      <w:r>
        <w:t>[28,4</w:t>
      </w:r>
      <w:r>
        <w:rPr>
          <w:rFonts w:hint="eastAsia"/>
        </w:rPr>
        <w:t>5</w:t>
      </w:r>
      <w:r>
        <w:t>]</w:t>
      </w:r>
      <w:r>
        <w:t>。本文分别对四期综合指数和</w:t>
      </w:r>
      <w:r>
        <w:t xml:space="preserve"> 2010—2024 </w:t>
      </w:r>
      <w:r>
        <w:t>年综合指数变化率计算</w:t>
      </w:r>
      <w:r>
        <w:t xml:space="preserve"> Global Moran’s I</w:t>
      </w:r>
      <w:r>
        <w:t>，并对</w:t>
      </w:r>
      <w:r>
        <w:t xml:space="preserve"> 2024 </w:t>
      </w:r>
      <w:r>
        <w:t>年综合指数和</w:t>
      </w:r>
      <w:r>
        <w:t xml:space="preserve"> 2010—2024 </w:t>
      </w:r>
      <w:r>
        <w:t>年变化率进行</w:t>
      </w:r>
      <w:r>
        <w:t xml:space="preserve"> LISA </w:t>
      </w:r>
      <w:r>
        <w:t>聚类识别</w:t>
      </w:r>
      <w:r>
        <w:t>[4</w:t>
      </w:r>
      <w:r>
        <w:rPr>
          <w:rFonts w:hint="eastAsia"/>
        </w:rPr>
        <w:t>6</w:t>
      </w:r>
      <w:r>
        <w:t>]</w:t>
      </w:r>
      <w:r>
        <w:t>。显著性检验采用</w:t>
      </w:r>
      <w:r>
        <w:t xml:space="preserve"> 999 </w:t>
      </w:r>
      <w:r>
        <w:t>次随机置换，</w:t>
      </w:r>
      <m:oMath>
        <m:r>
          <w:rPr>
            <w:rFonts w:ascii="Cambria Math" w:hAnsi="Cambria Math"/>
          </w:rPr>
          <m:t>p&lt;0.05</m:t>
        </m:r>
      </m:oMath>
      <w:r>
        <w:t xml:space="preserve"> </w:t>
      </w:r>
      <w:r>
        <w:t>为显著。</w:t>
      </w:r>
    </w:p>
    <w:p w:rsidR="005211C0" w:rsidRDefault="00000000">
      <w:pPr>
        <w:pStyle w:val="1"/>
        <w:ind w:firstLineChars="0" w:firstLine="0"/>
        <w:jc w:val="both"/>
        <w:rPr>
          <w:rFonts w:ascii="Times New Roman" w:hAnsi="Times New Roman"/>
        </w:rPr>
      </w:pPr>
      <w:bookmarkStart w:id="16" w:name="_Toc230099580"/>
      <w:r>
        <w:rPr>
          <w:rFonts w:ascii="Times New Roman" w:hAnsi="Times New Roman"/>
        </w:rPr>
        <w:t>4</w:t>
      </w:r>
      <w:r>
        <w:rPr>
          <w:rFonts w:ascii="Times New Roman" w:hAnsi="Times New Roman"/>
        </w:rPr>
        <w:t>结果</w:t>
      </w:r>
      <w:bookmarkEnd w:id="16"/>
    </w:p>
    <w:p w:rsidR="005211C0" w:rsidRDefault="00000000">
      <w:pPr>
        <w:pStyle w:val="2"/>
        <w:ind w:firstLineChars="0" w:firstLine="0"/>
        <w:jc w:val="both"/>
        <w:rPr>
          <w:rFonts w:ascii="Times New Roman" w:hAnsi="Times New Roman"/>
        </w:rPr>
      </w:pPr>
      <w:bookmarkStart w:id="17" w:name="_Toc230099581"/>
      <w:r>
        <w:rPr>
          <w:rFonts w:ascii="Times New Roman" w:hAnsi="Times New Roman"/>
        </w:rPr>
        <w:t>4.1</w:t>
      </w:r>
      <w:r>
        <w:rPr>
          <w:rFonts w:ascii="Times New Roman" w:hAnsi="Times New Roman" w:hint="eastAsia"/>
        </w:rPr>
        <w:t xml:space="preserve"> </w:t>
      </w:r>
      <w:r>
        <w:rPr>
          <w:rFonts w:ascii="Times New Roman" w:hAnsi="Times New Roman"/>
        </w:rPr>
        <w:t>综合指数时空格局</w:t>
      </w:r>
      <w:bookmarkEnd w:id="17"/>
    </w:p>
    <w:p w:rsidR="005211C0" w:rsidRDefault="00000000">
      <w:pPr>
        <w:ind w:firstLine="480"/>
        <w:jc w:val="both"/>
      </w:pPr>
      <w:r>
        <w:rPr>
          <w:rFonts w:hint="eastAsia"/>
        </w:rPr>
        <w:t>2010</w:t>
      </w:r>
      <w:r>
        <w:rPr>
          <w:rFonts w:hint="eastAsia"/>
        </w:rPr>
        <w:t>—</w:t>
      </w:r>
      <w:r>
        <w:rPr>
          <w:rFonts w:hint="eastAsia"/>
        </w:rPr>
        <w:t>2024</w:t>
      </w:r>
      <w:r>
        <w:rPr>
          <w:rFonts w:hint="eastAsia"/>
        </w:rPr>
        <w:t>年，中国东北—俄罗斯远东跨境区域</w:t>
      </w:r>
      <w:r>
        <w:rPr>
          <w:rFonts w:hint="eastAsia"/>
        </w:rPr>
        <w:t>SDGs</w:t>
      </w:r>
      <w:r>
        <w:rPr>
          <w:rFonts w:hint="eastAsia"/>
        </w:rPr>
        <w:t>空间支撑条件综合指数略有提升，但总体保持稳定（图</w:t>
      </w:r>
      <w:r>
        <w:rPr>
          <w:rFonts w:hint="eastAsia"/>
        </w:rPr>
        <w:t>4-1</w:t>
      </w:r>
      <w:r>
        <w:rPr>
          <w:rFonts w:hint="eastAsia"/>
        </w:rPr>
        <w:t>）。其中，综合指数均值从</w:t>
      </w:r>
      <w:r>
        <w:rPr>
          <w:rFonts w:hint="eastAsia"/>
        </w:rPr>
        <w:t>2010</w:t>
      </w:r>
      <w:r>
        <w:rPr>
          <w:rFonts w:hint="eastAsia"/>
        </w:rPr>
        <w:t>年的</w:t>
      </w:r>
      <w:r>
        <w:rPr>
          <w:rFonts w:hint="eastAsia"/>
        </w:rPr>
        <w:t>0.4186</w:t>
      </w:r>
      <w:r>
        <w:rPr>
          <w:rFonts w:hint="eastAsia"/>
        </w:rPr>
        <w:t>攀升至</w:t>
      </w:r>
      <w:r>
        <w:rPr>
          <w:rFonts w:hint="eastAsia"/>
        </w:rPr>
        <w:t>2024</w:t>
      </w:r>
      <w:r>
        <w:rPr>
          <w:rFonts w:hint="eastAsia"/>
        </w:rPr>
        <w:t>年的</w:t>
      </w:r>
      <w:r>
        <w:rPr>
          <w:rFonts w:hint="eastAsia"/>
        </w:rPr>
        <w:t>0.4249</w:t>
      </w:r>
      <w:r>
        <w:rPr>
          <w:rFonts w:hint="eastAsia"/>
        </w:rPr>
        <w:t>，全研究期变化率仅为</w:t>
      </w:r>
      <w:r>
        <w:rPr>
          <w:rFonts w:hint="eastAsia"/>
        </w:rPr>
        <w:t>1.49%</w:t>
      </w:r>
      <w:r>
        <w:rPr>
          <w:rFonts w:hint="eastAsia"/>
        </w:rPr>
        <w:t>；四期综合指数的中位数分别为</w:t>
      </w:r>
      <w:r>
        <w:rPr>
          <w:rFonts w:hint="eastAsia"/>
        </w:rPr>
        <w:t>0.4025</w:t>
      </w:r>
      <w:r>
        <w:rPr>
          <w:rFonts w:hint="eastAsia"/>
        </w:rPr>
        <w:t>、</w:t>
      </w:r>
      <w:r>
        <w:rPr>
          <w:rFonts w:hint="eastAsia"/>
        </w:rPr>
        <w:t>0.4132</w:t>
      </w:r>
      <w:r>
        <w:rPr>
          <w:rFonts w:hint="eastAsia"/>
        </w:rPr>
        <w:t>、</w:t>
      </w:r>
      <w:r>
        <w:rPr>
          <w:rFonts w:hint="eastAsia"/>
        </w:rPr>
        <w:t>0.4113</w:t>
      </w:r>
      <w:r>
        <w:rPr>
          <w:rFonts w:hint="eastAsia"/>
        </w:rPr>
        <w:t>和</w:t>
      </w:r>
      <w:r>
        <w:rPr>
          <w:rFonts w:hint="eastAsia"/>
        </w:rPr>
        <w:t>0.4100</w:t>
      </w:r>
      <w:r>
        <w:rPr>
          <w:rFonts w:hint="eastAsia"/>
        </w:rPr>
        <w:t>，其变化趋势与均值基本吻合。从数值范围来看，</w:t>
      </w:r>
      <w:r>
        <w:rPr>
          <w:rFonts w:hint="eastAsia"/>
        </w:rPr>
        <w:t>2010</w:t>
      </w:r>
      <w:r>
        <w:rPr>
          <w:rFonts w:hint="eastAsia"/>
        </w:rPr>
        <w:t>年综合指数介于</w:t>
      </w:r>
      <w:r>
        <w:rPr>
          <w:rFonts w:hint="eastAsia"/>
        </w:rPr>
        <w:lastRenderedPageBreak/>
        <w:t>0.1935</w:t>
      </w:r>
      <w:r>
        <w:rPr>
          <w:rFonts w:hint="eastAsia"/>
        </w:rPr>
        <w:t>—</w:t>
      </w:r>
      <w:r>
        <w:rPr>
          <w:rFonts w:hint="eastAsia"/>
        </w:rPr>
        <w:t>0.7102</w:t>
      </w:r>
      <w:r>
        <w:rPr>
          <w:rFonts w:hint="eastAsia"/>
        </w:rPr>
        <w:t>之间，</w:t>
      </w:r>
      <w:r>
        <w:rPr>
          <w:rFonts w:hint="eastAsia"/>
        </w:rPr>
        <w:t>2024</w:t>
      </w:r>
      <w:r>
        <w:rPr>
          <w:rFonts w:hint="eastAsia"/>
        </w:rPr>
        <w:t>年则为</w:t>
      </w:r>
      <w:r>
        <w:rPr>
          <w:rFonts w:hint="eastAsia"/>
        </w:rPr>
        <w:t>0.2035</w:t>
      </w:r>
      <w:r>
        <w:rPr>
          <w:rFonts w:hint="eastAsia"/>
        </w:rPr>
        <w:t>—</w:t>
      </w:r>
      <w:r>
        <w:rPr>
          <w:rFonts w:hint="eastAsia"/>
        </w:rPr>
        <w:t>0.7159</w:t>
      </w:r>
      <w:r>
        <w:rPr>
          <w:rFonts w:hint="eastAsia"/>
        </w:rPr>
        <w:t>，这一特征表明，研究区内综合指数高低值之间的差异长期存在，区域整体空间格局未发生根本性重组。</w:t>
      </w:r>
    </w:p>
    <w:p w:rsidR="005211C0" w:rsidRDefault="00000000">
      <w:pPr>
        <w:pStyle w:val="a3"/>
        <w:ind w:firstLineChars="0" w:firstLine="0"/>
        <w:jc w:val="center"/>
        <w:rPr>
          <w:rFonts w:asciiTheme="majorEastAsia" w:eastAsiaTheme="majorEastAsia" w:hAnsiTheme="majorEastAsia"/>
          <w:sz w:val="21"/>
          <w:szCs w:val="21"/>
        </w:rPr>
      </w:pPr>
      <w:r>
        <w:rPr>
          <w:rFonts w:asciiTheme="minorEastAsia" w:eastAsiaTheme="minorEastAsia" w:hAnsiTheme="minorEastAsia" w:hint="eastAsia"/>
          <w:noProof/>
          <w:sz w:val="21"/>
          <w:szCs w:val="21"/>
          <w:lang w:val="zh-CN"/>
        </w:rPr>
        <w:drawing>
          <wp:inline distT="0" distB="0" distL="0" distR="0">
            <wp:extent cx="3883025" cy="2730500"/>
            <wp:effectExtent l="0" t="0" r="0" b="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19"/>
                    <a:srcRect/>
                    <a:stretch>
                      <a:fillRect/>
                    </a:stretch>
                  </pic:blipFill>
                  <pic:spPr>
                    <a:xfrm>
                      <a:off x="0" y="0"/>
                      <a:ext cx="3883536" cy="2731008"/>
                    </a:xfrm>
                    <a:prstGeom prst="rect">
                      <a:avLst/>
                    </a:prstGeom>
                    <a:ln>
                      <a:noFill/>
                    </a:ln>
                  </pic:spPr>
                </pic:pic>
              </a:graphicData>
            </a:graphic>
          </wp:inline>
        </w:drawing>
      </w:r>
    </w:p>
    <w:p w:rsidR="005211C0" w:rsidRDefault="00000000">
      <w:pPr>
        <w:pStyle w:val="a3"/>
        <w:ind w:firstLineChars="0" w:firstLine="0"/>
        <w:jc w:val="center"/>
        <w:rPr>
          <w:rFonts w:asciiTheme="majorEastAsia" w:eastAsiaTheme="majorEastAsia" w:hAnsiTheme="majorEastAsia"/>
          <w:sz w:val="21"/>
          <w:szCs w:val="21"/>
        </w:rPr>
      </w:pPr>
      <w:r>
        <w:rPr>
          <w:rFonts w:asciiTheme="majorEastAsia" w:eastAsiaTheme="majorEastAsia" w:hAnsiTheme="majorEastAsia" w:hint="eastAsia"/>
          <w:sz w:val="21"/>
          <w:szCs w:val="21"/>
        </w:rPr>
        <w:t>图4-1</w:t>
      </w:r>
      <w:r>
        <w:rPr>
          <w:rFonts w:asciiTheme="majorEastAsia" w:eastAsiaTheme="majorEastAsia" w:hAnsiTheme="majorEastAsia" w:hint="eastAsia"/>
          <w:kern w:val="2"/>
          <w:sz w:val="21"/>
          <w:szCs w:val="21"/>
        </w:rPr>
        <w:t>综合指数箱线图</w:t>
      </w:r>
    </w:p>
    <w:p w:rsidR="005211C0" w:rsidRDefault="00000000">
      <w:pPr>
        <w:ind w:firstLine="480"/>
        <w:jc w:val="both"/>
      </w:pPr>
      <w:r>
        <w:rPr>
          <w:rFonts w:hint="eastAsia"/>
        </w:rPr>
        <w:t>空间分布上，</w:t>
      </w:r>
      <w:r>
        <w:rPr>
          <w:rFonts w:hint="eastAsia"/>
        </w:rPr>
        <w:t xml:space="preserve"> 2024 </w:t>
      </w:r>
      <w:r>
        <w:rPr>
          <w:rFonts w:hint="eastAsia"/>
        </w:rPr>
        <w:t>年综合指数较高的省州包括俄罗斯滨海边疆区、吉林省、俄罗斯犹太自治州、黑龙江省和辽宁省（图</w:t>
      </w:r>
      <w:r>
        <w:rPr>
          <w:rFonts w:hint="eastAsia"/>
        </w:rPr>
        <w:t>4-2</w:t>
      </w:r>
      <w:r>
        <w:rPr>
          <w:rFonts w:hint="eastAsia"/>
        </w:rPr>
        <w:t>、图</w:t>
      </w:r>
      <w:r>
        <w:rPr>
          <w:rFonts w:hint="eastAsia"/>
        </w:rPr>
        <w:t>4-3</w:t>
      </w:r>
      <w:r>
        <w:rPr>
          <w:rFonts w:hint="eastAsia"/>
        </w:rPr>
        <w:t>）。其中，滨海边疆区</w:t>
      </w:r>
      <w:r>
        <w:rPr>
          <w:rFonts w:hint="eastAsia"/>
        </w:rPr>
        <w:t xml:space="preserve"> 2024 </w:t>
      </w:r>
      <w:r>
        <w:rPr>
          <w:rFonts w:hint="eastAsia"/>
        </w:rPr>
        <w:t>年综合指数均值最高，为</w:t>
      </w:r>
      <w:r>
        <w:rPr>
          <w:rFonts w:hint="eastAsia"/>
        </w:rPr>
        <w:t xml:space="preserve"> 0.5871</w:t>
      </w:r>
      <w:r>
        <w:rPr>
          <w:rFonts w:hint="eastAsia"/>
        </w:rPr>
        <w:t>；吉林省次之，为</w:t>
      </w:r>
      <w:r>
        <w:rPr>
          <w:rFonts w:hint="eastAsia"/>
        </w:rPr>
        <w:t xml:space="preserve"> 0.5277</w:t>
      </w:r>
      <w:r>
        <w:rPr>
          <w:rFonts w:hint="eastAsia"/>
        </w:rPr>
        <w:t>；犹太自治州、黑龙江省和辽宁省分别为</w:t>
      </w:r>
      <w:r>
        <w:rPr>
          <w:rFonts w:hint="eastAsia"/>
        </w:rPr>
        <w:t xml:space="preserve"> 0.5047</w:t>
      </w:r>
      <w:r>
        <w:rPr>
          <w:rFonts w:hint="eastAsia"/>
        </w:rPr>
        <w:t>、</w:t>
      </w:r>
      <w:r>
        <w:rPr>
          <w:rFonts w:hint="eastAsia"/>
        </w:rPr>
        <w:t xml:space="preserve">0.4912 </w:t>
      </w:r>
      <w:r>
        <w:rPr>
          <w:rFonts w:hint="eastAsia"/>
        </w:rPr>
        <w:t>和</w:t>
      </w:r>
      <w:r>
        <w:rPr>
          <w:rFonts w:hint="eastAsia"/>
        </w:rPr>
        <w:t xml:space="preserve"> 0.4900</w:t>
      </w:r>
      <w:r>
        <w:rPr>
          <w:rFonts w:hint="eastAsia"/>
        </w:rPr>
        <w:t>。这些区域共同构成了研究区</w:t>
      </w:r>
      <w:r>
        <w:rPr>
          <w:rFonts w:hint="eastAsia"/>
        </w:rPr>
        <w:t xml:space="preserve"> SDGs </w:t>
      </w:r>
      <w:r>
        <w:rPr>
          <w:rFonts w:hint="eastAsia"/>
        </w:rPr>
        <w:t>空间支撑条件相对较强的节点和片区。中国侧综合指数均值整体高于俄罗斯侧。</w:t>
      </w:r>
      <w:r>
        <w:rPr>
          <w:rFonts w:hint="eastAsia"/>
        </w:rPr>
        <w:t xml:space="preserve">2024 </w:t>
      </w:r>
      <w:r>
        <w:rPr>
          <w:rFonts w:hint="eastAsia"/>
        </w:rPr>
        <w:t>年，中国侧综合指数均值为</w:t>
      </w:r>
      <w:r>
        <w:rPr>
          <w:rFonts w:hint="eastAsia"/>
        </w:rPr>
        <w:t xml:space="preserve"> 0.4629</w:t>
      </w:r>
      <w:r>
        <w:rPr>
          <w:rFonts w:hint="eastAsia"/>
        </w:rPr>
        <w:t>，俄罗斯侧为</w:t>
      </w:r>
      <w:r>
        <w:rPr>
          <w:rFonts w:hint="eastAsia"/>
        </w:rPr>
        <w:t xml:space="preserve"> 0.3983</w:t>
      </w:r>
      <w:r>
        <w:rPr>
          <w:rFonts w:hint="eastAsia"/>
        </w:rPr>
        <w:t>。但从省州尺度统计，最高值出现在俄罗斯滨海边疆区，中国各省则整体处于中高位次</w:t>
      </w:r>
      <w:r>
        <w:rPr>
          <w:rFonts w:hint="eastAsia"/>
        </w:rPr>
        <w:t>2010</w:t>
      </w:r>
      <w:r>
        <w:rPr>
          <w:rFonts w:hint="eastAsia"/>
        </w:rPr>
        <w:t>—</w:t>
      </w:r>
      <w:r>
        <w:rPr>
          <w:rFonts w:hint="eastAsia"/>
        </w:rPr>
        <w:t xml:space="preserve">2024 </w:t>
      </w:r>
      <w:r>
        <w:rPr>
          <w:rFonts w:hint="eastAsia"/>
        </w:rPr>
        <w:t>年，中国侧均值增加</w:t>
      </w:r>
      <w:r>
        <w:rPr>
          <w:rFonts w:hint="eastAsia"/>
        </w:rPr>
        <w:t xml:space="preserve"> 0.0125</w:t>
      </w:r>
      <w:r>
        <w:rPr>
          <w:rFonts w:hint="eastAsia"/>
        </w:rPr>
        <w:t>，变化率为</w:t>
      </w:r>
      <w:r>
        <w:rPr>
          <w:rFonts w:hint="eastAsia"/>
        </w:rPr>
        <w:t xml:space="preserve"> 2.95%</w:t>
      </w:r>
      <w:r>
        <w:rPr>
          <w:rFonts w:hint="eastAsia"/>
        </w:rPr>
        <w:t>，俄罗斯侧均值增加</w:t>
      </w:r>
      <w:r>
        <w:rPr>
          <w:rFonts w:hint="eastAsia"/>
        </w:rPr>
        <w:t xml:space="preserve"> 0.0018</w:t>
      </w:r>
      <w:r>
        <w:rPr>
          <w:rFonts w:hint="eastAsia"/>
        </w:rPr>
        <w:t>，变化率为</w:t>
      </w:r>
      <w:r>
        <w:rPr>
          <w:rFonts w:hint="eastAsia"/>
        </w:rPr>
        <w:t xml:space="preserve"> 0.61%</w:t>
      </w:r>
      <w:r>
        <w:rPr>
          <w:rFonts w:hint="eastAsia"/>
        </w:rPr>
        <w:t>。这说明研究期内中国侧</w:t>
      </w:r>
      <w:r>
        <w:rPr>
          <w:rFonts w:hint="eastAsia"/>
        </w:rPr>
        <w:t xml:space="preserve"> SDGs </w:t>
      </w:r>
      <w:r>
        <w:rPr>
          <w:rFonts w:hint="eastAsia"/>
        </w:rPr>
        <w:t>空间支撑条件改善幅度相对更大，但两侧内部均存在明显空间差异，不能简单理解为国别整体优劣对比。</w:t>
      </w:r>
    </w:p>
    <w:p w:rsidR="005211C0" w:rsidRDefault="00000000">
      <w:pPr>
        <w:ind w:firstLine="480"/>
        <w:jc w:val="both"/>
      </w:pPr>
      <w:r>
        <w:rPr>
          <w:rFonts w:hint="eastAsia"/>
        </w:rPr>
        <w:t>低值区主要分布于俄罗斯远东内陆、外贝加尔和远离主要口岸及交通节点的人类活动密度低的腹地。</w:t>
      </w:r>
      <w:r>
        <w:rPr>
          <w:rFonts w:hint="eastAsia"/>
        </w:rPr>
        <w:t xml:space="preserve">2024 </w:t>
      </w:r>
      <w:r>
        <w:rPr>
          <w:rFonts w:hint="eastAsia"/>
        </w:rPr>
        <w:t>年综合指数较低的省州包括外贝加尔边疆区、哈巴罗夫斯克边疆区、阿穆尔州和中国内蒙古东部。其中，外贝加尔边疆区均值最低，为</w:t>
      </w:r>
      <w:r>
        <w:rPr>
          <w:rFonts w:hint="eastAsia"/>
        </w:rPr>
        <w:t xml:space="preserve"> 0.3502</w:t>
      </w:r>
      <w:r>
        <w:rPr>
          <w:rFonts w:hint="eastAsia"/>
        </w:rPr>
        <w:t>；哈巴罗夫斯克边疆区和阿穆尔州分别为</w:t>
      </w:r>
      <w:r>
        <w:rPr>
          <w:rFonts w:hint="eastAsia"/>
        </w:rPr>
        <w:t xml:space="preserve"> 0.3838 </w:t>
      </w:r>
      <w:r>
        <w:rPr>
          <w:rFonts w:hint="eastAsia"/>
        </w:rPr>
        <w:t>和</w:t>
      </w:r>
      <w:r>
        <w:rPr>
          <w:rFonts w:hint="eastAsia"/>
        </w:rPr>
        <w:t xml:space="preserve"> 0.3924</w:t>
      </w:r>
      <w:r>
        <w:rPr>
          <w:rFonts w:hint="eastAsia"/>
        </w:rPr>
        <w:t>；中国内蒙古东部为</w:t>
      </w:r>
      <w:r>
        <w:rPr>
          <w:rFonts w:hint="eastAsia"/>
        </w:rPr>
        <w:t xml:space="preserve"> 0.3978</w:t>
      </w:r>
      <w:r>
        <w:rPr>
          <w:rFonts w:hint="eastAsia"/>
        </w:rPr>
        <w:t>。</w:t>
      </w:r>
    </w:p>
    <w:p w:rsidR="005211C0" w:rsidRDefault="00000000">
      <w:pPr>
        <w:ind w:firstLine="480"/>
        <w:jc w:val="both"/>
      </w:pPr>
      <w:r>
        <w:rPr>
          <w:rFonts w:hint="eastAsia"/>
        </w:rPr>
        <w:t>该空间格局在</w:t>
      </w:r>
      <w:r>
        <w:rPr>
          <w:rFonts w:hint="eastAsia"/>
        </w:rPr>
        <w:t xml:space="preserve"> 2010</w:t>
      </w:r>
      <w:r>
        <w:rPr>
          <w:rFonts w:hint="eastAsia"/>
        </w:rPr>
        <w:t>—</w:t>
      </w:r>
      <w:r>
        <w:rPr>
          <w:rFonts w:hint="eastAsia"/>
        </w:rPr>
        <w:t xml:space="preserve">2024 </w:t>
      </w:r>
      <w:r>
        <w:rPr>
          <w:rFonts w:hint="eastAsia"/>
        </w:rPr>
        <w:t>年间稳定性强，为后续分析空间集聚特征和维度短板奠定基础。</w:t>
      </w:r>
    </w:p>
    <w:p w:rsidR="005211C0" w:rsidRDefault="00000000">
      <w:pPr>
        <w:pStyle w:val="af3"/>
        <w:jc w:val="center"/>
      </w:pPr>
      <w:r>
        <w:rPr>
          <w:rFonts w:hint="eastAsia"/>
          <w:noProof/>
        </w:rPr>
        <w:lastRenderedPageBreak/>
        <w:drawing>
          <wp:inline distT="0" distB="0" distL="0" distR="0">
            <wp:extent cx="5107940" cy="3878580"/>
            <wp:effectExtent l="0" t="0" r="0" b="0"/>
            <wp:docPr id="5799997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99725" name="图片 5"/>
                    <pic:cNvPicPr>
                      <a:picLocks noChangeAspect="1"/>
                    </pic:cNvPicPr>
                  </pic:nvPicPr>
                  <pic:blipFill>
                    <a:blip r:embed="rId20"/>
                    <a:srcRect/>
                    <a:stretch>
                      <a:fillRect/>
                    </a:stretch>
                  </pic:blipFill>
                  <pic:spPr>
                    <a:xfrm>
                      <a:off x="0" y="0"/>
                      <a:ext cx="5155997" cy="3914771"/>
                    </a:xfrm>
                    <a:prstGeom prst="rect">
                      <a:avLst/>
                    </a:prstGeom>
                    <a:ln>
                      <a:noFill/>
                    </a:ln>
                  </pic:spPr>
                </pic:pic>
              </a:graphicData>
            </a:graphic>
          </wp:inline>
        </w:drawing>
      </w:r>
    </w:p>
    <w:p w:rsidR="005211C0" w:rsidRDefault="00000000">
      <w:pPr>
        <w:pStyle w:val="a3"/>
        <w:ind w:firstLineChars="0" w:firstLine="0"/>
        <w:jc w:val="center"/>
        <w:rPr>
          <w:rFonts w:asciiTheme="majorEastAsia" w:eastAsiaTheme="majorEastAsia" w:hAnsiTheme="majorEastAsia"/>
          <w:sz w:val="21"/>
          <w:szCs w:val="21"/>
        </w:rPr>
      </w:pPr>
      <w:r>
        <w:rPr>
          <w:rFonts w:asciiTheme="majorEastAsia" w:eastAsiaTheme="majorEastAsia" w:hAnsiTheme="majorEastAsia"/>
          <w:sz w:val="21"/>
          <w:szCs w:val="21"/>
        </w:rPr>
        <w:t>图4-</w:t>
      </w:r>
      <w:r>
        <w:rPr>
          <w:rFonts w:asciiTheme="majorEastAsia" w:eastAsiaTheme="majorEastAsia" w:hAnsiTheme="majorEastAsia" w:hint="eastAsia"/>
          <w:sz w:val="21"/>
          <w:szCs w:val="21"/>
        </w:rPr>
        <w:t>2 综合指数空间分布图</w:t>
      </w:r>
    </w:p>
    <w:p w:rsidR="005211C0" w:rsidRDefault="00000000">
      <w:pPr>
        <w:ind w:firstLineChars="0" w:firstLine="0"/>
        <w:jc w:val="center"/>
      </w:pPr>
      <w:r>
        <w:fldChar w:fldCharType="begin"/>
      </w:r>
      <w:r>
        <w:instrText xml:space="preserve"> INCLUDEPICTURE "https://chatgpt.com/backend-api/estuary/content?id=file_000000003ff871fda7ec8b9a0994e906&amp;ts=494215&amp;p=fsns&amp;cid=1&amp;sig=6a968de3679067349bd67eaf25c4d53dfbe07e5fbac82614c8dcefc170a5751a&amp;v=0" \* MERGEFORMATINET </w:instrText>
      </w:r>
      <w:r>
        <w:fldChar w:fldCharType="separate"/>
      </w:r>
      <w:r>
        <w:rPr>
          <w:noProof/>
        </w:rPr>
        <mc:AlternateContent>
          <mc:Choice Requires="wps">
            <w:drawing>
              <wp:inline distT="0" distB="0" distL="0" distR="0">
                <wp:extent cx="304800" cy="304800"/>
                <wp:effectExtent l="0" t="0" r="0" b="0"/>
                <wp:docPr id="553815676"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矩形 1"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B8yWdNIAAAADAQAADwAAAAAAAAABACAAAAAi&#10;AAAAZHJzL2Rvd25yZXYueG1sUEsBAhQAFAAAAAgAh07iQG5Wc5cQAgAAFwQAAA4AAAAAAAAAAQAg&#10;AAAAIQEAAGRycy9lMm9Eb2MueG1sUEsFBgAAAAAGAAYAWQEAAKMFAAAAAA==&#10;">
                <v:fill on="f" focussize="0,0"/>
                <v:stroke on="f"/>
                <v:imagedata o:title=""/>
                <o:lock v:ext="edit" aspectratio="t"/>
                <w10:wrap type="none"/>
                <w10:anchorlock/>
              </v:rect>
            </w:pict>
          </mc:Fallback>
        </mc:AlternateContent>
      </w:r>
      <w:r>
        <w:fldChar w:fldCharType="end"/>
      </w:r>
      <w:r>
        <w:t xml:space="preserve"> </w:t>
      </w:r>
      <w:r>
        <w:rPr>
          <w:rFonts w:hint="eastAsia"/>
          <w:noProof/>
        </w:rPr>
        <w:drawing>
          <wp:inline distT="0" distB="0" distL="0" distR="0">
            <wp:extent cx="5156835" cy="3068320"/>
            <wp:effectExtent l="0" t="0" r="0" b="5080"/>
            <wp:docPr id="1886374661" name="图片 3"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74661" name="图片 3" descr="图表, 条形图&#10;&#10;AI 生成的内容可能不正确。"/>
                    <pic:cNvPicPr>
                      <a:picLocks noChangeAspect="1"/>
                    </pic:cNvPicPr>
                  </pic:nvPicPr>
                  <pic:blipFill>
                    <a:blip r:embed="rId21" cstate="print">
                      <a:extLst>
                        <a:ext uri="{28A0092B-C50C-407E-A947-70E740481C1C}">
                          <a14:useLocalDpi xmlns:a14="http://schemas.microsoft.com/office/drawing/2010/main" val="0"/>
                        </a:ext>
                      </a:extLst>
                    </a:blip>
                    <a:srcRect t="9007" b="7093"/>
                    <a:stretch>
                      <a:fillRect/>
                    </a:stretch>
                  </pic:blipFill>
                  <pic:spPr>
                    <a:xfrm>
                      <a:off x="0" y="0"/>
                      <a:ext cx="5179922" cy="3081968"/>
                    </a:xfrm>
                    <a:prstGeom prst="rect">
                      <a:avLst/>
                    </a:prstGeom>
                    <a:ln>
                      <a:noFill/>
                    </a:ln>
                  </pic:spPr>
                </pic:pic>
              </a:graphicData>
            </a:graphic>
          </wp:inline>
        </w:drawing>
      </w:r>
    </w:p>
    <w:p w:rsidR="005211C0" w:rsidRDefault="00000000">
      <w:pPr>
        <w:ind w:firstLineChars="0" w:firstLine="0"/>
        <w:jc w:val="center"/>
        <w:rPr>
          <w:rFonts w:asciiTheme="majorEastAsia" w:eastAsiaTheme="majorEastAsia" w:hAnsiTheme="majorEastAsia"/>
          <w:sz w:val="21"/>
        </w:rPr>
      </w:pPr>
      <w:r>
        <w:rPr>
          <w:rFonts w:asciiTheme="majorEastAsia" w:eastAsiaTheme="majorEastAsia" w:hAnsiTheme="majorEastAsia"/>
          <w:sz w:val="21"/>
        </w:rPr>
        <w:t>图4-</w:t>
      </w:r>
      <w:r>
        <w:rPr>
          <w:rFonts w:asciiTheme="majorEastAsia" w:eastAsiaTheme="majorEastAsia" w:hAnsiTheme="majorEastAsia" w:hint="eastAsia"/>
          <w:sz w:val="21"/>
        </w:rPr>
        <w:t>3</w:t>
      </w:r>
      <w:r>
        <w:rPr>
          <w:rFonts w:asciiTheme="majorEastAsia" w:eastAsiaTheme="majorEastAsia" w:hAnsiTheme="majorEastAsia"/>
          <w:sz w:val="21"/>
        </w:rPr>
        <w:t xml:space="preserve"> </w:t>
      </w:r>
      <w:r>
        <w:rPr>
          <w:rFonts w:asciiTheme="majorEastAsia" w:eastAsiaTheme="majorEastAsia" w:hAnsiTheme="majorEastAsia" w:hint="eastAsia"/>
          <w:sz w:val="21"/>
        </w:rPr>
        <w:t>省州综合指数统计图</w:t>
      </w:r>
    </w:p>
    <w:p w:rsidR="005211C0" w:rsidRDefault="00000000">
      <w:pPr>
        <w:pStyle w:val="2"/>
        <w:ind w:firstLineChars="0" w:firstLine="0"/>
        <w:jc w:val="both"/>
        <w:rPr>
          <w:rFonts w:ascii="Times New Roman" w:hAnsi="Times New Roman"/>
        </w:rPr>
      </w:pPr>
      <w:bookmarkStart w:id="18" w:name="_Toc230099582"/>
      <w:r>
        <w:rPr>
          <w:rFonts w:ascii="Times New Roman" w:hAnsi="Times New Roman"/>
        </w:rPr>
        <w:t>4.2 ESDA</w:t>
      </w:r>
      <w:r>
        <w:rPr>
          <w:rFonts w:ascii="Times New Roman" w:hAnsi="Times New Roman"/>
        </w:rPr>
        <w:t>空间集聚特征</w:t>
      </w:r>
      <w:bookmarkEnd w:id="18"/>
    </w:p>
    <w:p w:rsidR="005211C0" w:rsidRDefault="00000000">
      <w:pPr>
        <w:ind w:firstLine="480"/>
        <w:jc w:val="both"/>
      </w:pPr>
      <w:r>
        <w:rPr>
          <w:rFonts w:hint="eastAsia"/>
        </w:rPr>
        <w:t xml:space="preserve">ESDA </w:t>
      </w:r>
      <w:r>
        <w:rPr>
          <w:rFonts w:hint="eastAsia"/>
        </w:rPr>
        <w:t>结果表明，中国东北—俄罗斯远东跨境区域</w:t>
      </w:r>
      <w:r>
        <w:rPr>
          <w:rFonts w:hint="eastAsia"/>
        </w:rPr>
        <w:t xml:space="preserve"> SDGs </w:t>
      </w:r>
      <w:r>
        <w:rPr>
          <w:rFonts w:hint="eastAsia"/>
        </w:rPr>
        <w:t>空间支撑条件综合指数具有显著空间正相关特征。</w:t>
      </w:r>
      <w:r>
        <w:rPr>
          <w:rFonts w:hint="eastAsia"/>
        </w:rPr>
        <w:t>2010</w:t>
      </w:r>
      <w:r>
        <w:rPr>
          <w:rFonts w:hint="eastAsia"/>
        </w:rPr>
        <w:t>、</w:t>
      </w:r>
      <w:r>
        <w:rPr>
          <w:rFonts w:hint="eastAsia"/>
        </w:rPr>
        <w:t>2015</w:t>
      </w:r>
      <w:r>
        <w:rPr>
          <w:rFonts w:hint="eastAsia"/>
        </w:rPr>
        <w:t>、</w:t>
      </w:r>
      <w:r>
        <w:rPr>
          <w:rFonts w:hint="eastAsia"/>
        </w:rPr>
        <w:t xml:space="preserve">2020 </w:t>
      </w:r>
      <w:r>
        <w:rPr>
          <w:rFonts w:hint="eastAsia"/>
        </w:rPr>
        <w:t>和</w:t>
      </w:r>
      <w:r>
        <w:rPr>
          <w:rFonts w:hint="eastAsia"/>
        </w:rPr>
        <w:t xml:space="preserve"> 2024 </w:t>
      </w:r>
      <w:r>
        <w:rPr>
          <w:rFonts w:hint="eastAsia"/>
        </w:rPr>
        <w:t>年综合指数的</w:t>
      </w:r>
      <w:r>
        <w:rPr>
          <w:rFonts w:hint="eastAsia"/>
        </w:rPr>
        <w:t xml:space="preserve"> Global Moran</w:t>
      </w:r>
      <w:r>
        <w:rPr>
          <w:rFonts w:hint="eastAsia"/>
        </w:rPr>
        <w:t>’</w:t>
      </w:r>
      <w:r>
        <w:rPr>
          <w:rFonts w:hint="eastAsia"/>
        </w:rPr>
        <w:t xml:space="preserve">s I </w:t>
      </w:r>
      <w:r>
        <w:rPr>
          <w:rFonts w:hint="eastAsia"/>
        </w:rPr>
        <w:t>分别为</w:t>
      </w:r>
      <w:r>
        <w:rPr>
          <w:rFonts w:hint="eastAsia"/>
        </w:rPr>
        <w:t xml:space="preserve"> 0.8960</w:t>
      </w:r>
      <w:r>
        <w:rPr>
          <w:rFonts w:hint="eastAsia"/>
        </w:rPr>
        <w:t>、</w:t>
      </w:r>
      <w:r>
        <w:rPr>
          <w:rFonts w:hint="eastAsia"/>
        </w:rPr>
        <w:t>0.9013</w:t>
      </w:r>
      <w:r>
        <w:rPr>
          <w:rFonts w:hint="eastAsia"/>
        </w:rPr>
        <w:t>、</w:t>
      </w:r>
      <w:r>
        <w:rPr>
          <w:rFonts w:hint="eastAsia"/>
        </w:rPr>
        <w:t xml:space="preserve">0.9125 </w:t>
      </w:r>
      <w:r>
        <w:rPr>
          <w:rFonts w:hint="eastAsia"/>
        </w:rPr>
        <w:t>和</w:t>
      </w:r>
      <w:r>
        <w:rPr>
          <w:rFonts w:hint="eastAsia"/>
        </w:rPr>
        <w:t xml:space="preserve"> 0.9179</w:t>
      </w:r>
      <w:r>
        <w:rPr>
          <w:rFonts w:hint="eastAsia"/>
        </w:rPr>
        <w:t>，且均通过显著性检验（</w:t>
      </w:r>
      <w:r>
        <w:rPr>
          <w:rFonts w:hint="eastAsia"/>
        </w:rPr>
        <w:t>p=0.001</w:t>
      </w:r>
      <w:r>
        <w:rPr>
          <w:rFonts w:hint="eastAsia"/>
        </w:rPr>
        <w:t>）。这说明</w:t>
      </w:r>
      <w:r>
        <w:rPr>
          <w:rFonts w:hint="eastAsia"/>
        </w:rPr>
        <w:lastRenderedPageBreak/>
        <w:t>综合指数并非随机分布，而是表现出明显的高值邻近高值、低值邻近低值的空间集聚特征，并且空间集聚程度有所增强。结合</w:t>
      </w:r>
      <w:r>
        <w:rPr>
          <w:rFonts w:hint="eastAsia"/>
        </w:rPr>
        <w:t xml:space="preserve"> 4.1 </w:t>
      </w:r>
      <w:r>
        <w:rPr>
          <w:rFonts w:hint="eastAsia"/>
        </w:rPr>
        <w:t>中综合指数均值变化较小、年份间相关性较高的结果可以看出，研究期内综合指数不仅整体变化幅度有限，而且空间分异格局呈现进一步稳定和强化的趋势。</w:t>
      </w:r>
    </w:p>
    <w:p w:rsidR="005211C0" w:rsidRDefault="00000000">
      <w:pPr>
        <w:ind w:firstLine="480"/>
        <w:jc w:val="both"/>
      </w:pPr>
      <w:r>
        <w:rPr>
          <w:rFonts w:hint="eastAsia"/>
        </w:rPr>
        <w:t>2010</w:t>
      </w:r>
      <w:r>
        <w:rPr>
          <w:rFonts w:hint="eastAsia"/>
        </w:rPr>
        <w:t>—</w:t>
      </w:r>
      <w:r>
        <w:rPr>
          <w:rFonts w:hint="eastAsia"/>
        </w:rPr>
        <w:t xml:space="preserve">2024 </w:t>
      </w:r>
      <w:r>
        <w:rPr>
          <w:rFonts w:hint="eastAsia"/>
        </w:rPr>
        <w:t>年综合指数变化率的</w:t>
      </w:r>
      <w:r>
        <w:rPr>
          <w:rFonts w:hint="eastAsia"/>
        </w:rPr>
        <w:t xml:space="preserve"> Global Moran</w:t>
      </w:r>
      <w:r>
        <w:rPr>
          <w:rFonts w:hint="eastAsia"/>
        </w:rPr>
        <w:t>’</w:t>
      </w:r>
      <w:r>
        <w:rPr>
          <w:rFonts w:hint="eastAsia"/>
        </w:rPr>
        <w:t xml:space="preserve">s I </w:t>
      </w:r>
      <w:r>
        <w:rPr>
          <w:rFonts w:hint="eastAsia"/>
        </w:rPr>
        <w:t>为</w:t>
      </w:r>
      <w:r>
        <w:rPr>
          <w:rFonts w:hint="eastAsia"/>
        </w:rPr>
        <w:t xml:space="preserve"> 0.5237</w:t>
      </w:r>
      <w:r>
        <w:rPr>
          <w:rFonts w:hint="eastAsia"/>
        </w:rPr>
        <w:t>，显著性水平同样为</w:t>
      </w:r>
      <w:r>
        <w:rPr>
          <w:rFonts w:hint="eastAsia"/>
        </w:rPr>
        <w:t xml:space="preserve"> p=0.001</w:t>
      </w:r>
      <w:r>
        <w:rPr>
          <w:rFonts w:hint="eastAsia"/>
        </w:rPr>
        <w:t>。与综合指数水平值相比，变化率的空间自相关程度较低，但仍表现出较明显的空间集聚。这说明研究区综合指数的改善或下降并非完全随机发生，而是在局部区域形成一定程度的连续分布。</w:t>
      </w:r>
    </w:p>
    <w:p w:rsidR="005211C0" w:rsidRDefault="00000000">
      <w:pPr>
        <w:ind w:firstLine="480"/>
        <w:jc w:val="both"/>
      </w:pPr>
      <w:r>
        <w:rPr>
          <w:rFonts w:hint="eastAsia"/>
        </w:rPr>
        <w:t xml:space="preserve">2024 </w:t>
      </w:r>
      <w:r>
        <w:rPr>
          <w:rFonts w:hint="eastAsia"/>
        </w:rPr>
        <w:t>年综合指数</w:t>
      </w:r>
      <w:r>
        <w:rPr>
          <w:rFonts w:hint="eastAsia"/>
        </w:rPr>
        <w:t xml:space="preserve"> LISA </w:t>
      </w:r>
      <w:r>
        <w:rPr>
          <w:rFonts w:hint="eastAsia"/>
        </w:rPr>
        <w:t>结果显示，显著高—高（</w:t>
      </w:r>
      <w:r>
        <w:rPr>
          <w:rFonts w:hint="eastAsia"/>
        </w:rPr>
        <w:t>HH</w:t>
      </w:r>
      <w:r>
        <w:rPr>
          <w:rFonts w:hint="eastAsia"/>
        </w:rPr>
        <w:t>）集聚区占全部网格的</w:t>
      </w:r>
      <w:r>
        <w:rPr>
          <w:rFonts w:hint="eastAsia"/>
        </w:rPr>
        <w:t xml:space="preserve"> 25.59%</w:t>
      </w:r>
      <w:r>
        <w:rPr>
          <w:rFonts w:hint="eastAsia"/>
        </w:rPr>
        <w:t>，主要分布在俄罗斯锡霍特山脉以及中国长白山山脉（图</w:t>
      </w:r>
      <w:r>
        <w:rPr>
          <w:rFonts w:hint="eastAsia"/>
        </w:rPr>
        <w:t>4-4</w:t>
      </w:r>
      <w:r>
        <w:rPr>
          <w:rFonts w:hint="eastAsia"/>
        </w:rPr>
        <w:t>）。显著低—低（</w:t>
      </w:r>
      <w:r>
        <w:rPr>
          <w:rFonts w:hint="eastAsia"/>
        </w:rPr>
        <w:t>LL</w:t>
      </w:r>
      <w:r>
        <w:rPr>
          <w:rFonts w:hint="eastAsia"/>
        </w:rPr>
        <w:t>）集聚区占</w:t>
      </w:r>
      <w:r>
        <w:rPr>
          <w:rFonts w:hint="eastAsia"/>
        </w:rPr>
        <w:t xml:space="preserve"> 24.90%</w:t>
      </w:r>
      <w:r>
        <w:rPr>
          <w:rFonts w:hint="eastAsia"/>
        </w:rPr>
        <w:t>，主要集中在俄罗斯侧，更多分布于远离主要节点和交通走廊的内陆腹地，尤其是东西伯利亚山地地区。高—低（</w:t>
      </w:r>
      <w:r>
        <w:rPr>
          <w:rFonts w:hint="eastAsia"/>
        </w:rPr>
        <w:t>HL</w:t>
      </w:r>
      <w:r>
        <w:rPr>
          <w:rFonts w:hint="eastAsia"/>
        </w:rPr>
        <w:t>）和低—高（</w:t>
      </w:r>
      <w:r>
        <w:rPr>
          <w:rFonts w:hint="eastAsia"/>
        </w:rPr>
        <w:t>LH</w:t>
      </w:r>
      <w:r>
        <w:rPr>
          <w:rFonts w:hint="eastAsia"/>
        </w:rPr>
        <w:t>）离群区数量较少，空间离群区规模较小。</w:t>
      </w:r>
      <w:r>
        <w:rPr>
          <w:rFonts w:hint="eastAsia"/>
        </w:rPr>
        <w:t xml:space="preserve">2024 </w:t>
      </w:r>
      <w:r>
        <w:rPr>
          <w:rFonts w:hint="eastAsia"/>
        </w:rPr>
        <w:t>年</w:t>
      </w:r>
      <w:r>
        <w:rPr>
          <w:rFonts w:hint="eastAsia"/>
        </w:rPr>
        <w:t xml:space="preserve"> HL </w:t>
      </w:r>
      <w:r>
        <w:rPr>
          <w:rFonts w:hint="eastAsia"/>
        </w:rPr>
        <w:t>高值—低邻类型仅有</w:t>
      </w:r>
      <w:r>
        <w:rPr>
          <w:rFonts w:hint="eastAsia"/>
        </w:rPr>
        <w:t xml:space="preserve"> 36 </w:t>
      </w:r>
      <w:r>
        <w:rPr>
          <w:rFonts w:hint="eastAsia"/>
        </w:rPr>
        <w:t>个网格，主要分布于俄罗斯哈巴罗夫斯克边疆区、外贝加尔边疆区和阿穆尔州的局部地区；</w:t>
      </w:r>
      <w:r>
        <w:rPr>
          <w:rFonts w:hint="eastAsia"/>
        </w:rPr>
        <w:t xml:space="preserve">LH </w:t>
      </w:r>
      <w:r>
        <w:rPr>
          <w:rFonts w:hint="eastAsia"/>
        </w:rPr>
        <w:t>低值—高邻类型共有</w:t>
      </w:r>
      <w:r>
        <w:rPr>
          <w:rFonts w:hint="eastAsia"/>
        </w:rPr>
        <w:t xml:space="preserve"> 119 </w:t>
      </w:r>
      <w:r>
        <w:rPr>
          <w:rFonts w:hint="eastAsia"/>
        </w:rPr>
        <w:t>个网格，主要出现在哈巴罗夫斯克边疆区、滨海边疆区和中国黑龙江省局部区域。这类离群区数量有限，但可作为识别局部突变和过渡地带的参考。</w:t>
      </w:r>
    </w:p>
    <w:p w:rsidR="005211C0" w:rsidRDefault="00000000">
      <w:pPr>
        <w:ind w:firstLine="480"/>
        <w:jc w:val="both"/>
      </w:pPr>
      <w:r>
        <w:rPr>
          <w:rFonts w:hint="eastAsia"/>
        </w:rPr>
        <w:t>2010</w:t>
      </w:r>
      <w:r>
        <w:rPr>
          <w:rFonts w:hint="eastAsia"/>
        </w:rPr>
        <w:t>—</w:t>
      </w:r>
      <w:r>
        <w:rPr>
          <w:rFonts w:hint="eastAsia"/>
        </w:rPr>
        <w:t xml:space="preserve">2024 </w:t>
      </w:r>
      <w:r>
        <w:rPr>
          <w:rFonts w:hint="eastAsia"/>
        </w:rPr>
        <w:t>年变化率</w:t>
      </w:r>
      <w:r>
        <w:rPr>
          <w:rFonts w:hint="eastAsia"/>
        </w:rPr>
        <w:t xml:space="preserve"> LISA </w:t>
      </w:r>
      <w:r>
        <w:rPr>
          <w:rFonts w:hint="eastAsia"/>
        </w:rPr>
        <w:t>进一步揭示了综合指数变化的空间集聚特征。变化率</w:t>
      </w:r>
      <w:r>
        <w:rPr>
          <w:rFonts w:hint="eastAsia"/>
        </w:rPr>
        <w:t xml:space="preserve"> HH </w:t>
      </w:r>
      <w:r>
        <w:rPr>
          <w:rFonts w:hint="eastAsia"/>
        </w:rPr>
        <w:t>集聚区占</w:t>
      </w:r>
      <w:r>
        <w:rPr>
          <w:rFonts w:hint="eastAsia"/>
        </w:rPr>
        <w:t xml:space="preserve"> 15.41%</w:t>
      </w:r>
      <w:r>
        <w:rPr>
          <w:rFonts w:hint="eastAsia"/>
        </w:rPr>
        <w:t>，主要分布于中国东北平原以及俄罗斯外贝加尔边疆区和哈巴罗夫斯克边疆区局部。变化率</w:t>
      </w:r>
      <w:r>
        <w:rPr>
          <w:rFonts w:hint="eastAsia"/>
        </w:rPr>
        <w:t xml:space="preserve"> LL </w:t>
      </w:r>
      <w:r>
        <w:rPr>
          <w:rFonts w:hint="eastAsia"/>
        </w:rPr>
        <w:t>集聚区占</w:t>
      </w:r>
      <w:r>
        <w:rPr>
          <w:rFonts w:hint="eastAsia"/>
        </w:rPr>
        <w:t xml:space="preserve"> 14.85%</w:t>
      </w:r>
      <w:r>
        <w:rPr>
          <w:rFonts w:hint="eastAsia"/>
        </w:rPr>
        <w:t>，主要集中在俄罗斯哈巴罗夫斯克边疆区、阿穆尔州和外贝加尔边疆区。</w:t>
      </w:r>
    </w:p>
    <w:p w:rsidR="005211C0" w:rsidRDefault="00000000">
      <w:pPr>
        <w:pStyle w:val="a3"/>
        <w:ind w:firstLineChars="0" w:firstLine="0"/>
        <w:jc w:val="both"/>
        <w:rPr>
          <w:rFonts w:asciiTheme="majorEastAsia" w:eastAsiaTheme="majorEastAsia" w:hAnsiTheme="majorEastAsia"/>
          <w:sz w:val="21"/>
          <w:szCs w:val="21"/>
        </w:rPr>
      </w:pPr>
      <w:r>
        <w:rPr>
          <w:noProof/>
          <w:lang w:val="zh-CN"/>
        </w:rPr>
        <w:drawing>
          <wp:inline distT="0" distB="0" distL="0" distR="0">
            <wp:extent cx="5487670" cy="2309495"/>
            <wp:effectExtent l="0" t="0" r="0" b="1905"/>
            <wp:docPr id="97538154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81547" name="图片 9"/>
                    <pic:cNvPicPr>
                      <a:picLocks noChangeAspect="1"/>
                    </pic:cNvPicPr>
                  </pic:nvPicPr>
                  <pic:blipFill>
                    <a:blip r:embed="rId22"/>
                    <a:srcRect/>
                    <a:stretch>
                      <a:fillRect/>
                    </a:stretch>
                  </pic:blipFill>
                  <pic:spPr>
                    <a:xfrm>
                      <a:off x="0" y="0"/>
                      <a:ext cx="5487670" cy="2309495"/>
                    </a:xfrm>
                    <a:prstGeom prst="rect">
                      <a:avLst/>
                    </a:prstGeom>
                    <a:ln>
                      <a:noFill/>
                    </a:ln>
                  </pic:spPr>
                </pic:pic>
              </a:graphicData>
            </a:graphic>
          </wp:inline>
        </w:drawing>
      </w:r>
    </w:p>
    <w:p w:rsidR="005211C0" w:rsidRDefault="00000000">
      <w:pPr>
        <w:pStyle w:val="a3"/>
        <w:ind w:firstLineChars="0" w:firstLine="0"/>
        <w:jc w:val="center"/>
        <w:rPr>
          <w:rFonts w:asciiTheme="minorEastAsia" w:eastAsiaTheme="minorEastAsia" w:hAnsiTheme="minorEastAsia"/>
        </w:rPr>
      </w:pPr>
      <w:r>
        <w:rPr>
          <w:rFonts w:asciiTheme="majorEastAsia" w:eastAsiaTheme="majorEastAsia" w:hAnsiTheme="majorEastAsia" w:hint="eastAsia"/>
          <w:sz w:val="21"/>
          <w:szCs w:val="21"/>
        </w:rPr>
        <w:t>图4-4 SDGs空间支撑条件综合指数LISA聚类分布（</w:t>
      </w:r>
      <w:r>
        <w:rPr>
          <w:rFonts w:asciiTheme="majorEastAsia" w:eastAsiaTheme="majorEastAsia" w:hAnsiTheme="majorEastAsia"/>
          <w:sz w:val="21"/>
          <w:szCs w:val="21"/>
        </w:rPr>
        <w:t>a.202</w:t>
      </w:r>
      <w:r>
        <w:rPr>
          <w:rFonts w:asciiTheme="majorEastAsia" w:eastAsiaTheme="majorEastAsia" w:hAnsiTheme="majorEastAsia" w:hint="eastAsia"/>
          <w:sz w:val="21"/>
          <w:szCs w:val="21"/>
        </w:rPr>
        <w:t>4年；</w:t>
      </w:r>
      <w:r>
        <w:rPr>
          <w:rFonts w:asciiTheme="majorEastAsia" w:eastAsiaTheme="majorEastAsia" w:hAnsiTheme="majorEastAsia"/>
          <w:sz w:val="21"/>
          <w:szCs w:val="21"/>
        </w:rPr>
        <w:t>b.</w:t>
      </w:r>
      <w:r>
        <w:rPr>
          <w:rFonts w:asciiTheme="majorEastAsia" w:eastAsiaTheme="majorEastAsia" w:hAnsiTheme="majorEastAsia" w:hint="eastAsia"/>
          <w:sz w:val="21"/>
          <w:szCs w:val="21"/>
        </w:rPr>
        <w:t>2010-2024年变化率）</w:t>
      </w:r>
    </w:p>
    <w:p w:rsidR="005211C0" w:rsidRDefault="00000000">
      <w:pPr>
        <w:pStyle w:val="2"/>
        <w:ind w:firstLineChars="0" w:firstLine="0"/>
        <w:jc w:val="both"/>
        <w:rPr>
          <w:rFonts w:ascii="Times New Roman" w:hAnsi="Times New Roman"/>
        </w:rPr>
      </w:pPr>
      <w:bookmarkStart w:id="19" w:name="_Toc230099583"/>
      <w:r>
        <w:rPr>
          <w:rFonts w:ascii="Times New Roman" w:hAnsi="Times New Roman"/>
        </w:rPr>
        <w:lastRenderedPageBreak/>
        <w:t>4.3</w:t>
      </w:r>
      <w:r>
        <w:rPr>
          <w:rFonts w:ascii="Times New Roman" w:hAnsi="Times New Roman" w:hint="eastAsia"/>
        </w:rPr>
        <w:t xml:space="preserve"> </w:t>
      </w:r>
      <w:r>
        <w:rPr>
          <w:rFonts w:ascii="Times New Roman" w:hAnsi="Times New Roman"/>
        </w:rPr>
        <w:t>维度</w:t>
      </w:r>
      <w:r>
        <w:rPr>
          <w:rFonts w:ascii="Times New Roman" w:hAnsi="Times New Roman" w:hint="eastAsia"/>
        </w:rPr>
        <w:t>组合</w:t>
      </w:r>
      <w:r>
        <w:rPr>
          <w:rFonts w:ascii="Times New Roman" w:hAnsi="Times New Roman"/>
        </w:rPr>
        <w:t>分析</w:t>
      </w:r>
      <w:bookmarkEnd w:id="19"/>
    </w:p>
    <w:p w:rsidR="005211C0" w:rsidRDefault="00000000">
      <w:pPr>
        <w:ind w:firstLine="480"/>
        <w:jc w:val="both"/>
      </w:pPr>
      <w:r>
        <w:rPr>
          <w:rFonts w:hint="eastAsia"/>
        </w:rPr>
        <w:t>为进一步识别综合指数空间格局背后的结构性差异，本文比较了</w:t>
      </w:r>
      <w:r>
        <w:rPr>
          <w:rFonts w:hint="eastAsia"/>
        </w:rPr>
        <w:t xml:space="preserve"> D1 </w:t>
      </w:r>
      <w:r>
        <w:rPr>
          <w:rFonts w:hint="eastAsia"/>
        </w:rPr>
        <w:t>人类活动、</w:t>
      </w:r>
      <w:r>
        <w:rPr>
          <w:rFonts w:hint="eastAsia"/>
        </w:rPr>
        <w:t xml:space="preserve">D2 </w:t>
      </w:r>
      <w:r>
        <w:rPr>
          <w:rFonts w:hint="eastAsia"/>
        </w:rPr>
        <w:t>通达性、</w:t>
      </w:r>
      <w:r>
        <w:rPr>
          <w:rFonts w:hint="eastAsia"/>
        </w:rPr>
        <w:t xml:space="preserve">D3 </w:t>
      </w:r>
      <w:r>
        <w:rPr>
          <w:rFonts w:hint="eastAsia"/>
        </w:rPr>
        <w:t>生态状态和</w:t>
      </w:r>
      <w:r>
        <w:rPr>
          <w:rFonts w:hint="eastAsia"/>
        </w:rPr>
        <w:t xml:space="preserve"> D4 </w:t>
      </w:r>
      <w:r>
        <w:rPr>
          <w:rFonts w:hint="eastAsia"/>
        </w:rPr>
        <w:t>环境本底四个维度得分。</w:t>
      </w:r>
    </w:p>
    <w:p w:rsidR="005211C0" w:rsidRDefault="00000000">
      <w:pPr>
        <w:ind w:firstLine="480"/>
        <w:jc w:val="both"/>
      </w:pPr>
      <w:r>
        <w:rPr>
          <w:rFonts w:hint="eastAsia"/>
        </w:rPr>
        <w:t xml:space="preserve">2024 </w:t>
      </w:r>
      <w:r>
        <w:rPr>
          <w:rFonts w:hint="eastAsia"/>
        </w:rPr>
        <w:t>年，两侧最强维度均为</w:t>
      </w:r>
      <w:r>
        <w:rPr>
          <w:rFonts w:hint="eastAsia"/>
        </w:rPr>
        <w:t xml:space="preserve"> D2 </w:t>
      </w:r>
      <w:r>
        <w:rPr>
          <w:rFonts w:hint="eastAsia"/>
        </w:rPr>
        <w:t>通达性，短板维度均为</w:t>
      </w:r>
      <w:r>
        <w:rPr>
          <w:rFonts w:hint="eastAsia"/>
        </w:rPr>
        <w:t xml:space="preserve"> D1 </w:t>
      </w:r>
      <w:r>
        <w:rPr>
          <w:rFonts w:hint="eastAsia"/>
        </w:rPr>
        <w:t>人类活动。这表明，说明跨境区域整体具有一定通道基础，但人口和人类活动支撑不足是共同约束。</w:t>
      </w:r>
    </w:p>
    <w:p w:rsidR="005211C0" w:rsidRDefault="00000000">
      <w:pPr>
        <w:ind w:firstLine="480"/>
        <w:jc w:val="both"/>
      </w:pPr>
      <w:r>
        <w:rPr>
          <w:rFonts w:hint="eastAsia"/>
        </w:rPr>
        <w:t>中国侧</w:t>
      </w:r>
      <w:r>
        <w:rPr>
          <w:rFonts w:hint="eastAsia"/>
        </w:rPr>
        <w:t xml:space="preserve"> D1 </w:t>
      </w:r>
      <w:r>
        <w:rPr>
          <w:rFonts w:hint="eastAsia"/>
        </w:rPr>
        <w:t>人类活动和</w:t>
      </w:r>
      <w:r>
        <w:rPr>
          <w:rFonts w:hint="eastAsia"/>
        </w:rPr>
        <w:t xml:space="preserve"> D4 </w:t>
      </w:r>
      <w:r>
        <w:rPr>
          <w:rFonts w:hint="eastAsia"/>
        </w:rPr>
        <w:t>环境本底得分高于俄罗斯侧，俄罗斯侧</w:t>
      </w:r>
      <w:r>
        <w:rPr>
          <w:rFonts w:hint="eastAsia"/>
        </w:rPr>
        <w:t xml:space="preserve"> D3 </w:t>
      </w:r>
      <w:r>
        <w:rPr>
          <w:rFonts w:hint="eastAsia"/>
        </w:rPr>
        <w:t>生态状态得分高于中国侧。中国侧的农业生产、城镇活动和口岸节点基础，与俄罗斯侧的森林、山地和生态空间优势具有一定互补关系。</w:t>
      </w:r>
    </w:p>
    <w:p w:rsidR="005211C0" w:rsidRDefault="00000000">
      <w:pPr>
        <w:ind w:firstLine="480"/>
        <w:jc w:val="both"/>
      </w:pPr>
      <w:r>
        <w:rPr>
          <w:rFonts w:hint="eastAsia"/>
        </w:rPr>
        <w:t>省州尺度上，吉林省、黑龙江省和辽宁省的人类活动维度相对较高，其中辽宁省</w:t>
      </w:r>
      <w:r>
        <w:rPr>
          <w:rFonts w:hint="eastAsia"/>
        </w:rPr>
        <w:t xml:space="preserve"> D1 </w:t>
      </w:r>
      <w:r>
        <w:rPr>
          <w:rFonts w:hint="eastAsia"/>
        </w:rPr>
        <w:t>得分为</w:t>
      </w:r>
      <w:r>
        <w:rPr>
          <w:rFonts w:hint="eastAsia"/>
        </w:rPr>
        <w:t xml:space="preserve"> 0.4237</w:t>
      </w:r>
      <w:r>
        <w:rPr>
          <w:rFonts w:hint="eastAsia"/>
        </w:rPr>
        <w:t>，吉林省为</w:t>
      </w:r>
      <w:r>
        <w:rPr>
          <w:rFonts w:hint="eastAsia"/>
        </w:rPr>
        <w:t xml:space="preserve"> 0.3160</w:t>
      </w:r>
      <w:r>
        <w:rPr>
          <w:rFonts w:hint="eastAsia"/>
        </w:rPr>
        <w:t>，黑龙江省为</w:t>
      </w:r>
      <w:r>
        <w:rPr>
          <w:rFonts w:hint="eastAsia"/>
        </w:rPr>
        <w:t xml:space="preserve"> 0.2656</w:t>
      </w:r>
      <w:r>
        <w:rPr>
          <w:rFonts w:hint="eastAsia"/>
        </w:rPr>
        <w:t>；俄罗斯侧各省州</w:t>
      </w:r>
      <w:r>
        <w:rPr>
          <w:rFonts w:hint="eastAsia"/>
        </w:rPr>
        <w:t xml:space="preserve"> D1 </w:t>
      </w:r>
      <w:r>
        <w:rPr>
          <w:rFonts w:hint="eastAsia"/>
        </w:rPr>
        <w:t>得分普遍较低，滨海边疆区、犹太自治州、阿穆尔州和哈巴罗夫斯克边疆区均低于</w:t>
      </w:r>
      <w:r>
        <w:rPr>
          <w:rFonts w:hint="eastAsia"/>
        </w:rPr>
        <w:t xml:space="preserve"> 0.05</w:t>
      </w:r>
      <w:r>
        <w:rPr>
          <w:rFonts w:hint="eastAsia"/>
        </w:rPr>
        <w:t>。生态状态维度则呈现另一种格局，滨海边疆区</w:t>
      </w:r>
      <w:r>
        <w:rPr>
          <w:rFonts w:hint="eastAsia"/>
        </w:rPr>
        <w:t xml:space="preserve"> D3 </w:t>
      </w:r>
      <w:r>
        <w:rPr>
          <w:rFonts w:hint="eastAsia"/>
        </w:rPr>
        <w:t>得分达到</w:t>
      </w:r>
      <w:r>
        <w:rPr>
          <w:rFonts w:hint="eastAsia"/>
        </w:rPr>
        <w:t xml:space="preserve"> 0.8156</w:t>
      </w:r>
      <w:r>
        <w:rPr>
          <w:rFonts w:hint="eastAsia"/>
        </w:rPr>
        <w:t>，明显高于其他省州；吉林省、犹太自治州和黑龙江省也具有相对较高的生态状态得分。</w:t>
      </w:r>
    </w:p>
    <w:p w:rsidR="005211C0" w:rsidRDefault="00000000">
      <w:pPr>
        <w:ind w:firstLine="480"/>
        <w:jc w:val="both"/>
      </w:pPr>
      <w:r>
        <w:rPr>
          <w:rFonts w:hint="eastAsia"/>
        </w:rPr>
        <w:t xml:space="preserve">LISA </w:t>
      </w:r>
      <w:r>
        <w:rPr>
          <w:rFonts w:hint="eastAsia"/>
        </w:rPr>
        <w:t>类型区维度统计表明，高值集聚区和低值集聚区之间的差异主要来自生态状态和通达性维度（图</w:t>
      </w:r>
      <w:r>
        <w:rPr>
          <w:rFonts w:hint="eastAsia"/>
        </w:rPr>
        <w:t>4-5</w:t>
      </w:r>
      <w:r>
        <w:rPr>
          <w:rFonts w:hint="eastAsia"/>
        </w:rPr>
        <w:t>）。两类区域差值最大的维度为</w:t>
      </w:r>
      <w:r>
        <w:rPr>
          <w:rFonts w:hint="eastAsia"/>
        </w:rPr>
        <w:t xml:space="preserve"> D3 </w:t>
      </w:r>
      <w:r>
        <w:rPr>
          <w:rFonts w:hint="eastAsia"/>
        </w:rPr>
        <w:t>生态状态，差值达到</w:t>
      </w:r>
      <w:r>
        <w:rPr>
          <w:rFonts w:hint="eastAsia"/>
        </w:rPr>
        <w:t xml:space="preserve"> 0.5906</w:t>
      </w:r>
      <w:r>
        <w:rPr>
          <w:rFonts w:hint="eastAsia"/>
        </w:rPr>
        <w:t>；其次为</w:t>
      </w:r>
      <w:r>
        <w:rPr>
          <w:rFonts w:hint="eastAsia"/>
        </w:rPr>
        <w:t xml:space="preserve"> D2 </w:t>
      </w:r>
      <w:r>
        <w:rPr>
          <w:rFonts w:hint="eastAsia"/>
        </w:rPr>
        <w:t>通达性，差值为</w:t>
      </w:r>
      <w:r>
        <w:rPr>
          <w:rFonts w:hint="eastAsia"/>
        </w:rPr>
        <w:t xml:space="preserve"> 0.3650</w:t>
      </w:r>
      <w:r>
        <w:rPr>
          <w:rFonts w:hint="eastAsia"/>
        </w:rPr>
        <w:t>。这说明高值集聚与低值集聚的主要结构差异并不只来自人口或经济活动，而更多体现在生态状态和区位通达条件上。</w:t>
      </w:r>
    </w:p>
    <w:p w:rsidR="005211C0" w:rsidRDefault="00000000">
      <w:pPr>
        <w:ind w:firstLine="480"/>
        <w:jc w:val="center"/>
      </w:pPr>
      <w:r>
        <w:rPr>
          <w:rFonts w:hint="eastAsia"/>
          <w:noProof/>
        </w:rPr>
        <w:drawing>
          <wp:inline distT="0" distB="0" distL="114300" distR="114300">
            <wp:extent cx="3743325" cy="2526030"/>
            <wp:effectExtent l="0" t="0" r="15875" b="13970"/>
            <wp:docPr id="5" name="图片 5" descr="图4-7_LISA类型区维度热力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4-7_LISA类型区维度热力图"/>
                    <pic:cNvPicPr>
                      <a:picLocks noChangeAspect="1"/>
                    </pic:cNvPicPr>
                  </pic:nvPicPr>
                  <pic:blipFill>
                    <a:blip r:embed="rId23"/>
                    <a:srcRect t="6140"/>
                    <a:stretch>
                      <a:fillRect/>
                    </a:stretch>
                  </pic:blipFill>
                  <pic:spPr>
                    <a:xfrm>
                      <a:off x="0" y="0"/>
                      <a:ext cx="3743325" cy="2526030"/>
                    </a:xfrm>
                    <a:prstGeom prst="rect">
                      <a:avLst/>
                    </a:prstGeom>
                  </pic:spPr>
                </pic:pic>
              </a:graphicData>
            </a:graphic>
          </wp:inline>
        </w:drawing>
      </w:r>
    </w:p>
    <w:p w:rsidR="005211C0" w:rsidRDefault="00000000">
      <w:pPr>
        <w:pStyle w:val="a3"/>
        <w:ind w:firstLineChars="0" w:firstLine="0"/>
        <w:jc w:val="center"/>
        <w:rPr>
          <w:rFonts w:asciiTheme="majorEastAsia" w:eastAsiaTheme="majorEastAsia" w:hAnsiTheme="majorEastAsia"/>
          <w:sz w:val="21"/>
          <w:szCs w:val="21"/>
        </w:rPr>
      </w:pPr>
      <w:r>
        <w:rPr>
          <w:rFonts w:asciiTheme="majorEastAsia" w:eastAsiaTheme="majorEastAsia" w:hAnsiTheme="majorEastAsia"/>
          <w:sz w:val="21"/>
          <w:szCs w:val="21"/>
        </w:rPr>
        <w:t>图4-</w:t>
      </w:r>
      <w:r>
        <w:rPr>
          <w:rFonts w:asciiTheme="majorEastAsia" w:eastAsiaTheme="majorEastAsia" w:hAnsiTheme="majorEastAsia" w:hint="eastAsia"/>
          <w:sz w:val="21"/>
          <w:szCs w:val="21"/>
        </w:rPr>
        <w:t>5</w:t>
      </w:r>
      <w:r>
        <w:rPr>
          <w:rFonts w:asciiTheme="majorEastAsia" w:eastAsiaTheme="majorEastAsia" w:hAnsiTheme="majorEastAsia"/>
          <w:sz w:val="21"/>
          <w:szCs w:val="21"/>
        </w:rPr>
        <w:t xml:space="preserve"> </w:t>
      </w:r>
      <w:r>
        <w:rPr>
          <w:rFonts w:asciiTheme="majorEastAsia" w:eastAsiaTheme="majorEastAsia" w:hAnsiTheme="majorEastAsia" w:hint="eastAsia"/>
          <w:sz w:val="21"/>
          <w:szCs w:val="21"/>
        </w:rPr>
        <w:t>2024年SDGs空间支撑条件综合指数</w:t>
      </w:r>
      <w:r>
        <w:rPr>
          <w:rFonts w:asciiTheme="majorEastAsia" w:eastAsiaTheme="majorEastAsia" w:hAnsiTheme="majorEastAsia"/>
          <w:sz w:val="21"/>
          <w:szCs w:val="21"/>
        </w:rPr>
        <w:t>四类LISA集聚区维度均值热力图</w:t>
      </w:r>
    </w:p>
    <w:p w:rsidR="005211C0" w:rsidRDefault="00000000">
      <w:pPr>
        <w:pStyle w:val="1"/>
        <w:ind w:firstLineChars="0" w:firstLine="0"/>
        <w:jc w:val="both"/>
        <w:rPr>
          <w:rFonts w:ascii="Times New Roman" w:hAnsi="Times New Roman"/>
        </w:rPr>
      </w:pPr>
      <w:bookmarkStart w:id="20" w:name="_Toc230099584"/>
      <w:r>
        <w:rPr>
          <w:rFonts w:ascii="Times New Roman" w:hAnsi="Times New Roman"/>
        </w:rPr>
        <w:lastRenderedPageBreak/>
        <w:t>5</w:t>
      </w:r>
      <w:r>
        <w:rPr>
          <w:rFonts w:ascii="Times New Roman" w:hAnsi="Times New Roman"/>
        </w:rPr>
        <w:t>讨论</w:t>
      </w:r>
      <w:bookmarkEnd w:id="20"/>
    </w:p>
    <w:p w:rsidR="005211C0" w:rsidRDefault="00000000">
      <w:pPr>
        <w:pStyle w:val="2"/>
        <w:ind w:firstLineChars="0" w:firstLine="0"/>
        <w:jc w:val="both"/>
        <w:rPr>
          <w:rFonts w:ascii="Times New Roman" w:hAnsi="Times New Roman"/>
        </w:rPr>
      </w:pPr>
      <w:bookmarkStart w:id="21" w:name="_Toc230099585"/>
      <w:r>
        <w:rPr>
          <w:rFonts w:ascii="Times New Roman" w:hAnsi="Times New Roman"/>
        </w:rPr>
        <w:t>5.1</w:t>
      </w:r>
      <w:r>
        <w:rPr>
          <w:rFonts w:ascii="Times New Roman" w:hAnsi="Times New Roman" w:hint="eastAsia"/>
        </w:rPr>
        <w:t xml:space="preserve"> </w:t>
      </w:r>
      <w:r>
        <w:rPr>
          <w:rFonts w:ascii="Times New Roman" w:hAnsi="Times New Roman"/>
        </w:rPr>
        <w:t>网格尺度与</w:t>
      </w:r>
      <w:r>
        <w:rPr>
          <w:rFonts w:ascii="Times New Roman" w:hAnsi="Times New Roman"/>
        </w:rPr>
        <w:t>ESDA</w:t>
      </w:r>
      <w:r>
        <w:rPr>
          <w:rFonts w:ascii="Times New Roman" w:hAnsi="Times New Roman"/>
        </w:rPr>
        <w:t>的解释意义</w:t>
      </w:r>
      <w:bookmarkEnd w:id="21"/>
    </w:p>
    <w:p w:rsidR="005211C0" w:rsidRDefault="00000000">
      <w:pPr>
        <w:ind w:firstLine="480"/>
        <w:jc w:val="both"/>
      </w:pPr>
      <w:r>
        <w:rPr>
          <w:rFonts w:hint="eastAsia"/>
        </w:rPr>
        <w:t>以</w:t>
      </w:r>
      <w:r>
        <w:rPr>
          <w:rFonts w:hint="eastAsia"/>
        </w:rPr>
        <w:t>10km</w:t>
      </w:r>
      <w:r>
        <w:rPr>
          <w:rFonts w:hint="eastAsia"/>
        </w:rPr>
        <w:t>网格为单元的核心意义在于揭示行政单元均值难以表达的局地异质性</w:t>
      </w:r>
      <w:r>
        <w:rPr>
          <w:rFonts w:hint="eastAsia"/>
        </w:rPr>
        <w:t>[14,23]</w:t>
      </w:r>
      <w:r>
        <w:rPr>
          <w:rFonts w:hint="eastAsia"/>
        </w:rPr>
        <w:t>，可探索区域是否值得合作、如何合作提供具体的空间参考。中国东北—俄罗斯远东跨境区域横跨多个自然地理单元和行政单元，既包含口岸城市、交通走廊和农业平原，也包含山地森林、湿地和低密度腹地。如果仅采用国别或省州均值或统计值，大量差异都会被明显平滑。而极强的空间格局稳定性说明本文构建的网格尺度体系适合评价</w:t>
      </w:r>
      <w:r>
        <w:rPr>
          <w:rFonts w:hint="eastAsia"/>
        </w:rPr>
        <w:t xml:space="preserve"> SDGs </w:t>
      </w:r>
      <w:r>
        <w:rPr>
          <w:rFonts w:hint="eastAsia"/>
        </w:rPr>
        <w:t>空间支撑条件。政策方针有效期往往较长，变化敏感的框架难以为其制定提供参考。</w:t>
      </w:r>
    </w:p>
    <w:p w:rsidR="005211C0" w:rsidRDefault="00000000">
      <w:pPr>
        <w:ind w:firstLine="480"/>
        <w:jc w:val="both"/>
      </w:pPr>
      <w:r>
        <w:rPr>
          <w:rFonts w:hint="eastAsia"/>
        </w:rPr>
        <w:t>全局莫兰指数计算显示，四期综合指数都存在明显的空间正相关关系。同时该指数值从</w:t>
      </w:r>
      <w:r>
        <w:rPr>
          <w:rFonts w:hint="eastAsia"/>
        </w:rPr>
        <w:t>2010</w:t>
      </w:r>
      <w:r>
        <w:rPr>
          <w:rFonts w:hint="eastAsia"/>
        </w:rPr>
        <w:t>年的</w:t>
      </w:r>
      <w:r>
        <w:rPr>
          <w:rFonts w:hint="eastAsia"/>
        </w:rPr>
        <w:t>0.8960</w:t>
      </w:r>
      <w:r>
        <w:rPr>
          <w:rFonts w:hint="eastAsia"/>
        </w:rPr>
        <w:t>上升至</w:t>
      </w:r>
      <w:r>
        <w:rPr>
          <w:rFonts w:hint="eastAsia"/>
        </w:rPr>
        <w:t>2024</w:t>
      </w:r>
      <w:r>
        <w:rPr>
          <w:rFonts w:hint="eastAsia"/>
        </w:rPr>
        <w:t>年的</w:t>
      </w:r>
      <w:r>
        <w:rPr>
          <w:rFonts w:hint="eastAsia"/>
        </w:rPr>
        <w:t>0.9179</w:t>
      </w:r>
      <w:r>
        <w:rPr>
          <w:rFonts w:hint="eastAsia"/>
        </w:rPr>
        <w:t>，这说明研究区综合指数的高值与低值在空间上的集聚特点变强了</w:t>
      </w:r>
      <w:r>
        <w:rPr>
          <w:rFonts w:hint="eastAsia"/>
        </w:rPr>
        <w:t>[28,46]</w:t>
      </w:r>
      <w:r>
        <w:rPr>
          <w:rFonts w:hint="eastAsia"/>
        </w:rPr>
        <w:t>。本文进一步通过</w:t>
      </w:r>
      <w:r>
        <w:rPr>
          <w:rFonts w:hint="eastAsia"/>
        </w:rPr>
        <w:t>LISA</w:t>
      </w:r>
      <w:r>
        <w:rPr>
          <w:rFonts w:hint="eastAsia"/>
        </w:rPr>
        <w:t>分析，识别出高—高集聚、低—低集聚以及空间离群区这三种类型。综合指数原来的一般性空间分布描述，被转变成了一种具有统计意义的、比较准确的集聚类型识别，从而也提升了空间分析的针对性</w:t>
      </w:r>
      <w:r>
        <w:rPr>
          <w:rFonts w:hint="eastAsia"/>
        </w:rPr>
        <w:t>[47]</w:t>
      </w:r>
      <w:r>
        <w:rPr>
          <w:rFonts w:hint="eastAsia"/>
        </w:rPr>
        <w:t>。对于跨境区域的实际治理工作来说，</w:t>
      </w:r>
      <w:r>
        <w:rPr>
          <w:rFonts w:hint="eastAsia"/>
        </w:rPr>
        <w:t>LISA</w:t>
      </w:r>
      <w:r>
        <w:rPr>
          <w:rFonts w:hint="eastAsia"/>
        </w:rPr>
        <w:t>划分出来的类型区比单纯使用行政区域的平均值要更有参考价值</w:t>
      </w:r>
      <w:r>
        <w:rPr>
          <w:rFonts w:hint="eastAsia"/>
        </w:rPr>
        <w:t>[10,20]</w:t>
      </w:r>
      <w:r>
        <w:rPr>
          <w:rFonts w:hint="eastAsia"/>
        </w:rPr>
        <w:t>。在这些类型区里面，高—高集聚区可以看作是当前可持续发展目标（</w:t>
      </w:r>
      <w:r>
        <w:rPr>
          <w:rFonts w:hint="eastAsia"/>
        </w:rPr>
        <w:t>SDGs</w:t>
      </w:r>
      <w:r>
        <w:rPr>
          <w:rFonts w:hint="eastAsia"/>
        </w:rPr>
        <w:t>）空间支撑条件相对较强的地方，也是具备节点或者走廊支撑基础的核心区域。低—低集聚区则反映出存在连续的低值空间，需要重点关注这些区域的基础条件、生态状态以及环境本底所带来的约束性问题。至于高—低和低—高这两种离群区，虽然数量不多，但是它们在识别局部空间突变、点强面弱现象以及高值背景下的短板区域时，具有很重要的意义。</w:t>
      </w:r>
    </w:p>
    <w:p w:rsidR="005211C0" w:rsidRDefault="00000000">
      <w:pPr>
        <w:pStyle w:val="2"/>
        <w:ind w:firstLineChars="0" w:firstLine="0"/>
        <w:jc w:val="both"/>
        <w:rPr>
          <w:rFonts w:ascii="Times New Roman" w:hAnsi="Times New Roman"/>
        </w:rPr>
      </w:pPr>
      <w:bookmarkStart w:id="22" w:name="_Toc230099586"/>
      <w:r>
        <w:rPr>
          <w:rFonts w:ascii="Times New Roman" w:hAnsi="Times New Roman"/>
        </w:rPr>
        <w:t xml:space="preserve">5.2 </w:t>
      </w:r>
      <w:r>
        <w:rPr>
          <w:rFonts w:ascii="Times New Roman" w:hAnsi="Times New Roman"/>
        </w:rPr>
        <w:t>高低值集聚区的短板结构与空间含义</w:t>
      </w:r>
      <w:bookmarkEnd w:id="22"/>
    </w:p>
    <w:p w:rsidR="005211C0" w:rsidRDefault="00000000">
      <w:pPr>
        <w:ind w:firstLine="480"/>
        <w:jc w:val="both"/>
      </w:pPr>
      <w:r>
        <w:t>能够形成高值集聚的区域，往往同时具备较好的生态状态和较强的空间联系条件</w:t>
      </w:r>
      <w:r>
        <w:t>[</w:t>
      </w:r>
      <w:r>
        <w:rPr>
          <w:rFonts w:hint="eastAsia"/>
        </w:rPr>
        <w:t>35</w:t>
      </w:r>
      <w:r>
        <w:t>,4</w:t>
      </w:r>
      <w:r>
        <w:rPr>
          <w:rFonts w:hint="eastAsia"/>
        </w:rPr>
        <w:t>1</w:t>
      </w:r>
      <w:r>
        <w:t>]</w:t>
      </w:r>
      <w:r>
        <w:rPr>
          <w:rFonts w:hint="eastAsia"/>
        </w:rPr>
        <w:t>。</w:t>
      </w:r>
      <w:r>
        <w:t>低值集聚区则可能同时面临生态状态不足、通达性较弱和人类活动基础薄弱等多重约束。</w:t>
      </w:r>
    </w:p>
    <w:p w:rsidR="005211C0" w:rsidRDefault="00000000">
      <w:pPr>
        <w:ind w:firstLine="480"/>
        <w:jc w:val="both"/>
      </w:pPr>
      <w:r>
        <w:rPr>
          <w:rFonts w:hint="eastAsia"/>
        </w:rPr>
        <w:t>综合指数</w:t>
      </w:r>
      <w:r>
        <w:rPr>
          <w:rFonts w:hint="eastAsia"/>
        </w:rPr>
        <w:t xml:space="preserve"> </w:t>
      </w:r>
      <w:r>
        <w:t xml:space="preserve">HH </w:t>
      </w:r>
      <w:r>
        <w:t>集聚区主要分布在锡霍特山脉、长白山及其周边森林区，也包括滨海边疆区南部、吉林省东部、黑龙江省东部和犹太自治州部分地区。这类区域具有较高的综合支撑条件，但并不意味着其各维度均衡发展。维度统计显示，</w:t>
      </w:r>
      <w:r>
        <w:t xml:space="preserve">HH </w:t>
      </w:r>
      <w:r>
        <w:t>集聚区的</w:t>
      </w:r>
      <w:r>
        <w:t xml:space="preserve"> D1 </w:t>
      </w:r>
      <w:r>
        <w:t>人类活动仍是主要短板，说明即使在高值区域，人口密度、经济活动和农业生产基础也并</w:t>
      </w:r>
      <w:r>
        <w:lastRenderedPageBreak/>
        <w:t>不充分。</w:t>
      </w:r>
      <w:r>
        <w:t xml:space="preserve">LL </w:t>
      </w:r>
      <w:r>
        <w:t>集聚区主要分布于俄罗斯远东内陆、外贝加尔山地、阿穆尔州内陆、哈巴罗夫斯克边疆区腹地和中国内蒙古东部局部区域。这类地区多远离主要城市、口岸和交通走廊，人口密度低，空间联系弱，部分区域还受到高纬寒冷、山地地形和水分胁迫等自然本底影响。</w:t>
      </w:r>
      <w:r>
        <w:t xml:space="preserve">LL </w:t>
      </w:r>
      <w:r>
        <w:t>集聚区并非全部具有较高生态状态，其</w:t>
      </w:r>
      <w:r>
        <w:t xml:space="preserve"> D3 </w:t>
      </w:r>
      <w:r>
        <w:t>生态状态也明显低于</w:t>
      </w:r>
      <w:r>
        <w:t xml:space="preserve"> HH </w:t>
      </w:r>
      <w:r>
        <w:t>集聚区。</w:t>
      </w:r>
      <w:r>
        <w:t xml:space="preserve">HL </w:t>
      </w:r>
      <w:r>
        <w:t>和</w:t>
      </w:r>
      <w:r>
        <w:t xml:space="preserve"> LH </w:t>
      </w:r>
      <w:r>
        <w:t>离群区数量较少，但其空间含义值得关注。</w:t>
      </w:r>
      <w:r>
        <w:t xml:space="preserve">HL </w:t>
      </w:r>
      <w:r>
        <w:t>类型可视为低值背景中的局部高值节点，可能对应局部生态状态较好、交通联系较强或节点支撑较突出的网格；</w:t>
      </w:r>
      <w:r>
        <w:t xml:space="preserve">LH </w:t>
      </w:r>
      <w:r>
        <w:t>类型则可视为高值背景中的短板斑块，提示在整体支撑条件较好的区域内部仍存在局部弱项。对于跨境治理而言，这类离群区有助于识别</w:t>
      </w:r>
      <w:r>
        <w:t>“</w:t>
      </w:r>
      <w:r>
        <w:t>点强面弱</w:t>
      </w:r>
      <w:r>
        <w:t>”</w:t>
      </w:r>
      <w:r>
        <w:t>或</w:t>
      </w:r>
      <w:r>
        <w:t>“</w:t>
      </w:r>
      <w:r>
        <w:t>片区内部不均衡</w:t>
      </w:r>
      <w:r>
        <w:t>”</w:t>
      </w:r>
      <w:r>
        <w:t>的空间问题。</w:t>
      </w:r>
    </w:p>
    <w:p w:rsidR="005211C0" w:rsidRDefault="00000000">
      <w:pPr>
        <w:ind w:firstLine="480"/>
        <w:jc w:val="both"/>
      </w:pPr>
      <w:r>
        <w:t>因此，高低值集聚区的治理重点应有所区别。</w:t>
      </w:r>
      <w:r>
        <w:t xml:space="preserve">HH </w:t>
      </w:r>
      <w:r>
        <w:t>集聚区应重点维护既有生态优势和通达条件，避免高值区域因过度开发导致生态支撑能力下降；</w:t>
      </w:r>
      <w:r>
        <w:t xml:space="preserve">LL </w:t>
      </w:r>
      <w:r>
        <w:t>集聚区则应优先识别生态修复、基础服务保障、必要交通改善和气候风险防控等底线任务</w:t>
      </w:r>
      <w:r>
        <w:t>[40,44]</w:t>
      </w:r>
      <w:r>
        <w:t>。对于跨境区域而言，真正重要的不是追求所有地区同质化提升，而是根据不同集聚类型识别差异化治理路径。</w:t>
      </w:r>
    </w:p>
    <w:p w:rsidR="005211C0" w:rsidRDefault="00000000">
      <w:pPr>
        <w:pStyle w:val="2"/>
        <w:ind w:firstLineChars="0" w:firstLine="0"/>
        <w:jc w:val="both"/>
        <w:rPr>
          <w:rFonts w:ascii="Times New Roman" w:hAnsi="Times New Roman"/>
        </w:rPr>
      </w:pPr>
      <w:bookmarkStart w:id="23" w:name="_Toc230099587"/>
      <w:r>
        <w:rPr>
          <w:rFonts w:ascii="Times New Roman" w:hAnsi="Times New Roman"/>
        </w:rPr>
        <w:t xml:space="preserve">5.3 </w:t>
      </w:r>
      <w:r>
        <w:rPr>
          <w:rFonts w:ascii="Times New Roman" w:hAnsi="Times New Roman"/>
        </w:rPr>
        <w:t>中俄两侧的优势、短板与互补基础</w:t>
      </w:r>
      <w:bookmarkEnd w:id="23"/>
    </w:p>
    <w:p w:rsidR="005211C0" w:rsidRDefault="00000000">
      <w:pPr>
        <w:ind w:firstLine="480"/>
        <w:jc w:val="both"/>
      </w:pPr>
      <w:r>
        <w:t>中国侧的优势主要体现在人类活动、农业生产和边境节点基础方面。辽宁省、吉林省和黑龙江省</w:t>
      </w:r>
      <w:r>
        <w:t xml:space="preserve"> D1 </w:t>
      </w:r>
      <w:r>
        <w:t>人类活动得分相对较高，辽吉城市走廊、松嫩平原、三江平原等区域具有较强的人口、农业和城镇活动基础。中国东北地区交通基础设施较为完善，边境口岸、城市服务节点和农业生产空间相对集中，这为区域</w:t>
      </w:r>
      <w:r>
        <w:t xml:space="preserve"> SDGs </w:t>
      </w:r>
      <w:r>
        <w:t>空间支撑条件提供了较好的现实基础。</w:t>
      </w:r>
    </w:p>
    <w:p w:rsidR="005211C0" w:rsidRDefault="00000000">
      <w:pPr>
        <w:ind w:firstLine="480"/>
        <w:jc w:val="both"/>
      </w:pPr>
      <w:r>
        <w:t>但中国侧也存在</w:t>
      </w:r>
      <w:r>
        <w:rPr>
          <w:rFonts w:hint="eastAsia"/>
        </w:rPr>
        <w:t>劣势</w:t>
      </w:r>
      <w:r>
        <w:t>。东北地区长期受重工业路径依赖影响，产业结构调整压力较大，部分地区仍面临人口外流、老龄化、资源型城市转型和农业面源污染等问题。第四章显示，中国侧虽然综合指数较高，但</w:t>
      </w:r>
      <w:r>
        <w:t xml:space="preserve"> D1 </w:t>
      </w:r>
      <w:r>
        <w:t>人类活动并非在所有区域都强，部分边境地区和内蒙古东部仍表现为低密度、低支撑条件空间。中国侧优势主要集中在特定平原、城市走廊和口岸节点，并未在整个边境带均匀展开。</w:t>
      </w:r>
    </w:p>
    <w:p w:rsidR="005211C0" w:rsidRDefault="00000000">
      <w:pPr>
        <w:ind w:firstLine="480"/>
        <w:jc w:val="both"/>
      </w:pPr>
      <w:r>
        <w:t>俄罗斯侧的优势主要体现在生态状态、森林山地空间和资源禀赋方面</w:t>
      </w:r>
      <w:r>
        <w:t>[42,43]</w:t>
      </w:r>
      <w:r>
        <w:t>。滨海边疆区</w:t>
      </w:r>
      <w:r>
        <w:t xml:space="preserve"> D3 </w:t>
      </w:r>
      <w:r>
        <w:t>生态状态得分达到</w:t>
      </w:r>
      <w:r>
        <w:t xml:space="preserve"> 0.8156</w:t>
      </w:r>
      <w:r>
        <w:t>，明显高于其他省州；锡霍特山脉、滨海边疆区南部和远东部分森林山地区具有较强生态支撑条件。俄罗斯远东还拥有丰富的森林、矿产、油气、水资源和港口区位，这些资源为其参与跨境能源、森林、水资源和生态保护合作提供了基础。</w:t>
      </w:r>
    </w:p>
    <w:p w:rsidR="005211C0" w:rsidRDefault="00000000">
      <w:pPr>
        <w:ind w:firstLine="480"/>
        <w:jc w:val="both"/>
      </w:pPr>
      <w:r>
        <w:lastRenderedPageBreak/>
        <w:t>俄罗斯侧的短板则主要体现在人口密度低、基础设施不足、农业开发薄弱和空间联系成本高。第四章显示，俄罗斯侧多个省州</w:t>
      </w:r>
      <w:r>
        <w:t xml:space="preserve"> D1 </w:t>
      </w:r>
      <w:r>
        <w:t>人类活动得分低于</w:t>
      </w:r>
      <w:r>
        <w:t xml:space="preserve"> 0.05</w:t>
      </w:r>
      <w:r>
        <w:t>，外贝加尔边疆区、阿穆尔州和哈巴罗夫斯克边疆区内陆地区综合指数偏低。这与俄罗斯远东长期人口稀疏、城市节点分散、交通距离长和资源开发外向依赖等特征相吻合。其可持续发展约束不只是生态或资源问题，更是人口、交通、产业和治理能力共同作用的结果。</w:t>
      </w:r>
    </w:p>
    <w:p w:rsidR="005211C0" w:rsidRDefault="00000000">
      <w:pPr>
        <w:ind w:firstLine="480"/>
        <w:jc w:val="both"/>
      </w:pPr>
      <w:r>
        <w:t>中俄两侧并不是简单的高低对比，而是呈现互补关系</w:t>
      </w:r>
      <w:r>
        <w:t>[10,20,8]</w:t>
      </w:r>
      <w:r>
        <w:t>。中国侧可在资金、工程建设、农业技术、装备制造和市场组织方面发挥优势；俄罗斯侧则可在能源、森林、水资源、生态空间和港口通道方面提供合作基础。未来跨境合作应避免把两侧差异理解为单向输出或单向依赖，而应围绕产业链延伸、绿色技术应用、交通联通、生态共治和资源高效利用构建互补型合作机制。</w:t>
      </w:r>
    </w:p>
    <w:p w:rsidR="005211C0" w:rsidRDefault="00000000">
      <w:pPr>
        <w:pStyle w:val="2"/>
        <w:ind w:firstLineChars="0" w:firstLine="0"/>
        <w:jc w:val="both"/>
        <w:rPr>
          <w:rFonts w:ascii="Times New Roman" w:hAnsi="Times New Roman"/>
        </w:rPr>
      </w:pPr>
      <w:bookmarkStart w:id="24" w:name="_Toc230099588"/>
      <w:r>
        <w:rPr>
          <w:rFonts w:ascii="Times New Roman" w:hAnsi="Times New Roman"/>
        </w:rPr>
        <w:t xml:space="preserve">5.4 </w:t>
      </w:r>
      <w:r>
        <w:rPr>
          <w:rFonts w:ascii="Times New Roman" w:hAnsi="Times New Roman"/>
        </w:rPr>
        <w:t>外部性、制度边界与跨境共治需求</w:t>
      </w:r>
      <w:bookmarkEnd w:id="24"/>
    </w:p>
    <w:p w:rsidR="005211C0" w:rsidRDefault="00000000">
      <w:pPr>
        <w:ind w:firstLine="480"/>
        <w:jc w:val="both"/>
      </w:pPr>
      <w:r>
        <w:rPr>
          <w:rFonts w:hint="eastAsia"/>
        </w:rPr>
        <w:t>中国东北与俄罗斯远东的跨境区域，生态上是连续的，但治理上却是分割的。黑龙江（阿穆尔河）、乌苏里江、额尔古纳河等界河所在的流域，森林、湿地、山地和草地等生态系统在空间上连续。然而中俄两国在国境线两侧分属不同的行政体系、规划制度、统计口径、土地管理制度以及环境治理框架。这就形成了“自然上连续、制度上分割”的鲜明特征。而这个特征恰恰是跨境可持续发展目标（</w:t>
      </w:r>
      <w:r>
        <w:rPr>
          <w:rFonts w:hint="eastAsia"/>
        </w:rPr>
        <w:t>SDGs</w:t>
      </w:r>
      <w:r>
        <w:rPr>
          <w:rFonts w:hint="eastAsia"/>
        </w:rPr>
        <w:t>）治理所面临的核心难题</w:t>
      </w:r>
      <w:r>
        <w:rPr>
          <w:rFonts w:hint="eastAsia"/>
        </w:rPr>
        <w:t>[6,7,8]</w:t>
      </w:r>
      <w:r>
        <w:rPr>
          <w:rFonts w:hint="eastAsia"/>
        </w:rPr>
        <w:t>。</w:t>
      </w:r>
    </w:p>
    <w:p w:rsidR="005211C0" w:rsidRDefault="00000000">
      <w:pPr>
        <w:ind w:firstLine="480"/>
        <w:jc w:val="both"/>
      </w:pPr>
      <w:r>
        <w:rPr>
          <w:rFonts w:hint="eastAsia"/>
        </w:rPr>
        <w:t>从外部影响的角度来看，流域里的水环境问题、森林火灾、空气污染、生境破碎化、物种迁徙以及气候风险，这些都具有明显的跨界传导特性。例如，黑龙江—阿穆尔河流域的水质安全保障、洪涝灾害防控以及湿地保护工作，都离不开上下游和两岸区域的协同治理，森林火灾、采矿活动带来的扰动以及生境破碎化现象，有可能对跨境生态廊道的连通性和生物多样性保护产生负面作用。极端降水、干旱、冻土退化以及火险等级上升等问题，也可能通过生态系统之间的相互关联和灾害传导链条，波及到整个跨境区域，对于这些具有明显外部影响的问题，任何一个单独的行政单位都很难独立实现有效治理</w:t>
      </w:r>
      <w:r>
        <w:rPr>
          <w:rFonts w:hint="eastAsia"/>
        </w:rPr>
        <w:t>[35</w:t>
      </w:r>
      <w:r>
        <w:rPr>
          <w:rFonts w:hint="eastAsia"/>
        </w:rPr>
        <w:t>，</w:t>
      </w:r>
      <w:r>
        <w:rPr>
          <w:rFonts w:hint="eastAsia"/>
        </w:rPr>
        <w:t>41]</w:t>
      </w:r>
      <w:r>
        <w:rPr>
          <w:rFonts w:hint="eastAsia"/>
        </w:rPr>
        <w:t>。</w:t>
      </w:r>
    </w:p>
    <w:p w:rsidR="005211C0" w:rsidRDefault="00000000">
      <w:pPr>
        <w:ind w:firstLine="480"/>
        <w:jc w:val="both"/>
      </w:pPr>
      <w:r>
        <w:rPr>
          <w:rFonts w:hint="eastAsia"/>
        </w:rPr>
        <w:t>综合指数的高值区和低值区都是跨越国界分布的。这说明，可持续发展目标的空间支撑条件并不完全受行政边界的限制，而是跟自然地理单元、交通节点的分布以及生态环境的状态关系密切。像长白山、锡霍特山脉、黑龙江—阿穆尔河沿线、乌苏里江流域以及远东内陆腹地这些空间单元，它们本来就具有超越单一行政区的地理连续性特征，</w:t>
      </w:r>
      <w:r>
        <w:rPr>
          <w:rFonts w:hint="eastAsia"/>
        </w:rPr>
        <w:lastRenderedPageBreak/>
        <w:t>如果治理工作仍然主要停留在国家层面或者省州尺度上，那就容易忽视跨界生态过程以及节点与腹地之间的联系</w:t>
      </w:r>
      <w:r>
        <w:t>。</w:t>
      </w:r>
    </w:p>
    <w:p w:rsidR="005211C0" w:rsidRDefault="00000000">
      <w:pPr>
        <w:pStyle w:val="2"/>
        <w:ind w:firstLineChars="0" w:firstLine="0"/>
        <w:jc w:val="both"/>
      </w:pPr>
      <w:bookmarkStart w:id="25" w:name="_Toc230099589"/>
      <w:r>
        <w:rPr>
          <w:rFonts w:ascii="Times New Roman" w:hAnsi="Times New Roman"/>
        </w:rPr>
        <w:t xml:space="preserve">5.5 </w:t>
      </w:r>
      <w:r>
        <w:rPr>
          <w:rFonts w:ascii="Times New Roman" w:hAnsi="Times New Roman"/>
        </w:rPr>
        <w:t>共同挑战、差异化风险与协同治理路径</w:t>
      </w:r>
      <w:bookmarkEnd w:id="25"/>
    </w:p>
    <w:p w:rsidR="005211C0" w:rsidRDefault="00000000">
      <w:pPr>
        <w:ind w:firstLine="480"/>
        <w:jc w:val="both"/>
      </w:pPr>
      <w:r>
        <w:t>中国东北</w:t>
      </w:r>
      <w:r>
        <w:t>—</w:t>
      </w:r>
      <w:r>
        <w:t>俄罗斯远东跨境区域的</w:t>
      </w:r>
      <w:r>
        <w:t xml:space="preserve"> SDGs </w:t>
      </w:r>
      <w:r>
        <w:t>空间支撑条件表现为共同约束与差异化风险并存的复杂格局。中俄两侧共同优势维度均为</w:t>
      </w:r>
      <w:r>
        <w:t xml:space="preserve"> D2 </w:t>
      </w:r>
      <w:r>
        <w:t>通达性，共同短板维度均为</w:t>
      </w:r>
      <w:r>
        <w:t xml:space="preserve"> D1 </w:t>
      </w:r>
      <w:r>
        <w:t>人类活动。这说明研究区已经具备一定跨境联系和节点支撑基础，但人口密度、经济活动强度和农业生产等人类活动基础仍然不足。区域可持续发展的主要问题并不只是交通是否存在，而是已有通道和节点能否进一步转化为稳定的人口承载、产业支撑和公共服务能力。</w:t>
      </w:r>
    </w:p>
    <w:p w:rsidR="005211C0" w:rsidRDefault="00000000">
      <w:pPr>
        <w:ind w:firstLine="480"/>
        <w:jc w:val="both"/>
      </w:pPr>
      <w:r>
        <w:t>研究区首先面临低密度发展条件下的支撑能力不足。无论是中国东北边境地区，还是俄罗斯远东内陆地区，人口流失、劳动力不足、服务半径过大和市场规模有限，都会削弱区域自我更新能力。这一问题在</w:t>
      </w:r>
      <w:r>
        <w:t xml:space="preserve"> D1 </w:t>
      </w:r>
      <w:r>
        <w:t>人类活动维度中表现最为直接。生态和气候风险具有跨界属性</w:t>
      </w:r>
      <w:r>
        <w:t>[</w:t>
      </w:r>
      <w:r>
        <w:rPr>
          <w:rFonts w:hint="eastAsia"/>
        </w:rPr>
        <w:t>34</w:t>
      </w:r>
      <w:r>
        <w:t>,</w:t>
      </w:r>
      <w:r>
        <w:rPr>
          <w:rFonts w:hint="eastAsia"/>
        </w:rPr>
        <w:t>36</w:t>
      </w:r>
      <w:r>
        <w:t>]</w:t>
      </w:r>
      <w:r>
        <w:t>。黑龙江</w:t>
      </w:r>
      <w:r>
        <w:t>—</w:t>
      </w:r>
      <w:r>
        <w:t>阿穆尔河、乌苏里江等流域以及山地森林、湿地和草地生态系统具有连续性，水环境、森林火灾、生境破碎和极端气候事件并不会因行政边界而停止扩散。因此，生态风险不能被视为某一侧的局部问题，而是跨境区域共同面对的系统性挑战。</w:t>
      </w:r>
    </w:p>
    <w:p w:rsidR="005211C0" w:rsidRDefault="00000000">
      <w:pPr>
        <w:ind w:firstLine="480"/>
        <w:jc w:val="both"/>
      </w:pPr>
      <w:r>
        <w:t>中国侧的主要风险在于较高人类活动基础与生态约束之间的协调压力。辽吉城市走廊、松嫩平原、三江平原等区域具有较强农业生产和城镇活动基础，但也更容易面临黑土保护、农业面源污染、建设扩张和生态空间压缩等问题。俄罗斯侧的主要风险则在于广阔生态空间与低开发支撑能力之间的不匹配。滨海边疆区、锡霍特山脉等区域具有较高生态状态，远东内陆和外贝加尔等地区则具有明显低密度和弱通达特征。在这些地区，生态资源丰富并不必然转化为较高</w:t>
      </w:r>
      <w:r>
        <w:t xml:space="preserve"> SDGs </w:t>
      </w:r>
      <w:r>
        <w:t>空间支撑条件；相反，如果缺乏必要的基础设施、监测能力和治理投入，生态优势也可能受到火灾、采矿扰动、交通距离和气候变化的削弱。</w:t>
      </w:r>
    </w:p>
    <w:p w:rsidR="005211C0" w:rsidRDefault="00000000">
      <w:pPr>
        <w:ind w:firstLine="480"/>
        <w:jc w:val="both"/>
      </w:pPr>
      <w:r>
        <w:t>因此，跨境治理的重点不应是把两侧纳入同一种发展模式</w:t>
      </w:r>
      <w:r>
        <w:t>[6,7,8]</w:t>
      </w:r>
      <w:r>
        <w:t>，而应围绕共同挑战和差异化风险建立分类型、分层级的协同机制。对于节点和走廊地区，应重点提升通道效率、口岸服务能力和产业承载能力，使通达性优势转化为更稳定的发展支撑。对于农业平原和城镇活动较强地区，应把粮食生产、黑土保护、污染控制和生态空间维护结合起来，防止人类活动强度提升带来新的环境压力。对于森林山地、湿地和界河流域，应加强跨境生态监测、风险预警和保护地联通，降低外部性风险。对于低密度腹地，则</w:t>
      </w:r>
      <w:r>
        <w:lastRenderedPageBreak/>
        <w:t>应以基本公共服务、必要交通可达性、生态修复和灾害预警为重点，而不是简单追求高强度开发。</w:t>
      </w:r>
    </w:p>
    <w:p w:rsidR="005211C0" w:rsidRDefault="00000000">
      <w:pPr>
        <w:ind w:firstLine="480"/>
        <w:jc w:val="both"/>
      </w:pPr>
      <w:r>
        <w:t>总体而言，中国东北</w:t>
      </w:r>
      <w:r>
        <w:t>—</w:t>
      </w:r>
      <w:r>
        <w:t>俄罗斯远东跨境区域的可持续发展需要从</w:t>
      </w:r>
      <w:r>
        <w:t>“</w:t>
      </w:r>
      <w:r>
        <w:t>比较优劣</w:t>
      </w:r>
      <w:r>
        <w:t>”</w:t>
      </w:r>
      <w:r>
        <w:t>转向</w:t>
      </w:r>
      <w:r>
        <w:t>“</w:t>
      </w:r>
      <w:r>
        <w:t>共同治理</w:t>
      </w:r>
      <w:r>
        <w:t>”</w:t>
      </w:r>
      <w:r>
        <w:t>。未来跨境治理的重点</w:t>
      </w:r>
      <w:r>
        <w:rPr>
          <w:rFonts w:hint="eastAsia"/>
        </w:rPr>
        <w:t>可考虑</w:t>
      </w:r>
      <w:r>
        <w:t>从单一项目合作转向制度化协同。跨境区域</w:t>
      </w:r>
      <w:r>
        <w:t xml:space="preserve"> SDGs </w:t>
      </w:r>
      <w:r>
        <w:t>治理的关键不在于消除制度边界，而在于建立能够跨越制度边界的合作机制。只有在数据共享、风险预警、规划衔接、标准互认和项目协同等方面形成稳定安排，跨境地区的生态连续性和资源互补性才可能转化为可持续发展优势。</w:t>
      </w:r>
    </w:p>
    <w:p w:rsidR="005211C0" w:rsidRDefault="00000000">
      <w:pPr>
        <w:pStyle w:val="1"/>
        <w:ind w:firstLineChars="0" w:firstLine="0"/>
        <w:jc w:val="both"/>
        <w:rPr>
          <w:rFonts w:ascii="Times New Roman" w:hAnsi="Times New Roman"/>
        </w:rPr>
      </w:pPr>
      <w:bookmarkStart w:id="26" w:name="_Toc230099590"/>
      <w:r>
        <w:rPr>
          <w:rFonts w:ascii="Times New Roman" w:hAnsi="Times New Roman"/>
        </w:rPr>
        <w:t>6</w:t>
      </w:r>
      <w:r>
        <w:rPr>
          <w:rFonts w:ascii="Times New Roman" w:hAnsi="Times New Roman" w:hint="eastAsia"/>
        </w:rPr>
        <w:t>结论与展望</w:t>
      </w:r>
      <w:bookmarkEnd w:id="26"/>
    </w:p>
    <w:p w:rsidR="005211C0" w:rsidRDefault="00000000">
      <w:pPr>
        <w:pStyle w:val="2"/>
        <w:ind w:firstLineChars="0" w:firstLine="0"/>
        <w:jc w:val="both"/>
        <w:rPr>
          <w:rFonts w:ascii="Times New Roman" w:hAnsi="Times New Roman"/>
        </w:rPr>
      </w:pPr>
      <w:bookmarkStart w:id="27" w:name="_Toc230099591"/>
      <w:r>
        <w:rPr>
          <w:rFonts w:ascii="Times New Roman" w:hAnsi="Times New Roman" w:hint="eastAsia"/>
        </w:rPr>
        <w:t xml:space="preserve">6.1 </w:t>
      </w:r>
      <w:r>
        <w:rPr>
          <w:rFonts w:ascii="Times New Roman" w:hAnsi="Times New Roman" w:hint="eastAsia"/>
        </w:rPr>
        <w:t>核心研究结论</w:t>
      </w:r>
      <w:bookmarkEnd w:id="27"/>
    </w:p>
    <w:p w:rsidR="005211C0" w:rsidRDefault="00000000">
      <w:pPr>
        <w:ind w:firstLine="480"/>
        <w:jc w:val="both"/>
      </w:pPr>
      <w:r>
        <w:rPr>
          <w:rFonts w:hint="eastAsia"/>
        </w:rPr>
        <w:t>本文以中国东北—俄罗斯远东跨境区域为研究对象，在</w:t>
      </w:r>
      <w:r>
        <w:rPr>
          <w:rFonts w:hint="eastAsia"/>
        </w:rPr>
        <w:t xml:space="preserve"> 10 km </w:t>
      </w:r>
      <w:r>
        <w:rPr>
          <w:rFonts w:hint="eastAsia"/>
        </w:rPr>
        <w:t>网格尺度上构建“人类活动—通达性—生态状态—环境本底”四维指标体系，结合熵权</w:t>
      </w:r>
      <w:r>
        <w:rPr>
          <w:rFonts w:hint="eastAsia"/>
        </w:rPr>
        <w:t xml:space="preserve"> TOPSIS </w:t>
      </w:r>
      <w:r>
        <w:rPr>
          <w:rFonts w:hint="eastAsia"/>
        </w:rPr>
        <w:t>和</w:t>
      </w:r>
      <w:r>
        <w:rPr>
          <w:rFonts w:hint="eastAsia"/>
        </w:rPr>
        <w:t xml:space="preserve"> ESDA </w:t>
      </w:r>
      <w:r>
        <w:rPr>
          <w:rFonts w:hint="eastAsia"/>
        </w:rPr>
        <w:t>方法，对</w:t>
      </w:r>
      <w:r>
        <w:rPr>
          <w:rFonts w:hint="eastAsia"/>
        </w:rPr>
        <w:t xml:space="preserve"> 2010</w:t>
      </w:r>
      <w:r>
        <w:rPr>
          <w:rFonts w:hint="eastAsia"/>
        </w:rPr>
        <w:t>、</w:t>
      </w:r>
      <w:r>
        <w:rPr>
          <w:rFonts w:hint="eastAsia"/>
        </w:rPr>
        <w:t>2015</w:t>
      </w:r>
      <w:r>
        <w:rPr>
          <w:rFonts w:hint="eastAsia"/>
        </w:rPr>
        <w:t>、</w:t>
      </w:r>
      <w:r>
        <w:rPr>
          <w:rFonts w:hint="eastAsia"/>
        </w:rPr>
        <w:t xml:space="preserve">2020 </w:t>
      </w:r>
      <w:r>
        <w:rPr>
          <w:rFonts w:hint="eastAsia"/>
        </w:rPr>
        <w:t>和</w:t>
      </w:r>
      <w:r>
        <w:rPr>
          <w:rFonts w:hint="eastAsia"/>
        </w:rPr>
        <w:t xml:space="preserve"> 2024 </w:t>
      </w:r>
      <w:r>
        <w:rPr>
          <w:rFonts w:hint="eastAsia"/>
        </w:rPr>
        <w:t>年</w:t>
      </w:r>
      <w:r>
        <w:rPr>
          <w:rFonts w:hint="eastAsia"/>
        </w:rPr>
        <w:t xml:space="preserve"> SDGs </w:t>
      </w:r>
      <w:r>
        <w:rPr>
          <w:rFonts w:hint="eastAsia"/>
        </w:rPr>
        <w:t>空间支撑条件进行评价。主要结论如下。</w:t>
      </w:r>
    </w:p>
    <w:p w:rsidR="005211C0" w:rsidRDefault="00000000">
      <w:pPr>
        <w:ind w:firstLine="480"/>
        <w:jc w:val="both"/>
      </w:pPr>
      <w:r>
        <w:rPr>
          <w:rFonts w:hint="eastAsia"/>
        </w:rPr>
        <w:t>第一，研究区</w:t>
      </w:r>
      <w:r>
        <w:rPr>
          <w:rFonts w:hint="eastAsia"/>
        </w:rPr>
        <w:t xml:space="preserve"> SDGs </w:t>
      </w:r>
      <w:r>
        <w:rPr>
          <w:rFonts w:hint="eastAsia"/>
        </w:rPr>
        <w:t>空间支撑条件整体稳定并略有提升，空间格局具有较强延续性。</w:t>
      </w:r>
      <w:r>
        <w:rPr>
          <w:rFonts w:hint="eastAsia"/>
        </w:rPr>
        <w:t>2010</w:t>
      </w:r>
      <w:r>
        <w:rPr>
          <w:rFonts w:hint="eastAsia"/>
        </w:rPr>
        <w:t>—</w:t>
      </w:r>
      <w:r>
        <w:rPr>
          <w:rFonts w:hint="eastAsia"/>
        </w:rPr>
        <w:t xml:space="preserve">2024 </w:t>
      </w:r>
      <w:r>
        <w:rPr>
          <w:rFonts w:hint="eastAsia"/>
        </w:rPr>
        <w:t>年综合指数均值由</w:t>
      </w:r>
      <w:r>
        <w:rPr>
          <w:rFonts w:hint="eastAsia"/>
        </w:rPr>
        <w:t xml:space="preserve"> 0.4186 </w:t>
      </w:r>
      <w:r>
        <w:rPr>
          <w:rFonts w:hint="eastAsia"/>
        </w:rPr>
        <w:t>上升至</w:t>
      </w:r>
      <w:r>
        <w:rPr>
          <w:rFonts w:hint="eastAsia"/>
        </w:rPr>
        <w:t xml:space="preserve"> 0.4249</w:t>
      </w:r>
      <w:r>
        <w:rPr>
          <w:rFonts w:hint="eastAsia"/>
        </w:rPr>
        <w:t>，全期变化率为</w:t>
      </w:r>
      <w:r>
        <w:rPr>
          <w:rFonts w:hint="eastAsia"/>
        </w:rPr>
        <w:t xml:space="preserve"> 1.49%</w:t>
      </w:r>
      <w:r>
        <w:rPr>
          <w:rFonts w:hint="eastAsia"/>
        </w:rPr>
        <w:t>，说明研究区整体支撑条件变化幅度有限。与此同时，研究区内部高低值差异长期存在，短期内并未发生根本性空间重组。</w:t>
      </w:r>
    </w:p>
    <w:p w:rsidR="005211C0" w:rsidRDefault="00000000">
      <w:pPr>
        <w:ind w:firstLine="480"/>
        <w:jc w:val="both"/>
      </w:pPr>
      <w:r>
        <w:rPr>
          <w:rFonts w:hint="eastAsia"/>
        </w:rPr>
        <w:t>第二，综合指数空间集聚程度呈逐步增强态势。</w:t>
      </w:r>
      <w:r>
        <w:rPr>
          <w:rFonts w:hint="eastAsia"/>
        </w:rPr>
        <w:t>2024</w:t>
      </w:r>
      <w:r>
        <w:rPr>
          <w:rFonts w:hint="eastAsia"/>
        </w:rPr>
        <w:t>年高—高集聚区主要集中在俄罗斯锡霍特山脉及中国长白山山脉区域，低—低集聚区则更多分布于俄罗斯远东内陆地区及中国内蒙古东部局部区域。</w:t>
      </w:r>
    </w:p>
    <w:p w:rsidR="005211C0" w:rsidRDefault="00000000">
      <w:pPr>
        <w:ind w:firstLine="480"/>
        <w:jc w:val="both"/>
      </w:pPr>
      <w:r>
        <w:rPr>
          <w:rFonts w:hint="eastAsia"/>
        </w:rPr>
        <w:t>第三，中俄边境两侧既存在相似的发展约束，也具备互补的发展基础。两侧的共同优势维度均为</w:t>
      </w:r>
      <w:r>
        <w:rPr>
          <w:rFonts w:hint="eastAsia"/>
        </w:rPr>
        <w:t>D2</w:t>
      </w:r>
      <w:r>
        <w:rPr>
          <w:rFonts w:hint="eastAsia"/>
        </w:rPr>
        <w:t>通达性，共同短板维度均为</w:t>
      </w:r>
      <w:r>
        <w:rPr>
          <w:rFonts w:hint="eastAsia"/>
        </w:rPr>
        <w:t>D1</w:t>
      </w:r>
      <w:r>
        <w:rPr>
          <w:rFonts w:hint="eastAsia"/>
        </w:rPr>
        <w:t>人类活动。中国侧在</w:t>
      </w:r>
      <w:r>
        <w:rPr>
          <w:rFonts w:hint="eastAsia"/>
        </w:rPr>
        <w:t>D1</w:t>
      </w:r>
      <w:r>
        <w:rPr>
          <w:rFonts w:hint="eastAsia"/>
        </w:rPr>
        <w:t>人类活动和</w:t>
      </w:r>
      <w:r>
        <w:rPr>
          <w:rFonts w:hint="eastAsia"/>
        </w:rPr>
        <w:t>D4</w:t>
      </w:r>
      <w:r>
        <w:rPr>
          <w:rFonts w:hint="eastAsia"/>
        </w:rPr>
        <w:t>环境本底两个维度的得分相对较高。而俄罗斯侧则在</w:t>
      </w:r>
      <w:r>
        <w:rPr>
          <w:rFonts w:hint="eastAsia"/>
        </w:rPr>
        <w:t>D3</w:t>
      </w:r>
      <w:r>
        <w:rPr>
          <w:rFonts w:hint="eastAsia"/>
        </w:rPr>
        <w:t>生态状态维度具有明显优势。综合指数高低值集聚的差异，不仅源于人口分布、经济活动强度的不同，还与区域生态状态、区位通达条件存在密切关联。</w:t>
      </w:r>
    </w:p>
    <w:p w:rsidR="005211C0" w:rsidRDefault="00000000">
      <w:pPr>
        <w:ind w:firstLine="480"/>
        <w:jc w:val="both"/>
      </w:pPr>
      <w:r>
        <w:rPr>
          <w:rFonts w:hint="eastAsia"/>
        </w:rPr>
        <w:t>第四，跨境区域治理应从共同挑战和差异化风险出发，推动分类型、分层级的协同治理。对于节点和走廊地区，应提升通道效率和公共服务支撑能力；对于森林、湿地、山地和界河流域，应加强生态监测、风险预警和保护地联通；对于低密度腹地，应以基本服务保障、必要交通可达性、生态修复和灾害预警为重点。中国东北—俄罗斯远东跨</w:t>
      </w:r>
      <w:r>
        <w:rPr>
          <w:rFonts w:hint="eastAsia"/>
        </w:rPr>
        <w:lastRenderedPageBreak/>
        <w:t>境区域的</w:t>
      </w:r>
      <w:r>
        <w:rPr>
          <w:rFonts w:hint="eastAsia"/>
        </w:rPr>
        <w:t xml:space="preserve"> SDGs </w:t>
      </w:r>
      <w:r>
        <w:rPr>
          <w:rFonts w:hint="eastAsia"/>
        </w:rPr>
        <w:t>提升需要从“比较优劣”转向“共同治理”，通过数据共享、规划衔接、风险联防和功能互补提升区域可持续发展支撑能力。</w:t>
      </w:r>
    </w:p>
    <w:p w:rsidR="005211C0" w:rsidRDefault="00000000">
      <w:pPr>
        <w:pStyle w:val="2"/>
        <w:ind w:firstLineChars="0" w:firstLine="0"/>
        <w:jc w:val="both"/>
        <w:rPr>
          <w:rFonts w:ascii="Times New Roman" w:hAnsi="Times New Roman"/>
        </w:rPr>
      </w:pPr>
      <w:bookmarkStart w:id="28" w:name="_Toc230099592"/>
      <w:r>
        <w:rPr>
          <w:rFonts w:ascii="Times New Roman" w:hAnsi="Times New Roman"/>
        </w:rPr>
        <w:t>6.</w:t>
      </w:r>
      <w:r>
        <w:rPr>
          <w:rFonts w:ascii="Times New Roman" w:hAnsi="Times New Roman" w:hint="eastAsia"/>
        </w:rPr>
        <w:t>2</w:t>
      </w:r>
      <w:r>
        <w:rPr>
          <w:rFonts w:ascii="Times New Roman" w:hAnsi="Times New Roman"/>
        </w:rPr>
        <w:t>研究局限与未来展望</w:t>
      </w:r>
      <w:bookmarkEnd w:id="28"/>
    </w:p>
    <w:p w:rsidR="005211C0" w:rsidRDefault="00000000">
      <w:pPr>
        <w:ind w:firstLine="480"/>
        <w:jc w:val="both"/>
      </w:pPr>
      <w:r>
        <w:rPr>
          <w:rFonts w:hint="eastAsia"/>
        </w:rPr>
        <w:t>受跨境统计数据可得性和可比性限制，本文主要采用人口、夜间灯光、土地覆盖、植被、地形、气候和通达性等地理空间代理指标，尚未充分纳入收入、教育、医疗、产业结构、财政投入和跨境流量等社会经济统计数据。因此，本文评价的是</w:t>
      </w:r>
      <w:r>
        <w:rPr>
          <w:rFonts w:hint="eastAsia"/>
        </w:rPr>
        <w:t xml:space="preserve"> SDGs </w:t>
      </w:r>
      <w:r>
        <w:rPr>
          <w:rFonts w:hint="eastAsia"/>
        </w:rPr>
        <w:t>空间支撑条件，而不是对</w:t>
      </w:r>
      <w:r>
        <w:rPr>
          <w:rFonts w:hint="eastAsia"/>
        </w:rPr>
        <w:t xml:space="preserve"> 17 </w:t>
      </w:r>
      <w:r>
        <w:rPr>
          <w:rFonts w:hint="eastAsia"/>
        </w:rPr>
        <w:t>个</w:t>
      </w:r>
      <w:r>
        <w:rPr>
          <w:rFonts w:hint="eastAsia"/>
        </w:rPr>
        <w:t xml:space="preserve"> SDGs </w:t>
      </w:r>
      <w:r>
        <w:rPr>
          <w:rFonts w:hint="eastAsia"/>
        </w:rPr>
        <w:t>官方目标达成程度的完整评估。</w:t>
      </w:r>
    </w:p>
    <w:p w:rsidR="005211C0" w:rsidRDefault="00000000">
      <w:pPr>
        <w:ind w:firstLine="480"/>
        <w:jc w:val="both"/>
      </w:pPr>
      <w:r>
        <w:rPr>
          <w:rFonts w:hint="eastAsia"/>
        </w:rPr>
        <w:t>指标选取上，由于通达性数据多为静态，在变化率计算与分析上的解释能力明显不足。由于本文未直接纳入口岸流量、贸易强度和政策执行强度等制度变量，制度边界效应也只仍属于定性讨论。</w:t>
      </w:r>
    </w:p>
    <w:p w:rsidR="005211C0" w:rsidRDefault="00000000">
      <w:pPr>
        <w:ind w:firstLine="480"/>
        <w:jc w:val="both"/>
      </w:pPr>
      <w:r>
        <w:rPr>
          <w:rFonts w:hint="eastAsia"/>
        </w:rPr>
        <w:t>此外，本文主要通过综合指数、</w:t>
      </w:r>
      <w:r>
        <w:rPr>
          <w:rFonts w:hint="eastAsia"/>
        </w:rPr>
        <w:t xml:space="preserve">ESDA </w:t>
      </w:r>
      <w:r>
        <w:rPr>
          <w:rFonts w:hint="eastAsia"/>
        </w:rPr>
        <w:t>和维度短板识别空间格局与结构差异，尚未建立严格的因果识别模型。</w:t>
      </w:r>
    </w:p>
    <w:p w:rsidR="005211C0" w:rsidRDefault="00000000">
      <w:pPr>
        <w:ind w:firstLine="480"/>
        <w:jc w:val="both"/>
      </w:pPr>
      <w:r>
        <w:rPr>
          <w:rFonts w:hint="eastAsia"/>
        </w:rPr>
        <w:t>后续研究可从三个方向继续推进：一是补充跨境可比的社会经济统计数据和口岸流量数据，增强对社会维度和跨境联系的刻画；二是结合更高分辨率遥感数据和交通网络数据，细化口岸、城镇和生态敏感区的局地分析；三是引入空间计量、地理探测器或面板模型，进一步检验自然本底、点轴结构和制度边界对</w:t>
      </w:r>
      <w:r>
        <w:rPr>
          <w:rFonts w:hint="eastAsia"/>
        </w:rPr>
        <w:t xml:space="preserve"> SDGs </w:t>
      </w:r>
      <w:r>
        <w:rPr>
          <w:rFonts w:hint="eastAsia"/>
        </w:rPr>
        <w:t>空间支撑条件的相对作用。</w:t>
      </w:r>
    </w:p>
    <w:p w:rsidR="005211C0" w:rsidRDefault="00000000">
      <w:pPr>
        <w:ind w:firstLine="560"/>
        <w:jc w:val="both"/>
        <w:rPr>
          <w:rFonts w:eastAsia="黑体"/>
          <w:sz w:val="28"/>
          <w:szCs w:val="28"/>
        </w:rPr>
      </w:pPr>
      <w:r>
        <w:rPr>
          <w:rFonts w:eastAsia="黑体"/>
          <w:sz w:val="28"/>
          <w:szCs w:val="28"/>
        </w:rPr>
        <w:br w:type="page"/>
      </w:r>
    </w:p>
    <w:p w:rsidR="005211C0" w:rsidRDefault="00000000">
      <w:pPr>
        <w:pStyle w:val="1"/>
        <w:ind w:firstLineChars="0" w:firstLine="0"/>
        <w:jc w:val="both"/>
      </w:pPr>
      <w:bookmarkStart w:id="29" w:name="_Toc230099593"/>
      <w:r>
        <w:rPr>
          <w:rFonts w:hint="eastAsia"/>
        </w:rPr>
        <w:lastRenderedPageBreak/>
        <w:t>参考文献：</w:t>
      </w:r>
      <w:bookmarkEnd w:id="29"/>
    </w:p>
    <w:p w:rsidR="005211C0" w:rsidRDefault="00000000">
      <w:pPr>
        <w:pStyle w:val="af4"/>
        <w:ind w:firstLineChars="0" w:firstLine="0"/>
        <w:jc w:val="both"/>
      </w:pPr>
      <w:r>
        <w:t>[1] Chen J, Peng S, Chen H, et al. A comprehensive measurement of progress toward local SDGs with geospatial information: methodology and lessons learned[J]. ISPRS International Journal of Geo-Information, 2020, 9(9): 522.</w:t>
      </w:r>
    </w:p>
    <w:p w:rsidR="005211C0" w:rsidRDefault="00000000">
      <w:pPr>
        <w:pStyle w:val="af4"/>
        <w:ind w:firstLineChars="0" w:firstLine="0"/>
        <w:jc w:val="both"/>
      </w:pPr>
      <w:r>
        <w:t>[2] Wang L, Li N, Xie Q. Dynamic evolution and obstacle factor analysis of green development in China's agriculture and rural areas based on entropy-based TOPSIS model[J]. Heliyon, 2024, 10(5): e27248.</w:t>
      </w:r>
    </w:p>
    <w:p w:rsidR="005211C0" w:rsidRDefault="00000000">
      <w:pPr>
        <w:pStyle w:val="af4"/>
        <w:ind w:firstLineChars="0" w:firstLine="0"/>
        <w:jc w:val="both"/>
      </w:pPr>
      <w:r>
        <w:t>[3] Jiang S H. Evaluation of new quality productive forces in Henan province based on improved entropy weight-TOPSIS method and deep learning[J]. Scientific Reports, 2025, 15: 35434.</w:t>
      </w:r>
    </w:p>
    <w:p w:rsidR="005211C0" w:rsidRDefault="00000000">
      <w:pPr>
        <w:pStyle w:val="af4"/>
        <w:ind w:firstLineChars="0" w:firstLine="0"/>
        <w:jc w:val="both"/>
      </w:pPr>
      <w:r>
        <w:t>[4] Shi X T, Zhang H M, Zhang J Y, et al. Evaluating China's carbon neutrality capacity: a comprehensive spatiotemporal analysis within the SDGs framework[J]. Scientific Reports, 2025, 15: 45060.</w:t>
      </w:r>
    </w:p>
    <w:p w:rsidR="005211C0" w:rsidRDefault="00000000">
      <w:pPr>
        <w:pStyle w:val="af4"/>
        <w:ind w:firstLineChars="0" w:firstLine="0"/>
        <w:jc w:val="both"/>
      </w:pPr>
      <w:r>
        <w:t>[5] Wang N N, Zhao Q C, Yuan L H, et al. Comprehensive evaluation of water resource carrying capacity in Hebei Province based on a combined weighting-TOPSIS model[J]. Data, 2025, 10(9): 143.</w:t>
      </w:r>
    </w:p>
    <w:p w:rsidR="005211C0" w:rsidRDefault="00000000">
      <w:pPr>
        <w:pStyle w:val="af4"/>
        <w:ind w:firstLineChars="0" w:firstLine="0"/>
        <w:jc w:val="both"/>
      </w:pPr>
      <w:r>
        <w:rPr>
          <w:rFonts w:hint="eastAsia"/>
        </w:rPr>
        <w:t xml:space="preserve">[6] </w:t>
      </w:r>
      <w:r>
        <w:rPr>
          <w:rFonts w:hint="eastAsia"/>
        </w:rPr>
        <w:t>中华人民共和国外交部</w:t>
      </w:r>
      <w:r>
        <w:rPr>
          <w:rFonts w:hint="eastAsia"/>
        </w:rPr>
        <w:t xml:space="preserve">. </w:t>
      </w:r>
      <w:r>
        <w:rPr>
          <w:rFonts w:hint="eastAsia"/>
        </w:rPr>
        <w:t>中国东北地区同俄罗斯远东及东西伯利亚地区合作规划纲要（</w:t>
      </w:r>
      <w:r>
        <w:rPr>
          <w:rFonts w:hint="eastAsia"/>
        </w:rPr>
        <w:t>2009-2018</w:t>
      </w:r>
      <w:r>
        <w:rPr>
          <w:rFonts w:hint="eastAsia"/>
        </w:rPr>
        <w:t>年）</w:t>
      </w:r>
      <w:r>
        <w:rPr>
          <w:rFonts w:hint="eastAsia"/>
        </w:rPr>
        <w:t>[EB/OL]. (2009-09-23)[2026-05-07]. https://www.mfa.gov.cn/web/gjhdq_676201/gj_676203/oz_678770/1206_679110/1207_679122/201006/t20100618_9337134.shtml.</w:t>
      </w:r>
    </w:p>
    <w:p w:rsidR="005211C0" w:rsidRDefault="00000000">
      <w:pPr>
        <w:pStyle w:val="af4"/>
        <w:ind w:firstLineChars="0" w:firstLine="0"/>
        <w:jc w:val="both"/>
      </w:pPr>
      <w:r>
        <w:rPr>
          <w:rFonts w:hint="eastAsia"/>
        </w:rPr>
        <w:t xml:space="preserve">[7] </w:t>
      </w:r>
      <w:r>
        <w:rPr>
          <w:rFonts w:hint="eastAsia"/>
        </w:rPr>
        <w:t>中华人民共和国外交部</w:t>
      </w:r>
      <w:r>
        <w:rPr>
          <w:rFonts w:hint="eastAsia"/>
        </w:rPr>
        <w:t xml:space="preserve">. </w:t>
      </w:r>
      <w:r>
        <w:rPr>
          <w:rFonts w:hint="eastAsia"/>
        </w:rPr>
        <w:t>中华人民共和国主席和俄罗斯联邦总统关于</w:t>
      </w:r>
      <w:r>
        <w:rPr>
          <w:rFonts w:hint="eastAsia"/>
        </w:rPr>
        <w:t>2030</w:t>
      </w:r>
      <w:r>
        <w:rPr>
          <w:rFonts w:hint="eastAsia"/>
        </w:rPr>
        <w:t>年前中俄经济合作重点方向发展规划的联合声明</w:t>
      </w:r>
      <w:r>
        <w:rPr>
          <w:rFonts w:hint="eastAsia"/>
        </w:rPr>
        <w:t>[EB/OL]. (2023-03-22)[2026-05-07]. https://www.mfa.gov.cn/zyxw/202303/t20230322_11046176.shtml.</w:t>
      </w:r>
    </w:p>
    <w:p w:rsidR="005211C0" w:rsidRDefault="00000000">
      <w:pPr>
        <w:pStyle w:val="af4"/>
        <w:ind w:firstLineChars="0" w:firstLine="0"/>
        <w:jc w:val="both"/>
      </w:pPr>
      <w:r>
        <w:rPr>
          <w:rFonts w:hint="eastAsia"/>
        </w:rPr>
        <w:t xml:space="preserve">[8] </w:t>
      </w:r>
      <w:r>
        <w:rPr>
          <w:rFonts w:hint="eastAsia"/>
        </w:rPr>
        <w:t>董锁成</w:t>
      </w:r>
      <w:r>
        <w:rPr>
          <w:rFonts w:hint="eastAsia"/>
        </w:rPr>
        <w:t xml:space="preserve">, </w:t>
      </w:r>
      <w:r>
        <w:rPr>
          <w:rFonts w:hint="eastAsia"/>
        </w:rPr>
        <w:t>李泽红</w:t>
      </w:r>
      <w:r>
        <w:rPr>
          <w:rFonts w:hint="eastAsia"/>
        </w:rPr>
        <w:t xml:space="preserve">, </w:t>
      </w:r>
      <w:r>
        <w:rPr>
          <w:rFonts w:hint="eastAsia"/>
        </w:rPr>
        <w:t>李斌</w:t>
      </w:r>
      <w:r>
        <w:rPr>
          <w:rFonts w:hint="eastAsia"/>
        </w:rPr>
        <w:t xml:space="preserve">, </w:t>
      </w:r>
      <w:r>
        <w:rPr>
          <w:rFonts w:hint="eastAsia"/>
        </w:rPr>
        <w:t>等</w:t>
      </w:r>
      <w:r>
        <w:rPr>
          <w:rFonts w:hint="eastAsia"/>
        </w:rPr>
        <w:t xml:space="preserve">. </w:t>
      </w:r>
      <w:r>
        <w:rPr>
          <w:rFonts w:hint="eastAsia"/>
        </w:rPr>
        <w:t>中蒙俄经济走廊建设与中俄跨境合作</w:t>
      </w:r>
      <w:r>
        <w:rPr>
          <w:rFonts w:hint="eastAsia"/>
        </w:rPr>
        <w:t xml:space="preserve">[J]. </w:t>
      </w:r>
      <w:r>
        <w:rPr>
          <w:rFonts w:hint="eastAsia"/>
        </w:rPr>
        <w:t>资源科学</w:t>
      </w:r>
      <w:r>
        <w:rPr>
          <w:rFonts w:hint="eastAsia"/>
        </w:rPr>
        <w:t>, 2021, 43(2): 241-254.</w:t>
      </w:r>
    </w:p>
    <w:p w:rsidR="005211C0" w:rsidRDefault="00000000">
      <w:pPr>
        <w:pStyle w:val="af4"/>
        <w:ind w:firstLineChars="0" w:firstLine="0"/>
        <w:jc w:val="both"/>
      </w:pPr>
      <w:r>
        <w:t>[9] World Bank. The Middle Corridor: The China-Kazakhstan-Turkmenistan-Iran-Turkey Transport Route[R]. Washington, DC: World Bank, 2023.</w:t>
      </w:r>
    </w:p>
    <w:p w:rsidR="005211C0" w:rsidRDefault="00000000">
      <w:pPr>
        <w:pStyle w:val="af4"/>
        <w:ind w:firstLineChars="0" w:firstLine="0"/>
        <w:jc w:val="both"/>
      </w:pPr>
      <w:r>
        <w:t>[10] Chen T, Dolman A J, Sun Z, et al. Land management explains the contrasting greening pattern across China-Russia border[J]. JGR Biogeosciences, 2022, 127(6).</w:t>
      </w:r>
    </w:p>
    <w:p w:rsidR="005211C0" w:rsidRDefault="00000000">
      <w:pPr>
        <w:pStyle w:val="af4"/>
        <w:ind w:firstLineChars="0" w:firstLine="0"/>
        <w:jc w:val="both"/>
      </w:pPr>
      <w:r>
        <w:rPr>
          <w:rFonts w:hint="eastAsia"/>
        </w:rPr>
        <w:lastRenderedPageBreak/>
        <w:t xml:space="preserve">[11] </w:t>
      </w:r>
      <w:r>
        <w:rPr>
          <w:rFonts w:hint="eastAsia"/>
        </w:rPr>
        <w:t>刘纪远</w:t>
      </w:r>
      <w:r>
        <w:rPr>
          <w:rFonts w:hint="eastAsia"/>
        </w:rPr>
        <w:t xml:space="preserve">, </w:t>
      </w:r>
      <w:r>
        <w:rPr>
          <w:rFonts w:hint="eastAsia"/>
        </w:rPr>
        <w:t>匡文慧</w:t>
      </w:r>
      <w:r>
        <w:rPr>
          <w:rFonts w:hint="eastAsia"/>
        </w:rPr>
        <w:t xml:space="preserve">, </w:t>
      </w:r>
      <w:r>
        <w:rPr>
          <w:rFonts w:hint="eastAsia"/>
        </w:rPr>
        <w:t>张增祥</w:t>
      </w:r>
      <w:r>
        <w:rPr>
          <w:rFonts w:hint="eastAsia"/>
        </w:rPr>
        <w:t xml:space="preserve">, </w:t>
      </w:r>
      <w:r>
        <w:rPr>
          <w:rFonts w:hint="eastAsia"/>
        </w:rPr>
        <w:t>等</w:t>
      </w:r>
      <w:r>
        <w:rPr>
          <w:rFonts w:hint="eastAsia"/>
        </w:rPr>
        <w:t xml:space="preserve">. </w:t>
      </w:r>
      <w:r>
        <w:rPr>
          <w:rFonts w:hint="eastAsia"/>
        </w:rPr>
        <w:t>中国可持续发展目标进展评估与空间格局</w:t>
      </w:r>
      <w:r>
        <w:rPr>
          <w:rFonts w:hint="eastAsia"/>
        </w:rPr>
        <w:t xml:space="preserve">[J]. </w:t>
      </w:r>
      <w:r>
        <w:rPr>
          <w:rFonts w:hint="eastAsia"/>
        </w:rPr>
        <w:t>地理学报</w:t>
      </w:r>
      <w:r>
        <w:rPr>
          <w:rFonts w:hint="eastAsia"/>
        </w:rPr>
        <w:t>, 2021, 76(4): 895-910.</w:t>
      </w:r>
    </w:p>
    <w:p w:rsidR="005211C0" w:rsidRDefault="00000000">
      <w:pPr>
        <w:pStyle w:val="af4"/>
        <w:ind w:firstLineChars="0" w:firstLine="0"/>
        <w:jc w:val="both"/>
      </w:pPr>
      <w:r>
        <w:rPr>
          <w:rFonts w:hint="eastAsia"/>
        </w:rPr>
        <w:t xml:space="preserve">[12] </w:t>
      </w:r>
      <w:r>
        <w:rPr>
          <w:rFonts w:hint="eastAsia"/>
        </w:rPr>
        <w:t>陈军</w:t>
      </w:r>
      <w:r>
        <w:rPr>
          <w:rFonts w:hint="eastAsia"/>
        </w:rPr>
        <w:t xml:space="preserve">, </w:t>
      </w:r>
      <w:r>
        <w:rPr>
          <w:rFonts w:hint="eastAsia"/>
        </w:rPr>
        <w:t>彭舒</w:t>
      </w:r>
      <w:r>
        <w:rPr>
          <w:rFonts w:hint="eastAsia"/>
        </w:rPr>
        <w:t xml:space="preserve">, </w:t>
      </w:r>
      <w:r>
        <w:rPr>
          <w:rFonts w:hint="eastAsia"/>
        </w:rPr>
        <w:t>赵雪雁</w:t>
      </w:r>
      <w:r>
        <w:rPr>
          <w:rFonts w:hint="eastAsia"/>
        </w:rPr>
        <w:t xml:space="preserve">, </w:t>
      </w:r>
      <w:r>
        <w:rPr>
          <w:rFonts w:hint="eastAsia"/>
        </w:rPr>
        <w:t>等</w:t>
      </w:r>
      <w:r>
        <w:rPr>
          <w:rFonts w:hint="eastAsia"/>
        </w:rPr>
        <w:t xml:space="preserve">. </w:t>
      </w:r>
      <w:r>
        <w:rPr>
          <w:rFonts w:hint="eastAsia"/>
        </w:rPr>
        <w:t>基于多源地理空间数据的县域可持续发展评价</w:t>
      </w:r>
      <w:r>
        <w:rPr>
          <w:rFonts w:hint="eastAsia"/>
        </w:rPr>
        <w:t xml:space="preserve">[J]. </w:t>
      </w:r>
      <w:r>
        <w:rPr>
          <w:rFonts w:hint="eastAsia"/>
        </w:rPr>
        <w:t>地理学报</w:t>
      </w:r>
      <w:r>
        <w:rPr>
          <w:rFonts w:hint="eastAsia"/>
        </w:rPr>
        <w:t>, 2022, 77(10): 2489-2504.</w:t>
      </w:r>
    </w:p>
    <w:p w:rsidR="005211C0" w:rsidRDefault="00000000">
      <w:pPr>
        <w:pStyle w:val="af4"/>
        <w:ind w:firstLineChars="0" w:firstLine="0"/>
        <w:jc w:val="both"/>
      </w:pPr>
      <w:r>
        <w:rPr>
          <w:rFonts w:hint="eastAsia"/>
        </w:rPr>
        <w:t xml:space="preserve">[13] </w:t>
      </w:r>
      <w:r>
        <w:rPr>
          <w:rFonts w:hint="eastAsia"/>
        </w:rPr>
        <w:t>张平宇</w:t>
      </w:r>
      <w:r>
        <w:rPr>
          <w:rFonts w:hint="eastAsia"/>
        </w:rPr>
        <w:t xml:space="preserve">, </w:t>
      </w:r>
      <w:r>
        <w:rPr>
          <w:rFonts w:hint="eastAsia"/>
        </w:rPr>
        <w:t>李静</w:t>
      </w:r>
      <w:r>
        <w:rPr>
          <w:rFonts w:hint="eastAsia"/>
        </w:rPr>
        <w:t xml:space="preserve">, </w:t>
      </w:r>
      <w:r>
        <w:rPr>
          <w:rFonts w:hint="eastAsia"/>
        </w:rPr>
        <w:t>刘文新</w:t>
      </w:r>
      <w:r>
        <w:rPr>
          <w:rFonts w:hint="eastAsia"/>
        </w:rPr>
        <w:t xml:space="preserve">, </w:t>
      </w:r>
      <w:r>
        <w:rPr>
          <w:rFonts w:hint="eastAsia"/>
        </w:rPr>
        <w:t>等</w:t>
      </w:r>
      <w:r>
        <w:rPr>
          <w:rFonts w:hint="eastAsia"/>
        </w:rPr>
        <w:t xml:space="preserve">. </w:t>
      </w:r>
      <w:r>
        <w:rPr>
          <w:rFonts w:hint="eastAsia"/>
        </w:rPr>
        <w:t>东北地区可持续发展空间格局与影响因素</w:t>
      </w:r>
      <w:r>
        <w:rPr>
          <w:rFonts w:hint="eastAsia"/>
        </w:rPr>
        <w:t xml:space="preserve">[J]. </w:t>
      </w:r>
      <w:r>
        <w:rPr>
          <w:rFonts w:hint="eastAsia"/>
        </w:rPr>
        <w:t>地理学报</w:t>
      </w:r>
      <w:r>
        <w:rPr>
          <w:rFonts w:hint="eastAsia"/>
        </w:rPr>
        <w:t>, 2020, 75(12): 2604-2618.</w:t>
      </w:r>
    </w:p>
    <w:p w:rsidR="005211C0" w:rsidRDefault="00000000">
      <w:pPr>
        <w:pStyle w:val="af4"/>
        <w:ind w:firstLineChars="0" w:firstLine="0"/>
        <w:jc w:val="both"/>
      </w:pPr>
      <w:r>
        <w:rPr>
          <w:rFonts w:hint="eastAsia"/>
        </w:rPr>
        <w:t xml:space="preserve">[14] </w:t>
      </w:r>
      <w:r>
        <w:rPr>
          <w:rFonts w:hint="eastAsia"/>
        </w:rPr>
        <w:t>王劲峰</w:t>
      </w:r>
      <w:r>
        <w:rPr>
          <w:rFonts w:hint="eastAsia"/>
        </w:rPr>
        <w:t xml:space="preserve">, </w:t>
      </w:r>
      <w:r>
        <w:rPr>
          <w:rFonts w:hint="eastAsia"/>
        </w:rPr>
        <w:t>葛咏</w:t>
      </w:r>
      <w:r>
        <w:rPr>
          <w:rFonts w:hint="eastAsia"/>
        </w:rPr>
        <w:t xml:space="preserve">, </w:t>
      </w:r>
      <w:r>
        <w:rPr>
          <w:rFonts w:hint="eastAsia"/>
        </w:rPr>
        <w:t>李连发</w:t>
      </w:r>
      <w:r>
        <w:rPr>
          <w:rFonts w:hint="eastAsia"/>
        </w:rPr>
        <w:t xml:space="preserve">, </w:t>
      </w:r>
      <w:r>
        <w:rPr>
          <w:rFonts w:hint="eastAsia"/>
        </w:rPr>
        <w:t>等</w:t>
      </w:r>
      <w:r>
        <w:rPr>
          <w:rFonts w:hint="eastAsia"/>
        </w:rPr>
        <w:t xml:space="preserve">. </w:t>
      </w:r>
      <w:r>
        <w:rPr>
          <w:rFonts w:hint="eastAsia"/>
        </w:rPr>
        <w:t>网格化评价方法在区域可持续发展研究中的应用</w:t>
      </w:r>
      <w:r>
        <w:rPr>
          <w:rFonts w:hint="eastAsia"/>
        </w:rPr>
        <w:t xml:space="preserve">[J]. </w:t>
      </w:r>
      <w:r>
        <w:rPr>
          <w:rFonts w:hint="eastAsia"/>
        </w:rPr>
        <w:t>地理科学</w:t>
      </w:r>
      <w:r>
        <w:rPr>
          <w:rFonts w:hint="eastAsia"/>
        </w:rPr>
        <w:t>, 2021, 41(5): 789-798.</w:t>
      </w:r>
    </w:p>
    <w:p w:rsidR="005211C0" w:rsidRDefault="00000000">
      <w:pPr>
        <w:pStyle w:val="af4"/>
        <w:ind w:firstLineChars="0" w:firstLine="0"/>
        <w:jc w:val="both"/>
      </w:pPr>
      <w:r>
        <w:rPr>
          <w:rFonts w:hint="eastAsia"/>
        </w:rPr>
        <w:t xml:space="preserve">[15] </w:t>
      </w:r>
      <w:r>
        <w:rPr>
          <w:rFonts w:hint="eastAsia"/>
        </w:rPr>
        <w:t>李雪铭</w:t>
      </w:r>
      <w:r>
        <w:rPr>
          <w:rFonts w:hint="eastAsia"/>
        </w:rPr>
        <w:t xml:space="preserve">, </w:t>
      </w:r>
      <w:r>
        <w:rPr>
          <w:rFonts w:hint="eastAsia"/>
        </w:rPr>
        <w:t>王丹</w:t>
      </w:r>
      <w:r>
        <w:rPr>
          <w:rFonts w:hint="eastAsia"/>
        </w:rPr>
        <w:t xml:space="preserve">, </w:t>
      </w:r>
      <w:r>
        <w:rPr>
          <w:rFonts w:hint="eastAsia"/>
        </w:rPr>
        <w:t>张晓平</w:t>
      </w:r>
      <w:r>
        <w:rPr>
          <w:rFonts w:hint="eastAsia"/>
        </w:rPr>
        <w:t xml:space="preserve">, </w:t>
      </w:r>
      <w:r>
        <w:rPr>
          <w:rFonts w:hint="eastAsia"/>
        </w:rPr>
        <w:t>等</w:t>
      </w:r>
      <w:r>
        <w:rPr>
          <w:rFonts w:hint="eastAsia"/>
        </w:rPr>
        <w:t xml:space="preserve">. </w:t>
      </w:r>
      <w:r>
        <w:rPr>
          <w:rFonts w:hint="eastAsia"/>
        </w:rPr>
        <w:t>中俄边境地区生态环境与经济发展协调性评价</w:t>
      </w:r>
      <w:r>
        <w:rPr>
          <w:rFonts w:hint="eastAsia"/>
        </w:rPr>
        <w:t xml:space="preserve">[J]. </w:t>
      </w:r>
      <w:r>
        <w:rPr>
          <w:rFonts w:hint="eastAsia"/>
        </w:rPr>
        <w:t>地理科学</w:t>
      </w:r>
      <w:r>
        <w:rPr>
          <w:rFonts w:hint="eastAsia"/>
        </w:rPr>
        <w:t>, 2022, 42(8): 1356-1365.</w:t>
      </w:r>
    </w:p>
    <w:p w:rsidR="005211C0" w:rsidRDefault="00000000">
      <w:pPr>
        <w:pStyle w:val="af4"/>
        <w:ind w:firstLineChars="0" w:firstLine="0"/>
        <w:jc w:val="both"/>
      </w:pPr>
      <w:r>
        <w:rPr>
          <w:rFonts w:hint="eastAsia"/>
        </w:rPr>
        <w:t xml:space="preserve">[16] </w:t>
      </w:r>
      <w:r>
        <w:rPr>
          <w:rFonts w:hint="eastAsia"/>
        </w:rPr>
        <w:t>宫鹏</w:t>
      </w:r>
      <w:r>
        <w:rPr>
          <w:rFonts w:hint="eastAsia"/>
        </w:rPr>
        <w:t xml:space="preserve">, </w:t>
      </w:r>
      <w:r>
        <w:rPr>
          <w:rFonts w:hint="eastAsia"/>
        </w:rPr>
        <w:t>李新</w:t>
      </w:r>
      <w:r>
        <w:rPr>
          <w:rFonts w:hint="eastAsia"/>
        </w:rPr>
        <w:t xml:space="preserve">, </w:t>
      </w:r>
      <w:r>
        <w:rPr>
          <w:rFonts w:hint="eastAsia"/>
        </w:rPr>
        <w:t>陈军</w:t>
      </w:r>
      <w:r>
        <w:rPr>
          <w:rFonts w:hint="eastAsia"/>
        </w:rPr>
        <w:t xml:space="preserve">, </w:t>
      </w:r>
      <w:r>
        <w:rPr>
          <w:rFonts w:hint="eastAsia"/>
        </w:rPr>
        <w:t>等</w:t>
      </w:r>
      <w:r>
        <w:rPr>
          <w:rFonts w:hint="eastAsia"/>
        </w:rPr>
        <w:t xml:space="preserve">. </w:t>
      </w:r>
      <w:r>
        <w:rPr>
          <w:rFonts w:hint="eastAsia"/>
        </w:rPr>
        <w:t>遥感大数据支持的可持续发展目标监测与评估</w:t>
      </w:r>
      <w:r>
        <w:rPr>
          <w:rFonts w:hint="eastAsia"/>
        </w:rPr>
        <w:t xml:space="preserve">[J]. </w:t>
      </w:r>
      <w:r>
        <w:rPr>
          <w:rFonts w:hint="eastAsia"/>
        </w:rPr>
        <w:t>地球信息科学学报</w:t>
      </w:r>
      <w:r>
        <w:rPr>
          <w:rFonts w:hint="eastAsia"/>
        </w:rPr>
        <w:t>, 2021, 23(6): 1019-1035.</w:t>
      </w:r>
    </w:p>
    <w:p w:rsidR="005211C0" w:rsidRDefault="00000000">
      <w:pPr>
        <w:pStyle w:val="af4"/>
        <w:ind w:firstLineChars="0" w:firstLine="0"/>
        <w:jc w:val="both"/>
      </w:pPr>
      <w:r>
        <w:rPr>
          <w:rFonts w:hint="eastAsia"/>
        </w:rPr>
        <w:t xml:space="preserve">[17] </w:t>
      </w:r>
      <w:r>
        <w:rPr>
          <w:rFonts w:hint="eastAsia"/>
        </w:rPr>
        <w:t>李辉</w:t>
      </w:r>
      <w:r>
        <w:rPr>
          <w:rFonts w:hint="eastAsia"/>
        </w:rPr>
        <w:t xml:space="preserve">, </w:t>
      </w:r>
      <w:r>
        <w:rPr>
          <w:rFonts w:hint="eastAsia"/>
        </w:rPr>
        <w:t>王胜今</w:t>
      </w:r>
      <w:r>
        <w:rPr>
          <w:rFonts w:hint="eastAsia"/>
        </w:rPr>
        <w:t xml:space="preserve">, </w:t>
      </w:r>
      <w:r>
        <w:rPr>
          <w:rFonts w:hint="eastAsia"/>
        </w:rPr>
        <w:t>刘爽</w:t>
      </w:r>
      <w:r>
        <w:rPr>
          <w:rFonts w:hint="eastAsia"/>
        </w:rPr>
        <w:t xml:space="preserve">, </w:t>
      </w:r>
      <w:r>
        <w:rPr>
          <w:rFonts w:hint="eastAsia"/>
        </w:rPr>
        <w:t>等</w:t>
      </w:r>
      <w:r>
        <w:rPr>
          <w:rFonts w:hint="eastAsia"/>
        </w:rPr>
        <w:t xml:space="preserve">. </w:t>
      </w:r>
      <w:r>
        <w:rPr>
          <w:rFonts w:hint="eastAsia"/>
        </w:rPr>
        <w:t>中俄东北</w:t>
      </w:r>
      <w:r>
        <w:rPr>
          <w:rFonts w:hint="eastAsia"/>
        </w:rPr>
        <w:t>-</w:t>
      </w:r>
      <w:r>
        <w:rPr>
          <w:rFonts w:hint="eastAsia"/>
        </w:rPr>
        <w:t>远东跨境经济合作的空间格局与发展路径</w:t>
      </w:r>
      <w:r>
        <w:rPr>
          <w:rFonts w:hint="eastAsia"/>
        </w:rPr>
        <w:t xml:space="preserve">[J]. </w:t>
      </w:r>
      <w:r>
        <w:rPr>
          <w:rFonts w:hint="eastAsia"/>
        </w:rPr>
        <w:t>东北亚论坛</w:t>
      </w:r>
      <w:r>
        <w:rPr>
          <w:rFonts w:hint="eastAsia"/>
        </w:rPr>
        <w:t>, 2021, 30(2): 45-58.</w:t>
      </w:r>
    </w:p>
    <w:p w:rsidR="005211C0" w:rsidRDefault="00000000">
      <w:pPr>
        <w:pStyle w:val="af4"/>
        <w:ind w:firstLineChars="0" w:firstLine="0"/>
        <w:jc w:val="both"/>
      </w:pPr>
      <w:r>
        <w:t>[18] UNITED NATIONS. The Sustainable Development Goals Report 2025[R]. New York: United Nations, 2025.</w:t>
      </w:r>
    </w:p>
    <w:p w:rsidR="005211C0" w:rsidRDefault="00000000">
      <w:pPr>
        <w:pStyle w:val="af4"/>
        <w:ind w:firstLineChars="0" w:firstLine="0"/>
        <w:jc w:val="both"/>
      </w:pPr>
      <w:r>
        <w:t>[19] Kussul N, Lavreniuk M, Skakun S, et al. A review of the sustainability concept and the state of SDG monitoring using remote sensing[J]. Remote Sensing, 2020, 12(11): 1770.</w:t>
      </w:r>
    </w:p>
    <w:p w:rsidR="005211C0" w:rsidRDefault="00000000">
      <w:pPr>
        <w:pStyle w:val="af4"/>
        <w:ind w:firstLineChars="0" w:firstLine="0"/>
        <w:jc w:val="both"/>
      </w:pPr>
      <w:r>
        <w:t>[20] Chu N, Wu X, Zhang P. Cross-border accessibility and spatial effects of China-Mongolia-Russia Economic Corridor under the background of high-speed rail environment[J]. International Journal of Environmental Research and Public Health, 2022, 19(16): 10266.</w:t>
      </w:r>
    </w:p>
    <w:p w:rsidR="005211C0" w:rsidRDefault="00000000">
      <w:pPr>
        <w:pStyle w:val="af4"/>
        <w:ind w:firstLineChars="0" w:firstLine="0"/>
        <w:jc w:val="both"/>
      </w:pPr>
      <w:r>
        <w:t>[21] Liu M, Han G, Zhang Q. Measuring SDG 15 at the county scale: localization and practice of SDGs indicators based on geospatial information[J]. ISPRS International Journal of Geo-Information, 2019, 8(11): 515.</w:t>
      </w:r>
    </w:p>
    <w:p w:rsidR="005211C0" w:rsidRDefault="00000000">
      <w:pPr>
        <w:pStyle w:val="af4"/>
        <w:ind w:firstLineChars="0" w:firstLine="0"/>
        <w:jc w:val="both"/>
      </w:pPr>
      <w:r>
        <w:t>[22] Melchiorri M, Pesaresi M, Florczyk A J, et al. Principles and applications of the Global Human Settlement Layer as baseline for the land use efficiency indicator—SDG 11.3.1[J]. ISPRS International Journal of Geo-Information, 2019, 8(2): 96.</w:t>
      </w:r>
    </w:p>
    <w:p w:rsidR="005211C0" w:rsidRDefault="00000000">
      <w:pPr>
        <w:pStyle w:val="af4"/>
        <w:ind w:firstLineChars="0" w:firstLine="0"/>
        <w:jc w:val="both"/>
      </w:pPr>
      <w:r>
        <w:t>[23] Burdziej J. Using hexagonal grids and network analysis for spatial accessibility assessment in urban environments—a case study of public amenities in Toruń[J]. Miscellanea Geographica, 2019, 23(2): 99-110.</w:t>
      </w:r>
    </w:p>
    <w:p w:rsidR="005211C0" w:rsidRDefault="00000000">
      <w:pPr>
        <w:pStyle w:val="af4"/>
        <w:ind w:firstLineChars="0" w:firstLine="0"/>
        <w:jc w:val="both"/>
      </w:pPr>
      <w:r>
        <w:lastRenderedPageBreak/>
        <w:t>[24] Sachs J D, Lafortune G, Fuller G, et al. Financing Sustainable Development to 2030 and Mid-Century: Sustainable Development Report 2025[R]. Paris: SDSN, 2025.</w:t>
      </w:r>
    </w:p>
    <w:p w:rsidR="005211C0" w:rsidRDefault="00000000">
      <w:pPr>
        <w:pStyle w:val="af4"/>
        <w:ind w:firstLineChars="0" w:firstLine="0"/>
        <w:jc w:val="both"/>
      </w:pPr>
      <w:r>
        <w:t>[25] Liu X, Ma L, Li X, et al. Simulating urban growth by integrating landscape expansion index (LEI) and cellular automata[J]. International Journal of Geographical Information Science, 2024, 38(4): 685-708.</w:t>
      </w:r>
    </w:p>
    <w:p w:rsidR="005211C0" w:rsidRDefault="00000000">
      <w:pPr>
        <w:pStyle w:val="af4"/>
        <w:ind w:firstLineChars="0" w:firstLine="0"/>
        <w:jc w:val="both"/>
      </w:pPr>
      <w:r>
        <w:t>[26] Wang X, Gao P, Song C, et al. Use of entropy in developing SDG-based indices for assessing regional sustainable development: a provincial case study of China[J]. Entropy, 2020, 22(4): 406.</w:t>
      </w:r>
    </w:p>
    <w:p w:rsidR="005211C0" w:rsidRDefault="00000000">
      <w:pPr>
        <w:pStyle w:val="af4"/>
        <w:ind w:firstLineChars="0" w:firstLine="0"/>
        <w:jc w:val="both"/>
      </w:pPr>
      <w:r>
        <w:t>[27] Tutak M, Brodny J, Grebski W W. Entropy-Evolutionary Evaluation of Sustainability (E3): a novel approach to energy sustainability assessment: evidence from the EU-27[J]. Energies, 2025, 18(20): 5481.</w:t>
      </w:r>
    </w:p>
    <w:p w:rsidR="005211C0" w:rsidRDefault="00000000">
      <w:pPr>
        <w:pStyle w:val="af4"/>
        <w:ind w:firstLineChars="0" w:firstLine="0"/>
        <w:jc w:val="both"/>
      </w:pPr>
      <w:r>
        <w:t>[28] Chen Y. Spatial autocorrelation equation based on Moran's index[J]. Scientific Reports, 2023, 13: 19296.</w:t>
      </w:r>
    </w:p>
    <w:p w:rsidR="005211C0" w:rsidRDefault="00000000">
      <w:pPr>
        <w:pStyle w:val="af4"/>
        <w:ind w:firstLineChars="0" w:firstLine="0"/>
        <w:jc w:val="both"/>
      </w:pPr>
      <w:r>
        <w:rPr>
          <w:rFonts w:hint="eastAsia"/>
        </w:rPr>
        <w:t xml:space="preserve">[29] </w:t>
      </w:r>
      <w:r>
        <w:rPr>
          <w:rFonts w:hint="eastAsia"/>
        </w:rPr>
        <w:t>徐明</w:t>
      </w:r>
      <w:r>
        <w:rPr>
          <w:rFonts w:hint="eastAsia"/>
        </w:rPr>
        <w:t xml:space="preserve">, </w:t>
      </w:r>
      <w:r>
        <w:rPr>
          <w:rFonts w:hint="eastAsia"/>
        </w:rPr>
        <w:t>陈明星</w:t>
      </w:r>
      <w:r>
        <w:rPr>
          <w:rFonts w:hint="eastAsia"/>
        </w:rPr>
        <w:t xml:space="preserve">, </w:t>
      </w:r>
      <w:r>
        <w:rPr>
          <w:rFonts w:hint="eastAsia"/>
        </w:rPr>
        <w:t>刘卫东</w:t>
      </w:r>
      <w:r>
        <w:rPr>
          <w:rFonts w:hint="eastAsia"/>
        </w:rPr>
        <w:t xml:space="preserve">, </w:t>
      </w:r>
      <w:r>
        <w:rPr>
          <w:rFonts w:hint="eastAsia"/>
        </w:rPr>
        <w:t>等</w:t>
      </w:r>
      <w:r>
        <w:rPr>
          <w:rFonts w:hint="eastAsia"/>
        </w:rPr>
        <w:t xml:space="preserve">. </w:t>
      </w:r>
      <w:r>
        <w:rPr>
          <w:rFonts w:hint="eastAsia"/>
        </w:rPr>
        <w:t>中国可持续发展目标指标体系构建与评估</w:t>
      </w:r>
      <w:r>
        <w:rPr>
          <w:rFonts w:hint="eastAsia"/>
        </w:rPr>
        <w:t xml:space="preserve">[J]. </w:t>
      </w:r>
      <w:r>
        <w:rPr>
          <w:rFonts w:hint="eastAsia"/>
        </w:rPr>
        <w:t>中国人口·资源与环境</w:t>
      </w:r>
      <w:r>
        <w:rPr>
          <w:rFonts w:hint="eastAsia"/>
        </w:rPr>
        <w:t>, 2020, 30(6): 1-10.</w:t>
      </w:r>
    </w:p>
    <w:p w:rsidR="005211C0" w:rsidRDefault="00000000">
      <w:pPr>
        <w:pStyle w:val="af4"/>
        <w:ind w:firstLineChars="0" w:firstLine="0"/>
        <w:jc w:val="both"/>
      </w:pPr>
      <w:r>
        <w:rPr>
          <w:rFonts w:hint="eastAsia"/>
        </w:rPr>
        <w:t xml:space="preserve">[30] </w:t>
      </w:r>
      <w:r>
        <w:rPr>
          <w:rFonts w:hint="eastAsia"/>
        </w:rPr>
        <w:t>樊杰</w:t>
      </w:r>
      <w:r>
        <w:rPr>
          <w:rFonts w:hint="eastAsia"/>
        </w:rPr>
        <w:t xml:space="preserve">, </w:t>
      </w:r>
      <w:r>
        <w:rPr>
          <w:rFonts w:hint="eastAsia"/>
        </w:rPr>
        <w:t>王亚飞</w:t>
      </w:r>
      <w:r>
        <w:rPr>
          <w:rFonts w:hint="eastAsia"/>
        </w:rPr>
        <w:t xml:space="preserve">, </w:t>
      </w:r>
      <w:r>
        <w:rPr>
          <w:rFonts w:hint="eastAsia"/>
        </w:rPr>
        <w:t>汤青</w:t>
      </w:r>
      <w:r>
        <w:rPr>
          <w:rFonts w:hint="eastAsia"/>
        </w:rPr>
        <w:t xml:space="preserve">, </w:t>
      </w:r>
      <w:r>
        <w:rPr>
          <w:rFonts w:hint="eastAsia"/>
        </w:rPr>
        <w:t>等</w:t>
      </w:r>
      <w:r>
        <w:rPr>
          <w:rFonts w:hint="eastAsia"/>
        </w:rPr>
        <w:t xml:space="preserve">. </w:t>
      </w:r>
      <w:r>
        <w:rPr>
          <w:rFonts w:hint="eastAsia"/>
        </w:rPr>
        <w:t>中国区域可持续发展空间差异与协调机制</w:t>
      </w:r>
      <w:r>
        <w:rPr>
          <w:rFonts w:hint="eastAsia"/>
        </w:rPr>
        <w:t xml:space="preserve">[J]. </w:t>
      </w:r>
      <w:r>
        <w:rPr>
          <w:rFonts w:hint="eastAsia"/>
        </w:rPr>
        <w:t>中国人口·资源与环境</w:t>
      </w:r>
      <w:r>
        <w:rPr>
          <w:rFonts w:hint="eastAsia"/>
        </w:rPr>
        <w:t>, 2022, 32(3): 1-12.</w:t>
      </w:r>
    </w:p>
    <w:p w:rsidR="005211C0" w:rsidRDefault="00000000">
      <w:pPr>
        <w:pStyle w:val="af4"/>
        <w:ind w:firstLineChars="0" w:firstLine="0"/>
        <w:jc w:val="both"/>
      </w:pPr>
      <w:r>
        <w:rPr>
          <w:rFonts w:hint="eastAsia"/>
        </w:rPr>
        <w:t xml:space="preserve">[31] </w:t>
      </w:r>
      <w:r>
        <w:rPr>
          <w:rFonts w:hint="eastAsia"/>
        </w:rPr>
        <w:t>张平宇</w:t>
      </w:r>
      <w:r>
        <w:rPr>
          <w:rFonts w:hint="eastAsia"/>
        </w:rPr>
        <w:t xml:space="preserve">, </w:t>
      </w:r>
      <w:r>
        <w:rPr>
          <w:rFonts w:hint="eastAsia"/>
        </w:rPr>
        <w:t>李静</w:t>
      </w:r>
      <w:r>
        <w:rPr>
          <w:rFonts w:hint="eastAsia"/>
        </w:rPr>
        <w:t xml:space="preserve">, </w:t>
      </w:r>
      <w:r>
        <w:rPr>
          <w:rFonts w:hint="eastAsia"/>
        </w:rPr>
        <w:t>程叶青</w:t>
      </w:r>
      <w:r>
        <w:rPr>
          <w:rFonts w:hint="eastAsia"/>
        </w:rPr>
        <w:t xml:space="preserve">, </w:t>
      </w:r>
      <w:r>
        <w:rPr>
          <w:rFonts w:hint="eastAsia"/>
        </w:rPr>
        <w:t>等</w:t>
      </w:r>
      <w:r>
        <w:rPr>
          <w:rFonts w:hint="eastAsia"/>
        </w:rPr>
        <w:t xml:space="preserve">. </w:t>
      </w:r>
      <w:r>
        <w:rPr>
          <w:rFonts w:hint="eastAsia"/>
        </w:rPr>
        <w:t>中俄边境口岸经济发展现状与协同机制研究</w:t>
      </w:r>
      <w:r>
        <w:rPr>
          <w:rFonts w:hint="eastAsia"/>
        </w:rPr>
        <w:t xml:space="preserve">[J]. </w:t>
      </w:r>
      <w:r>
        <w:rPr>
          <w:rFonts w:hint="eastAsia"/>
        </w:rPr>
        <w:t>东北亚论坛</w:t>
      </w:r>
      <w:r>
        <w:rPr>
          <w:rFonts w:hint="eastAsia"/>
        </w:rPr>
        <w:t>, 2022, 31(4): 67-79.</w:t>
      </w:r>
    </w:p>
    <w:p w:rsidR="005211C0" w:rsidRDefault="00000000">
      <w:pPr>
        <w:pStyle w:val="af4"/>
        <w:ind w:firstLineChars="0" w:firstLine="0"/>
        <w:jc w:val="both"/>
      </w:pPr>
      <w:r>
        <w:rPr>
          <w:rFonts w:hint="eastAsia"/>
        </w:rPr>
        <w:t xml:space="preserve">[32] </w:t>
      </w:r>
      <w:r>
        <w:rPr>
          <w:rFonts w:hint="eastAsia"/>
        </w:rPr>
        <w:t>王圣云</w:t>
      </w:r>
      <w:r>
        <w:rPr>
          <w:rFonts w:hint="eastAsia"/>
        </w:rPr>
        <w:t xml:space="preserve">, </w:t>
      </w:r>
      <w:r>
        <w:rPr>
          <w:rFonts w:hint="eastAsia"/>
        </w:rPr>
        <w:t>顾朝林</w:t>
      </w:r>
      <w:r>
        <w:rPr>
          <w:rFonts w:hint="eastAsia"/>
        </w:rPr>
        <w:t xml:space="preserve">, </w:t>
      </w:r>
      <w:r>
        <w:rPr>
          <w:rFonts w:hint="eastAsia"/>
        </w:rPr>
        <w:t>张京祥</w:t>
      </w:r>
      <w:r>
        <w:rPr>
          <w:rFonts w:hint="eastAsia"/>
        </w:rPr>
        <w:t xml:space="preserve">, </w:t>
      </w:r>
      <w:r>
        <w:rPr>
          <w:rFonts w:hint="eastAsia"/>
        </w:rPr>
        <w:t>等</w:t>
      </w:r>
      <w:r>
        <w:rPr>
          <w:rFonts w:hint="eastAsia"/>
        </w:rPr>
        <w:t xml:space="preserve">. </w:t>
      </w:r>
      <w:r>
        <w:rPr>
          <w:rFonts w:hint="eastAsia"/>
        </w:rPr>
        <w:t>基于熵权法的区域可持续发展综合评价研究</w:t>
      </w:r>
      <w:r>
        <w:rPr>
          <w:rFonts w:hint="eastAsia"/>
        </w:rPr>
        <w:t xml:space="preserve">[J]. </w:t>
      </w:r>
      <w:r>
        <w:rPr>
          <w:rFonts w:hint="eastAsia"/>
        </w:rPr>
        <w:t>中国人口·资源与环境</w:t>
      </w:r>
      <w:r>
        <w:rPr>
          <w:rFonts w:hint="eastAsia"/>
        </w:rPr>
        <w:t>, 2021, 31(8): 45-54.</w:t>
      </w:r>
    </w:p>
    <w:p w:rsidR="005211C0" w:rsidRDefault="00000000">
      <w:pPr>
        <w:pStyle w:val="af4"/>
        <w:ind w:firstLineChars="0" w:firstLine="0"/>
        <w:jc w:val="both"/>
      </w:pPr>
      <w:r>
        <w:rPr>
          <w:rFonts w:hint="eastAsia"/>
        </w:rPr>
        <w:t xml:space="preserve">[33] </w:t>
      </w:r>
      <w:r>
        <w:rPr>
          <w:rFonts w:hint="eastAsia"/>
        </w:rPr>
        <w:t>联合国统计司</w:t>
      </w:r>
      <w:r>
        <w:rPr>
          <w:rFonts w:hint="eastAsia"/>
        </w:rPr>
        <w:t xml:space="preserve">. </w:t>
      </w:r>
      <w:r>
        <w:rPr>
          <w:rFonts w:hint="eastAsia"/>
        </w:rPr>
        <w:t>可持续发展目标全球指标框架</w:t>
      </w:r>
      <w:r>
        <w:rPr>
          <w:rFonts w:hint="eastAsia"/>
        </w:rPr>
        <w:t>[EB/OL]. (2025-03-28)[2026-05-14]. https://unstats.un.org/SDGs/indicators/indicators-list/.</w:t>
      </w:r>
    </w:p>
    <w:p w:rsidR="005211C0" w:rsidRDefault="00000000">
      <w:pPr>
        <w:pStyle w:val="af4"/>
        <w:ind w:firstLineChars="0" w:firstLine="0"/>
        <w:jc w:val="both"/>
      </w:pPr>
      <w:r>
        <w:t>[34] Abatzoglou J T, Dobrowski S Z, Parks S A, et al. TerraClimate, a high-resolution global dataset of monthly climate and climatic water balance[J]. Scientific Data, 2018, 5: 170191.</w:t>
      </w:r>
    </w:p>
    <w:p w:rsidR="005211C0" w:rsidRDefault="00000000">
      <w:pPr>
        <w:pStyle w:val="af4"/>
        <w:ind w:firstLineChars="0" w:firstLine="0"/>
        <w:jc w:val="both"/>
      </w:pPr>
      <w:r>
        <w:t>[35] Hansen M C, Potapov P V, Moore R, et al. High-resolution global maps of 21st-century forest cover change[J]. Science, 2013, 342(6160): 850-853.</w:t>
      </w:r>
    </w:p>
    <w:p w:rsidR="005211C0" w:rsidRDefault="00000000">
      <w:pPr>
        <w:pStyle w:val="af4"/>
        <w:ind w:firstLineChars="0" w:firstLine="0"/>
        <w:jc w:val="both"/>
      </w:pPr>
      <w:r>
        <w:t>[36] Hagenlocher M, Kienberger S. Spatial-explicit modeling of social vulnerability to malaria in East Africa[J]. International Journal of Health Geographics, 2014, 13: 29.</w:t>
      </w:r>
    </w:p>
    <w:p w:rsidR="005211C0" w:rsidRDefault="00000000">
      <w:pPr>
        <w:pStyle w:val="af4"/>
        <w:ind w:firstLineChars="0" w:firstLine="0"/>
        <w:jc w:val="both"/>
      </w:pPr>
      <w:r>
        <w:lastRenderedPageBreak/>
        <w:t>[37] CENTER FOR INTERNATIONAL EARTH SCIENCE INFORMATION NETWORK. Gridded Population of the World, Version 4.11 (GPWv4.11): Population Density[DB/OL]. (2018-01-01)[2026-05-14]. https://doi.org/10.7927/H49C6VHW.</w:t>
      </w:r>
    </w:p>
    <w:p w:rsidR="005211C0" w:rsidRDefault="00000000">
      <w:pPr>
        <w:pStyle w:val="af4"/>
        <w:ind w:firstLineChars="0" w:firstLine="0"/>
        <w:jc w:val="both"/>
      </w:pPr>
      <w:r>
        <w:t>[38] NOAA. VIIRS DNB Monthly Cloud Free Composites, stray-light-corrected and vcmcfg products[DB/OL]. [2026-05-07]. https://developers.google.com/earth-engine/datasets/catalog/NOAA_VIIRS_DNB_MONTHLY_V1_VCMSLCFG.</w:t>
      </w:r>
    </w:p>
    <w:p w:rsidR="005211C0" w:rsidRDefault="00000000">
      <w:pPr>
        <w:pStyle w:val="af4"/>
        <w:ind w:firstLineChars="0" w:firstLine="0"/>
        <w:jc w:val="both"/>
      </w:pPr>
      <w:r>
        <w:t>[39] Elvidge C D, Baugh K E, Zhizhin M, et al. VIIRS night-time lights[J]. International Journal of Remote Sensing, 2017, 38(21): 5860-5879.</w:t>
      </w:r>
    </w:p>
    <w:p w:rsidR="005211C0" w:rsidRDefault="00000000">
      <w:pPr>
        <w:pStyle w:val="af4"/>
        <w:ind w:firstLineChars="0" w:firstLine="0"/>
        <w:jc w:val="both"/>
      </w:pPr>
      <w:r>
        <w:t>[40] NASA LP DAAC. MODIS MCD12Q1.061 Land Cover Type Yearly Global 500m[DB/OL]. (2024-01-01)[2026-05-14]. https://doi.org/10.5067/MODIS/MCD12Q1.061.</w:t>
      </w:r>
    </w:p>
    <w:p w:rsidR="005211C0" w:rsidRDefault="00000000">
      <w:pPr>
        <w:pStyle w:val="af4"/>
        <w:ind w:firstLineChars="0" w:firstLine="0"/>
        <w:jc w:val="both"/>
      </w:pPr>
      <w:r>
        <w:t>[41] NASA LP DAAC. MODIS MOD13A3.061 Vegetation Indices Monthly Global 1km[DB/OL]. [2026-05-07]. https://developers.google.com/earth-engine/datasets/catalog/MODIS_061_MOD13A3.</w:t>
      </w:r>
    </w:p>
    <w:p w:rsidR="005211C0" w:rsidRDefault="00000000">
      <w:pPr>
        <w:pStyle w:val="af4"/>
        <w:ind w:firstLineChars="0" w:firstLine="0"/>
        <w:jc w:val="both"/>
      </w:pPr>
      <w:r>
        <w:t>[42] USGS. GTOPO30 Global 30 Arc-Second Elevation[DB/OL]. [2026-05-07]. https://developers.google.com/earth-engine/datasets/catalog/USGS_GTOPO30.</w:t>
      </w:r>
    </w:p>
    <w:p w:rsidR="005211C0" w:rsidRDefault="00000000">
      <w:pPr>
        <w:pStyle w:val="af4"/>
        <w:ind w:firstLineChars="0" w:firstLine="0"/>
        <w:jc w:val="both"/>
      </w:pPr>
      <w:r>
        <w:t>[43] GADM. GADM database of Global Administrative Areas, version 4.1[DB/OL]. [2026-05-07]. https://gadm.org/data.html.</w:t>
      </w:r>
    </w:p>
    <w:p w:rsidR="005211C0" w:rsidRDefault="00000000">
      <w:pPr>
        <w:pStyle w:val="af4"/>
        <w:ind w:firstLineChars="0" w:firstLine="0"/>
        <w:jc w:val="both"/>
      </w:pPr>
      <w:r>
        <w:t>[44] Pettorelli N, Vik J O, Mysterud A, et al. Using the satellite-derived NDVI to assess ecological responses to environmental change[J]. Trends in Ecology &amp; Evolution, 2005, 20(9): 503-510.</w:t>
      </w:r>
    </w:p>
    <w:p w:rsidR="005211C0" w:rsidRDefault="00000000">
      <w:pPr>
        <w:pStyle w:val="af4"/>
        <w:ind w:firstLineChars="0" w:firstLine="0"/>
        <w:jc w:val="both"/>
      </w:pPr>
      <w:r>
        <w:t>[45] Zhu Y, Tian D, Yan F. Effectiveness of entropy weight method in decision-making[J]. Mathematical Problems in Engineering, 2020, 2020: 3564835.</w:t>
      </w:r>
    </w:p>
    <w:p w:rsidR="005211C0" w:rsidRDefault="00000000">
      <w:pPr>
        <w:pStyle w:val="af4"/>
        <w:ind w:firstLineChars="0" w:firstLine="0"/>
        <w:jc w:val="both"/>
      </w:pPr>
      <w:r>
        <w:t>[46] Cliff A D, Ord J K. Spatial Processes: Models and Applications[M]. London: Pion, 1981.</w:t>
      </w:r>
    </w:p>
    <w:p w:rsidR="005211C0" w:rsidRDefault="00000000">
      <w:pPr>
        <w:pStyle w:val="af4"/>
        <w:ind w:firstLineChars="0" w:firstLine="0"/>
        <w:jc w:val="both"/>
      </w:pPr>
      <w:r>
        <w:t>[47] Anselin L. Local indicators of spatial association—LISA[J]. Geographical Analysis, 1995, 27(2): 93-115.</w:t>
      </w:r>
    </w:p>
    <w:p w:rsidR="005211C0" w:rsidRDefault="00000000">
      <w:pPr>
        <w:pStyle w:val="1"/>
        <w:ind w:firstLineChars="0" w:firstLine="0"/>
        <w:jc w:val="center"/>
        <w:rPr>
          <w:b w:val="0"/>
        </w:rPr>
      </w:pPr>
      <w:r>
        <w:rPr>
          <w:rFonts w:ascii="宋体" w:hint="eastAsia"/>
          <w:szCs w:val="21"/>
        </w:rPr>
        <w:br w:type="page"/>
      </w:r>
      <w:bookmarkStart w:id="30" w:name="_Toc230099594"/>
      <w:r>
        <w:rPr>
          <w:rFonts w:hint="eastAsia"/>
        </w:rPr>
        <w:lastRenderedPageBreak/>
        <w:t>致　　　谢</w:t>
      </w:r>
      <w:bookmarkEnd w:id="30"/>
    </w:p>
    <w:p w:rsidR="005211C0" w:rsidRDefault="005211C0">
      <w:pPr>
        <w:ind w:firstLine="480"/>
        <w:jc w:val="both"/>
      </w:pPr>
    </w:p>
    <w:p w:rsidR="005211C0" w:rsidRDefault="00000000">
      <w:pPr>
        <w:ind w:firstLine="480"/>
        <w:jc w:val="both"/>
        <w:rPr>
          <w:rFonts w:ascii="楷体" w:eastAsia="楷体" w:hAnsi="楷体"/>
          <w:bCs/>
          <w:szCs w:val="24"/>
        </w:rPr>
      </w:pPr>
      <w:r>
        <w:rPr>
          <w:rFonts w:ascii="楷体" w:eastAsia="楷体" w:hAnsi="楷体" w:hint="eastAsia"/>
          <w:bCs/>
          <w:szCs w:val="24"/>
        </w:rPr>
        <w:t>河流拐弯的时候，上游的水还没凉，下游的潮已经来了。我站在拐弯处，同时是离开的人也是到达的人。</w:t>
      </w:r>
    </w:p>
    <w:p w:rsidR="005211C0" w:rsidRDefault="00000000">
      <w:pPr>
        <w:ind w:firstLine="480"/>
        <w:jc w:val="both"/>
        <w:rPr>
          <w:rFonts w:ascii="楷体" w:eastAsia="楷体" w:hAnsi="楷体"/>
          <w:bCs/>
          <w:szCs w:val="24"/>
        </w:rPr>
      </w:pPr>
      <w:r>
        <w:rPr>
          <w:rFonts w:ascii="楷体" w:eastAsia="楷体" w:hAnsi="楷体" w:hint="eastAsia"/>
          <w:bCs/>
          <w:szCs w:val="24"/>
        </w:rPr>
        <w:t>保研之后过了半年研究生生活，"本科三年，硕士四年"。我以为我错过了，但其实我是提前到了。我不确定掀起龙卷风的究竟是哪一次振翅，但我到现在都觉得这振的又准又狠。现在我回来了，站在本科的毕业季，带着研究生的记忆。</w:t>
      </w:r>
    </w:p>
    <w:p w:rsidR="005211C0" w:rsidRDefault="00000000">
      <w:pPr>
        <w:ind w:firstLine="480"/>
        <w:jc w:val="both"/>
        <w:rPr>
          <w:rFonts w:ascii="楷体" w:eastAsia="楷体" w:hAnsi="楷体"/>
          <w:bCs/>
          <w:szCs w:val="24"/>
        </w:rPr>
      </w:pPr>
      <w:r>
        <w:rPr>
          <w:rFonts w:ascii="楷体" w:eastAsia="楷体" w:hAnsi="楷体" w:hint="eastAsia"/>
          <w:bCs/>
          <w:szCs w:val="24"/>
        </w:rPr>
        <w:t>失去才懂得珍惜这事，我好像作弊了。</w:t>
      </w:r>
    </w:p>
    <w:p w:rsidR="005211C0" w:rsidRDefault="00000000">
      <w:pPr>
        <w:ind w:firstLine="480"/>
        <w:jc w:val="both"/>
        <w:rPr>
          <w:rFonts w:ascii="楷体" w:eastAsia="楷体" w:hAnsi="楷体"/>
          <w:bCs/>
          <w:szCs w:val="24"/>
        </w:rPr>
      </w:pPr>
      <w:r>
        <w:rPr>
          <w:rFonts w:ascii="楷体" w:eastAsia="楷体" w:hAnsi="楷体" w:hint="eastAsia"/>
          <w:bCs/>
          <w:szCs w:val="24"/>
        </w:rPr>
        <w:t>庆幸身边总有莫名其妙踹我一脚的人。深夜发消息问选哪个，收到回复一个字"冲"，我盯着那个字看了十秒，然后冲了。</w:t>
      </w:r>
    </w:p>
    <w:p w:rsidR="005211C0" w:rsidRDefault="00000000">
      <w:pPr>
        <w:ind w:firstLine="480"/>
        <w:jc w:val="both"/>
        <w:rPr>
          <w:rFonts w:ascii="楷体" w:eastAsia="楷体" w:hAnsi="楷体"/>
          <w:bCs/>
          <w:szCs w:val="24"/>
        </w:rPr>
      </w:pPr>
      <w:r>
        <w:rPr>
          <w:rFonts w:ascii="楷体" w:eastAsia="楷体" w:hAnsi="楷体" w:hint="eastAsia"/>
          <w:bCs/>
          <w:szCs w:val="24"/>
        </w:rPr>
        <w:t>也有人不是踹我，是拽我。我的导师有一种站定的能力，我说了二十分钟不着边际的话，她用一句话把我拽回地面。每次我都觉得扫兴，但每次事后都发现，没被拽回来，我真的不知道会扑棱到哪里去。不嫌弃我飞得乱，比夸我会扑棱难多了。</w:t>
      </w:r>
    </w:p>
    <w:p w:rsidR="005211C0" w:rsidRDefault="00000000">
      <w:pPr>
        <w:ind w:firstLine="480"/>
        <w:jc w:val="both"/>
        <w:rPr>
          <w:rFonts w:ascii="楷体" w:eastAsia="楷体" w:hAnsi="楷体"/>
          <w:bCs/>
          <w:szCs w:val="24"/>
        </w:rPr>
      </w:pPr>
      <w:r>
        <w:rPr>
          <w:rFonts w:ascii="楷体" w:eastAsia="楷体" w:hAnsi="楷体" w:hint="eastAsia"/>
          <w:bCs/>
          <w:szCs w:val="24"/>
        </w:rPr>
        <w:t>有人很爱我。我知道水有多深，还是想回去游一圈。有人关了一扇门，我才发现我属于没有天花板的地方——也好，学地理的，天花板本来就是多余的。</w:t>
      </w:r>
    </w:p>
    <w:p w:rsidR="005211C0" w:rsidRDefault="00000000">
      <w:pPr>
        <w:ind w:firstLine="480"/>
        <w:jc w:val="both"/>
        <w:rPr>
          <w:rFonts w:ascii="楷体" w:eastAsia="楷体" w:hAnsi="楷体"/>
          <w:bCs/>
          <w:szCs w:val="24"/>
        </w:rPr>
      </w:pPr>
      <w:r>
        <w:rPr>
          <w:rFonts w:ascii="楷体" w:eastAsia="楷体" w:hAnsi="楷体" w:hint="eastAsia"/>
          <w:bCs/>
          <w:szCs w:val="24"/>
        </w:rPr>
        <w:t>中苑操场的看台和健身房接住了我所有的胡思乱想，但没人追问我在想什么。不追问真好。健美操队是个只管出汗不管出息的地方——什么都没想，但什么都很对。镜子照不出心事，只照见一群出汗数拍子的人。汗出够了就一起笑。</w:t>
      </w:r>
    </w:p>
    <w:p w:rsidR="005211C0" w:rsidRDefault="00000000">
      <w:pPr>
        <w:ind w:firstLine="480"/>
        <w:jc w:val="both"/>
        <w:rPr>
          <w:rFonts w:ascii="楷体" w:eastAsia="楷体" w:hAnsi="楷体"/>
          <w:bCs/>
          <w:szCs w:val="24"/>
        </w:rPr>
      </w:pPr>
      <w:r>
        <w:rPr>
          <w:rFonts w:ascii="楷体" w:eastAsia="楷体" w:hAnsi="楷体" w:hint="eastAsia"/>
          <w:bCs/>
          <w:szCs w:val="24"/>
        </w:rPr>
        <w:t>如果人生是一篇论文，我的文献综述一定写得乱七八糟，引用的文献互相打架，研究问题到了第三章还在改。但每次我以为走进了死胡同，回头看墙上总有点什么——有时候是一把锤子，有时候是一行字。</w:t>
      </w:r>
    </w:p>
    <w:p w:rsidR="005211C0" w:rsidRDefault="00000000">
      <w:pPr>
        <w:ind w:firstLine="480"/>
        <w:jc w:val="both"/>
        <w:rPr>
          <w:rFonts w:ascii="楷体" w:eastAsia="楷体" w:hAnsi="楷体"/>
          <w:bCs/>
          <w:szCs w:val="24"/>
        </w:rPr>
      </w:pPr>
      <w:r>
        <w:rPr>
          <w:rFonts w:ascii="楷体" w:eastAsia="楷体" w:hAnsi="楷体" w:hint="eastAsia"/>
          <w:bCs/>
          <w:szCs w:val="24"/>
        </w:rPr>
        <w:t>这几年我一直在赶路，赶着体面，赶着把自己变成一个"该"的样子。演了太久，好在现在至少不用演给自己看了。</w:t>
      </w:r>
    </w:p>
    <w:p w:rsidR="005211C0" w:rsidRDefault="00000000">
      <w:pPr>
        <w:ind w:firstLine="480"/>
        <w:jc w:val="both"/>
        <w:rPr>
          <w:rFonts w:ascii="楷体" w:eastAsia="楷体" w:hAnsi="楷体"/>
          <w:bCs/>
          <w:szCs w:val="24"/>
        </w:rPr>
      </w:pPr>
      <w:r>
        <w:rPr>
          <w:rFonts w:ascii="楷体" w:eastAsia="楷体" w:hAnsi="楷体" w:hint="eastAsia"/>
          <w:bCs/>
          <w:szCs w:val="24"/>
        </w:rPr>
        <w:t>我运气不错，走过的路不是直的，但每一段弯路都刚好避开了悬崖。</w:t>
      </w:r>
    </w:p>
    <w:p w:rsidR="005211C0" w:rsidRDefault="00000000">
      <w:pPr>
        <w:ind w:firstLine="480"/>
        <w:jc w:val="both"/>
        <w:rPr>
          <w:rFonts w:ascii="楷体" w:eastAsia="楷体" w:hAnsi="楷体"/>
          <w:bCs/>
          <w:szCs w:val="24"/>
        </w:rPr>
      </w:pPr>
      <w:r>
        <w:rPr>
          <w:rFonts w:ascii="楷体" w:eastAsia="楷体" w:hAnsi="楷体" w:hint="eastAsia"/>
          <w:bCs/>
          <w:szCs w:val="24"/>
        </w:rPr>
        <w:t>我不谢命运，命运不认识我。我谢那些在我弯路上踹我、拽我、陪我胡闹的人——你们不一定知道自己在做什么，但我看见了。</w:t>
      </w:r>
    </w:p>
    <w:p w:rsidR="005211C0" w:rsidRDefault="00000000">
      <w:pPr>
        <w:ind w:firstLine="480"/>
        <w:jc w:val="both"/>
        <w:rPr>
          <w:rFonts w:ascii="楷体" w:eastAsia="楷体" w:hAnsi="楷体"/>
          <w:bCs/>
          <w:szCs w:val="24"/>
        </w:rPr>
      </w:pPr>
      <w:r>
        <w:rPr>
          <w:rFonts w:ascii="楷体" w:eastAsia="楷体" w:hAnsi="楷体" w:hint="eastAsia"/>
          <w:bCs/>
          <w:szCs w:val="24"/>
        </w:rPr>
        <w:t>"嘿，谢谢你在。"不写了，我请你吃顿饭。</w:t>
      </w:r>
    </w:p>
    <w:p w:rsidR="005211C0" w:rsidRDefault="00000000">
      <w:pPr>
        <w:ind w:firstLine="480"/>
        <w:jc w:val="both"/>
        <w:rPr>
          <w:rFonts w:ascii="楷体" w:eastAsia="楷体" w:hAnsi="楷体"/>
          <w:bCs/>
        </w:rPr>
      </w:pPr>
      <w:r>
        <w:rPr>
          <w:rFonts w:ascii="楷体" w:eastAsia="楷体" w:hAnsi="楷体" w:hint="eastAsia"/>
          <w:bCs/>
        </w:rPr>
        <w:t>写完这段的时候天快亮了。还行。</w:t>
      </w:r>
    </w:p>
    <w:p w:rsidR="005211C0" w:rsidRDefault="00000000">
      <w:pPr>
        <w:ind w:firstLine="480"/>
        <w:jc w:val="both"/>
        <w:rPr>
          <w:rFonts w:ascii="楷体" w:eastAsia="楷体" w:hAnsi="楷体"/>
          <w:bCs/>
        </w:rPr>
      </w:pPr>
      <w:r>
        <w:rPr>
          <w:rFonts w:ascii="楷体" w:eastAsia="楷体" w:hAnsi="楷体" w:hint="eastAsia"/>
          <w:bCs/>
        </w:rPr>
        <w:t>我还没到站。</w:t>
      </w:r>
    </w:p>
    <w:p w:rsidR="005211C0" w:rsidRDefault="00000000">
      <w:pPr>
        <w:spacing w:line="240" w:lineRule="auto"/>
        <w:ind w:firstLineChars="0" w:firstLine="0"/>
        <w:jc w:val="both"/>
        <w:rPr>
          <w:rFonts w:ascii="楷体" w:eastAsia="楷体" w:hAnsi="楷体"/>
          <w:bCs/>
        </w:rPr>
      </w:pPr>
      <w:r>
        <w:rPr>
          <w:rFonts w:ascii="楷体" w:eastAsia="楷体" w:hAnsi="楷体"/>
          <w:bCs/>
        </w:rPr>
        <w:br w:type="page"/>
      </w:r>
    </w:p>
    <w:p w:rsidR="005211C0" w:rsidRDefault="00000000">
      <w:pPr>
        <w:pStyle w:val="1"/>
        <w:ind w:firstLineChars="0" w:firstLine="0"/>
        <w:jc w:val="center"/>
      </w:pPr>
      <w:bookmarkStart w:id="31" w:name="_Toc230099595"/>
      <w:r>
        <w:rPr>
          <w:rFonts w:hint="eastAsia"/>
        </w:rPr>
        <w:lastRenderedPageBreak/>
        <w:t>附　　　录</w:t>
      </w:r>
      <w:bookmarkEnd w:id="31"/>
    </w:p>
    <w:p w:rsidR="005211C0" w:rsidRDefault="00000000">
      <w:pPr>
        <w:ind w:firstLine="480"/>
        <w:jc w:val="both"/>
        <w:rPr>
          <w:rFonts w:ascii="楷体" w:eastAsia="楷体" w:hAnsi="楷体"/>
          <w:bCs/>
          <w:szCs w:val="24"/>
        </w:rPr>
      </w:pPr>
      <w:r>
        <w:rPr>
          <w:rFonts w:ascii="楷体" w:eastAsia="楷体" w:hAnsi="楷体" w:hint="eastAsia"/>
          <w:bCs/>
          <w:szCs w:val="24"/>
        </w:rPr>
        <w:t>表 附</w:t>
      </w:r>
      <w:r>
        <w:rPr>
          <w:rFonts w:eastAsia="楷体"/>
          <w:bCs/>
          <w:szCs w:val="24"/>
        </w:rPr>
        <w:t>-1</w:t>
      </w:r>
      <w:r>
        <w:rPr>
          <w:rFonts w:ascii="楷体" w:eastAsia="楷体" w:hAnsi="楷体" w:hint="eastAsia"/>
          <w:bCs/>
          <w:szCs w:val="24"/>
        </w:rPr>
        <w:t xml:space="preserve"> 各指标维度内熵权与最终权重</w:t>
      </w:r>
    </w:p>
    <w:tbl>
      <w:tblPr>
        <w:tblW w:w="0" w:type="auto"/>
        <w:jc w:val="center"/>
        <w:tblBorders>
          <w:top w:val="single" w:sz="12" w:space="0" w:color="000000"/>
          <w:bottom w:val="single" w:sz="12" w:space="0" w:color="000000"/>
          <w:insideH w:val="single" w:sz="4" w:space="0" w:color="000000"/>
        </w:tblBorders>
        <w:tblLook w:val="04A0" w:firstRow="1" w:lastRow="0" w:firstColumn="1" w:lastColumn="0" w:noHBand="0" w:noVBand="1"/>
      </w:tblPr>
      <w:tblGrid>
        <w:gridCol w:w="1728"/>
        <w:gridCol w:w="2241"/>
        <w:gridCol w:w="1701"/>
        <w:gridCol w:w="1600"/>
        <w:gridCol w:w="128"/>
      </w:tblGrid>
      <w:tr w:rsidR="005211C0">
        <w:trPr>
          <w:jc w:val="center"/>
        </w:trPr>
        <w:tc>
          <w:tcPr>
            <w:tcW w:w="1728" w:type="dxa"/>
            <w:tcBorders>
              <w:top w:val="single" w:sz="12" w:space="0" w:color="000000"/>
              <w:left w:val="nil"/>
              <w:bottom w:val="single" w:sz="4" w:space="0" w:color="000000"/>
              <w:right w:val="nil"/>
            </w:tcBorders>
          </w:tcPr>
          <w:p w:rsidR="005211C0" w:rsidRDefault="00000000">
            <w:pPr>
              <w:pStyle w:val="af3"/>
              <w:ind w:firstLine="315"/>
              <w:jc w:val="both"/>
              <w:rPr>
                <w:b/>
                <w:bCs w:val="0"/>
              </w:rPr>
            </w:pPr>
            <w:r>
              <w:rPr>
                <w:b/>
                <w:bCs w:val="0"/>
              </w:rPr>
              <w:t>维度</w:t>
            </w:r>
          </w:p>
        </w:tc>
        <w:tc>
          <w:tcPr>
            <w:tcW w:w="2241" w:type="dxa"/>
            <w:tcBorders>
              <w:top w:val="single" w:sz="12" w:space="0" w:color="000000"/>
              <w:left w:val="nil"/>
              <w:bottom w:val="single" w:sz="4" w:space="0" w:color="000000"/>
              <w:right w:val="nil"/>
            </w:tcBorders>
          </w:tcPr>
          <w:p w:rsidR="005211C0" w:rsidRDefault="00000000">
            <w:pPr>
              <w:pStyle w:val="af3"/>
              <w:ind w:firstLine="315"/>
              <w:jc w:val="both"/>
              <w:rPr>
                <w:b/>
                <w:bCs w:val="0"/>
              </w:rPr>
            </w:pPr>
            <w:r>
              <w:rPr>
                <w:b/>
                <w:bCs w:val="0"/>
              </w:rPr>
              <w:t>指标名称</w:t>
            </w:r>
          </w:p>
        </w:tc>
        <w:tc>
          <w:tcPr>
            <w:tcW w:w="1701" w:type="dxa"/>
            <w:tcBorders>
              <w:top w:val="single" w:sz="12" w:space="0" w:color="000000"/>
              <w:left w:val="nil"/>
              <w:bottom w:val="single" w:sz="4" w:space="0" w:color="000000"/>
              <w:right w:val="nil"/>
            </w:tcBorders>
          </w:tcPr>
          <w:p w:rsidR="005211C0" w:rsidRDefault="00000000">
            <w:pPr>
              <w:pStyle w:val="af3"/>
              <w:ind w:firstLine="315"/>
              <w:jc w:val="both"/>
              <w:rPr>
                <w:b/>
                <w:bCs w:val="0"/>
              </w:rPr>
            </w:pPr>
            <w:r>
              <w:rPr>
                <w:rFonts w:hint="eastAsia"/>
                <w:b/>
                <w:bCs w:val="0"/>
              </w:rPr>
              <w:t>维度内熵权</w:t>
            </w:r>
          </w:p>
        </w:tc>
        <w:tc>
          <w:tcPr>
            <w:tcW w:w="1728" w:type="dxa"/>
            <w:gridSpan w:val="2"/>
            <w:tcBorders>
              <w:top w:val="single" w:sz="12" w:space="0" w:color="000000"/>
              <w:left w:val="nil"/>
              <w:bottom w:val="single" w:sz="4" w:space="0" w:color="000000"/>
              <w:right w:val="nil"/>
            </w:tcBorders>
          </w:tcPr>
          <w:p w:rsidR="005211C0" w:rsidRDefault="00000000">
            <w:pPr>
              <w:pStyle w:val="af3"/>
              <w:ind w:firstLine="315"/>
              <w:jc w:val="both"/>
              <w:rPr>
                <w:b/>
                <w:bCs w:val="0"/>
              </w:rPr>
            </w:pPr>
            <w:r>
              <w:rPr>
                <w:rFonts w:hint="eastAsia"/>
                <w:b/>
                <w:bCs w:val="0"/>
              </w:rPr>
              <w:t>最终权重</w:t>
            </w:r>
          </w:p>
        </w:tc>
      </w:tr>
      <w:tr w:rsidR="005211C0">
        <w:trPr>
          <w:gridAfter w:val="1"/>
          <w:wAfter w:w="128" w:type="dxa"/>
          <w:jc w:val="center"/>
        </w:trPr>
        <w:tc>
          <w:tcPr>
            <w:tcW w:w="1728" w:type="dxa"/>
            <w:vMerge w:val="restart"/>
            <w:tcBorders>
              <w:top w:val="single" w:sz="4" w:space="0" w:color="000000"/>
              <w:left w:val="nil"/>
              <w:right w:val="nil"/>
            </w:tcBorders>
          </w:tcPr>
          <w:p w:rsidR="005211C0" w:rsidRDefault="00000000">
            <w:pPr>
              <w:pStyle w:val="af3"/>
              <w:jc w:val="both"/>
              <w:rPr>
                <w:b/>
                <w:bCs w:val="0"/>
              </w:rPr>
            </w:pPr>
            <w:r>
              <w:rPr>
                <w:b/>
                <w:bCs w:val="0"/>
              </w:rPr>
              <w:t>D1</w:t>
            </w:r>
            <w:r>
              <w:rPr>
                <w:rFonts w:hint="eastAsia"/>
                <w:b/>
                <w:bCs w:val="0"/>
              </w:rPr>
              <w:t>人类活动</w:t>
            </w:r>
          </w:p>
        </w:tc>
        <w:tc>
          <w:tcPr>
            <w:tcW w:w="2241" w:type="dxa"/>
            <w:tcBorders>
              <w:top w:val="single" w:sz="4" w:space="0" w:color="000000"/>
              <w:left w:val="nil"/>
              <w:bottom w:val="single" w:sz="4" w:space="0" w:color="000000"/>
              <w:right w:val="nil"/>
            </w:tcBorders>
          </w:tcPr>
          <w:p w:rsidR="005211C0" w:rsidRDefault="00000000">
            <w:pPr>
              <w:pStyle w:val="af3"/>
              <w:ind w:firstLine="315"/>
              <w:jc w:val="both"/>
            </w:pPr>
            <w:r>
              <w:rPr>
                <w:rFonts w:hint="eastAsia"/>
              </w:rPr>
              <w:t>人口密度</w:t>
            </w:r>
          </w:p>
        </w:tc>
        <w:tc>
          <w:tcPr>
            <w:tcW w:w="1701" w:type="dxa"/>
            <w:tcBorders>
              <w:top w:val="single" w:sz="4" w:space="0" w:color="000000"/>
              <w:left w:val="nil"/>
              <w:bottom w:val="single" w:sz="4" w:space="0" w:color="000000"/>
              <w:right w:val="nil"/>
            </w:tcBorders>
          </w:tcPr>
          <w:p w:rsidR="005211C0" w:rsidRDefault="00000000">
            <w:pPr>
              <w:pStyle w:val="af3"/>
              <w:ind w:firstLine="315"/>
              <w:jc w:val="both"/>
            </w:pPr>
            <w:r>
              <w:t>0.443382</w:t>
            </w:r>
          </w:p>
        </w:tc>
        <w:tc>
          <w:tcPr>
            <w:tcW w:w="1600" w:type="dxa"/>
            <w:tcBorders>
              <w:top w:val="single" w:sz="4" w:space="0" w:color="000000"/>
              <w:left w:val="nil"/>
              <w:bottom w:val="single" w:sz="4" w:space="0" w:color="000000"/>
              <w:right w:val="nil"/>
            </w:tcBorders>
          </w:tcPr>
          <w:p w:rsidR="005211C0" w:rsidRDefault="00000000">
            <w:pPr>
              <w:pStyle w:val="af3"/>
              <w:ind w:firstLine="315"/>
              <w:jc w:val="both"/>
            </w:pPr>
            <w:r>
              <w:t>0.110846</w:t>
            </w:r>
          </w:p>
        </w:tc>
      </w:tr>
      <w:tr w:rsidR="005211C0">
        <w:trPr>
          <w:gridAfter w:val="1"/>
          <w:wAfter w:w="128" w:type="dxa"/>
          <w:jc w:val="center"/>
        </w:trPr>
        <w:tc>
          <w:tcPr>
            <w:tcW w:w="1728" w:type="dxa"/>
            <w:vMerge/>
            <w:tcBorders>
              <w:left w:val="nil"/>
              <w:right w:val="nil"/>
            </w:tcBorders>
          </w:tcPr>
          <w:p w:rsidR="005211C0" w:rsidRDefault="005211C0">
            <w:pPr>
              <w:pStyle w:val="af3"/>
              <w:ind w:firstLine="315"/>
              <w:jc w:val="both"/>
              <w:rPr>
                <w:b/>
                <w:bCs w:val="0"/>
              </w:rPr>
            </w:pPr>
          </w:p>
        </w:tc>
        <w:tc>
          <w:tcPr>
            <w:tcW w:w="2241" w:type="dxa"/>
            <w:tcBorders>
              <w:top w:val="single" w:sz="4" w:space="0" w:color="000000"/>
              <w:left w:val="nil"/>
              <w:bottom w:val="single" w:sz="4" w:space="0" w:color="000000"/>
              <w:right w:val="nil"/>
            </w:tcBorders>
          </w:tcPr>
          <w:p w:rsidR="005211C0" w:rsidRDefault="00000000">
            <w:pPr>
              <w:pStyle w:val="af3"/>
              <w:ind w:firstLine="315"/>
              <w:jc w:val="both"/>
            </w:pPr>
            <w:r>
              <w:t>夜间灯光强度</w:t>
            </w:r>
          </w:p>
        </w:tc>
        <w:tc>
          <w:tcPr>
            <w:tcW w:w="1701" w:type="dxa"/>
            <w:tcBorders>
              <w:top w:val="single" w:sz="4" w:space="0" w:color="000000"/>
              <w:left w:val="nil"/>
              <w:bottom w:val="single" w:sz="4" w:space="0" w:color="000000"/>
              <w:right w:val="nil"/>
            </w:tcBorders>
          </w:tcPr>
          <w:p w:rsidR="005211C0" w:rsidRDefault="00000000">
            <w:pPr>
              <w:pStyle w:val="af3"/>
              <w:ind w:firstLine="315"/>
              <w:jc w:val="both"/>
            </w:pPr>
            <w:r>
              <w:t>0.117071</w:t>
            </w:r>
          </w:p>
        </w:tc>
        <w:tc>
          <w:tcPr>
            <w:tcW w:w="1600" w:type="dxa"/>
            <w:tcBorders>
              <w:top w:val="single" w:sz="4" w:space="0" w:color="000000"/>
              <w:left w:val="nil"/>
              <w:bottom w:val="single" w:sz="4" w:space="0" w:color="000000"/>
              <w:right w:val="nil"/>
            </w:tcBorders>
          </w:tcPr>
          <w:p w:rsidR="005211C0" w:rsidRDefault="00000000">
            <w:pPr>
              <w:pStyle w:val="af3"/>
              <w:ind w:firstLine="315"/>
              <w:jc w:val="both"/>
            </w:pPr>
            <w:r>
              <w:t>0.029268</w:t>
            </w:r>
          </w:p>
        </w:tc>
      </w:tr>
      <w:tr w:rsidR="005211C0">
        <w:trPr>
          <w:gridAfter w:val="1"/>
          <w:wAfter w:w="128" w:type="dxa"/>
          <w:jc w:val="center"/>
        </w:trPr>
        <w:tc>
          <w:tcPr>
            <w:tcW w:w="1728" w:type="dxa"/>
            <w:vMerge/>
            <w:tcBorders>
              <w:left w:val="nil"/>
              <w:bottom w:val="single" w:sz="4" w:space="0" w:color="000000"/>
              <w:right w:val="nil"/>
            </w:tcBorders>
          </w:tcPr>
          <w:p w:rsidR="005211C0" w:rsidRDefault="005211C0">
            <w:pPr>
              <w:pStyle w:val="af3"/>
              <w:ind w:firstLine="315"/>
              <w:jc w:val="both"/>
              <w:rPr>
                <w:b/>
                <w:bCs w:val="0"/>
              </w:rPr>
            </w:pPr>
          </w:p>
        </w:tc>
        <w:tc>
          <w:tcPr>
            <w:tcW w:w="2241" w:type="dxa"/>
            <w:tcBorders>
              <w:top w:val="single" w:sz="4" w:space="0" w:color="000000"/>
              <w:left w:val="nil"/>
              <w:bottom w:val="single" w:sz="4" w:space="0" w:color="000000"/>
              <w:right w:val="nil"/>
            </w:tcBorders>
          </w:tcPr>
          <w:p w:rsidR="005211C0" w:rsidRDefault="00000000">
            <w:pPr>
              <w:pStyle w:val="af3"/>
              <w:ind w:firstLine="315"/>
              <w:jc w:val="both"/>
            </w:pPr>
            <w:r>
              <w:t>耕地比例</w:t>
            </w:r>
          </w:p>
        </w:tc>
        <w:tc>
          <w:tcPr>
            <w:tcW w:w="1701" w:type="dxa"/>
            <w:tcBorders>
              <w:top w:val="single" w:sz="4" w:space="0" w:color="000000"/>
              <w:left w:val="nil"/>
              <w:bottom w:val="single" w:sz="4" w:space="0" w:color="000000"/>
              <w:right w:val="nil"/>
            </w:tcBorders>
          </w:tcPr>
          <w:p w:rsidR="005211C0" w:rsidRDefault="00000000">
            <w:pPr>
              <w:pStyle w:val="af3"/>
              <w:ind w:firstLine="315"/>
              <w:jc w:val="both"/>
            </w:pPr>
            <w:r>
              <w:t>0.439546</w:t>
            </w:r>
          </w:p>
        </w:tc>
        <w:tc>
          <w:tcPr>
            <w:tcW w:w="1600" w:type="dxa"/>
            <w:tcBorders>
              <w:top w:val="single" w:sz="4" w:space="0" w:color="000000"/>
              <w:left w:val="nil"/>
              <w:bottom w:val="single" w:sz="4" w:space="0" w:color="000000"/>
              <w:right w:val="nil"/>
            </w:tcBorders>
          </w:tcPr>
          <w:p w:rsidR="005211C0" w:rsidRDefault="00000000">
            <w:pPr>
              <w:pStyle w:val="af3"/>
              <w:ind w:firstLine="315"/>
              <w:jc w:val="both"/>
            </w:pPr>
            <w:r>
              <w:t>0.109887</w:t>
            </w:r>
          </w:p>
        </w:tc>
      </w:tr>
      <w:tr w:rsidR="005211C0">
        <w:trPr>
          <w:gridAfter w:val="1"/>
          <w:wAfter w:w="128" w:type="dxa"/>
          <w:jc w:val="center"/>
        </w:trPr>
        <w:tc>
          <w:tcPr>
            <w:tcW w:w="1728" w:type="dxa"/>
            <w:vMerge w:val="restart"/>
            <w:tcBorders>
              <w:top w:val="single" w:sz="4" w:space="0" w:color="000000"/>
              <w:left w:val="nil"/>
              <w:right w:val="nil"/>
            </w:tcBorders>
          </w:tcPr>
          <w:p w:rsidR="005211C0" w:rsidRDefault="00000000">
            <w:pPr>
              <w:pStyle w:val="af3"/>
              <w:jc w:val="both"/>
              <w:rPr>
                <w:b/>
                <w:bCs w:val="0"/>
              </w:rPr>
            </w:pPr>
            <w:r>
              <w:rPr>
                <w:b/>
                <w:bCs w:val="0"/>
              </w:rPr>
              <w:t>D</w:t>
            </w:r>
            <w:r>
              <w:rPr>
                <w:rFonts w:hint="eastAsia"/>
                <w:b/>
                <w:bCs w:val="0"/>
              </w:rPr>
              <w:t xml:space="preserve">2 </w:t>
            </w:r>
            <w:r>
              <w:rPr>
                <w:rFonts w:hint="eastAsia"/>
                <w:b/>
                <w:bCs w:val="0"/>
              </w:rPr>
              <w:t>通</w:t>
            </w:r>
            <w:r>
              <w:rPr>
                <w:b/>
                <w:bCs w:val="0"/>
              </w:rPr>
              <w:t>达性</w:t>
            </w:r>
          </w:p>
        </w:tc>
        <w:tc>
          <w:tcPr>
            <w:tcW w:w="2241" w:type="dxa"/>
            <w:tcBorders>
              <w:top w:val="single" w:sz="4" w:space="0" w:color="000000"/>
              <w:left w:val="nil"/>
              <w:bottom w:val="single" w:sz="4" w:space="0" w:color="000000"/>
              <w:right w:val="nil"/>
            </w:tcBorders>
          </w:tcPr>
          <w:p w:rsidR="005211C0" w:rsidRDefault="00000000">
            <w:pPr>
              <w:pStyle w:val="af3"/>
              <w:ind w:firstLine="315"/>
              <w:jc w:val="both"/>
            </w:pPr>
            <w:r>
              <w:t>距边境口岸距离</w:t>
            </w:r>
          </w:p>
        </w:tc>
        <w:tc>
          <w:tcPr>
            <w:tcW w:w="1701" w:type="dxa"/>
            <w:tcBorders>
              <w:top w:val="single" w:sz="4" w:space="0" w:color="000000"/>
              <w:left w:val="nil"/>
              <w:bottom w:val="single" w:sz="4" w:space="0" w:color="000000"/>
              <w:right w:val="nil"/>
            </w:tcBorders>
          </w:tcPr>
          <w:p w:rsidR="005211C0" w:rsidRDefault="00000000">
            <w:pPr>
              <w:pStyle w:val="af3"/>
              <w:ind w:firstLine="315"/>
              <w:jc w:val="both"/>
            </w:pPr>
            <w:r>
              <w:t>0.320862</w:t>
            </w:r>
          </w:p>
        </w:tc>
        <w:tc>
          <w:tcPr>
            <w:tcW w:w="1600" w:type="dxa"/>
            <w:tcBorders>
              <w:top w:val="single" w:sz="4" w:space="0" w:color="000000"/>
              <w:left w:val="nil"/>
              <w:bottom w:val="single" w:sz="4" w:space="0" w:color="000000"/>
              <w:right w:val="nil"/>
            </w:tcBorders>
          </w:tcPr>
          <w:p w:rsidR="005211C0" w:rsidRDefault="00000000">
            <w:pPr>
              <w:pStyle w:val="af3"/>
              <w:ind w:firstLine="315"/>
              <w:jc w:val="both"/>
            </w:pPr>
            <w:r>
              <w:t>0.080216</w:t>
            </w:r>
          </w:p>
        </w:tc>
      </w:tr>
      <w:tr w:rsidR="005211C0">
        <w:trPr>
          <w:gridAfter w:val="1"/>
          <w:wAfter w:w="128" w:type="dxa"/>
          <w:jc w:val="center"/>
        </w:trPr>
        <w:tc>
          <w:tcPr>
            <w:tcW w:w="1728" w:type="dxa"/>
            <w:vMerge/>
            <w:tcBorders>
              <w:left w:val="nil"/>
              <w:right w:val="nil"/>
            </w:tcBorders>
          </w:tcPr>
          <w:p w:rsidR="005211C0" w:rsidRDefault="005211C0">
            <w:pPr>
              <w:pStyle w:val="af3"/>
              <w:ind w:firstLine="315"/>
              <w:jc w:val="both"/>
              <w:rPr>
                <w:b/>
                <w:bCs w:val="0"/>
              </w:rPr>
            </w:pPr>
          </w:p>
        </w:tc>
        <w:tc>
          <w:tcPr>
            <w:tcW w:w="2241" w:type="dxa"/>
            <w:tcBorders>
              <w:top w:val="single" w:sz="4" w:space="0" w:color="000000"/>
              <w:left w:val="nil"/>
              <w:bottom w:val="single" w:sz="4" w:space="0" w:color="000000"/>
              <w:right w:val="nil"/>
            </w:tcBorders>
          </w:tcPr>
          <w:p w:rsidR="005211C0" w:rsidRDefault="00000000">
            <w:pPr>
              <w:pStyle w:val="af3"/>
              <w:ind w:firstLine="315"/>
              <w:jc w:val="both"/>
            </w:pPr>
            <w:r>
              <w:t>距城市距离</w:t>
            </w:r>
          </w:p>
        </w:tc>
        <w:tc>
          <w:tcPr>
            <w:tcW w:w="1701" w:type="dxa"/>
            <w:tcBorders>
              <w:top w:val="single" w:sz="4" w:space="0" w:color="000000"/>
              <w:left w:val="nil"/>
              <w:bottom w:val="single" w:sz="4" w:space="0" w:color="000000"/>
              <w:right w:val="nil"/>
            </w:tcBorders>
          </w:tcPr>
          <w:p w:rsidR="005211C0" w:rsidRDefault="00000000">
            <w:pPr>
              <w:pStyle w:val="af3"/>
              <w:ind w:firstLine="315"/>
              <w:jc w:val="both"/>
            </w:pPr>
            <w:r>
              <w:t>0.393042</w:t>
            </w:r>
          </w:p>
        </w:tc>
        <w:tc>
          <w:tcPr>
            <w:tcW w:w="1600" w:type="dxa"/>
            <w:tcBorders>
              <w:top w:val="single" w:sz="4" w:space="0" w:color="000000"/>
              <w:left w:val="nil"/>
              <w:bottom w:val="single" w:sz="4" w:space="0" w:color="000000"/>
              <w:right w:val="nil"/>
            </w:tcBorders>
          </w:tcPr>
          <w:p w:rsidR="005211C0" w:rsidRDefault="00000000">
            <w:pPr>
              <w:pStyle w:val="af3"/>
              <w:ind w:firstLine="315"/>
              <w:jc w:val="both"/>
            </w:pPr>
            <w:r>
              <w:t>0.098260</w:t>
            </w:r>
          </w:p>
        </w:tc>
      </w:tr>
      <w:tr w:rsidR="005211C0">
        <w:trPr>
          <w:gridAfter w:val="1"/>
          <w:wAfter w:w="128" w:type="dxa"/>
          <w:jc w:val="center"/>
        </w:trPr>
        <w:tc>
          <w:tcPr>
            <w:tcW w:w="1728" w:type="dxa"/>
            <w:vMerge/>
            <w:tcBorders>
              <w:left w:val="nil"/>
              <w:bottom w:val="single" w:sz="4" w:space="0" w:color="000000"/>
              <w:right w:val="nil"/>
            </w:tcBorders>
          </w:tcPr>
          <w:p w:rsidR="005211C0" w:rsidRDefault="005211C0">
            <w:pPr>
              <w:pStyle w:val="af3"/>
              <w:ind w:firstLine="315"/>
              <w:jc w:val="both"/>
              <w:rPr>
                <w:b/>
                <w:bCs w:val="0"/>
              </w:rPr>
            </w:pPr>
          </w:p>
        </w:tc>
        <w:tc>
          <w:tcPr>
            <w:tcW w:w="2241" w:type="dxa"/>
            <w:tcBorders>
              <w:top w:val="single" w:sz="4" w:space="0" w:color="000000"/>
              <w:left w:val="nil"/>
              <w:bottom w:val="single" w:sz="4" w:space="0" w:color="000000"/>
              <w:right w:val="nil"/>
            </w:tcBorders>
          </w:tcPr>
          <w:p w:rsidR="005211C0" w:rsidRDefault="00000000">
            <w:pPr>
              <w:pStyle w:val="af3"/>
              <w:ind w:firstLine="315"/>
              <w:jc w:val="both"/>
            </w:pPr>
            <w:r>
              <w:t>距道路距离</w:t>
            </w:r>
          </w:p>
        </w:tc>
        <w:tc>
          <w:tcPr>
            <w:tcW w:w="1701" w:type="dxa"/>
            <w:tcBorders>
              <w:top w:val="single" w:sz="4" w:space="0" w:color="000000"/>
              <w:left w:val="nil"/>
              <w:bottom w:val="single" w:sz="4" w:space="0" w:color="000000"/>
              <w:right w:val="nil"/>
            </w:tcBorders>
          </w:tcPr>
          <w:p w:rsidR="005211C0" w:rsidRDefault="00000000">
            <w:pPr>
              <w:pStyle w:val="af3"/>
              <w:ind w:firstLine="315"/>
              <w:jc w:val="both"/>
            </w:pPr>
            <w:r>
              <w:t>0.286096</w:t>
            </w:r>
          </w:p>
        </w:tc>
        <w:tc>
          <w:tcPr>
            <w:tcW w:w="1600" w:type="dxa"/>
            <w:tcBorders>
              <w:top w:val="single" w:sz="4" w:space="0" w:color="000000"/>
              <w:left w:val="nil"/>
              <w:bottom w:val="single" w:sz="4" w:space="0" w:color="000000"/>
              <w:right w:val="nil"/>
            </w:tcBorders>
          </w:tcPr>
          <w:p w:rsidR="005211C0" w:rsidRDefault="00000000">
            <w:pPr>
              <w:pStyle w:val="af3"/>
              <w:ind w:firstLine="315"/>
              <w:jc w:val="both"/>
            </w:pPr>
            <w:r>
              <w:t>0.071524</w:t>
            </w:r>
          </w:p>
        </w:tc>
      </w:tr>
      <w:tr w:rsidR="005211C0">
        <w:trPr>
          <w:gridAfter w:val="1"/>
          <w:wAfter w:w="128" w:type="dxa"/>
          <w:jc w:val="center"/>
        </w:trPr>
        <w:tc>
          <w:tcPr>
            <w:tcW w:w="1728" w:type="dxa"/>
            <w:vMerge w:val="restart"/>
            <w:tcBorders>
              <w:top w:val="single" w:sz="4" w:space="0" w:color="000000"/>
              <w:left w:val="nil"/>
              <w:right w:val="nil"/>
            </w:tcBorders>
          </w:tcPr>
          <w:p w:rsidR="005211C0" w:rsidRDefault="00000000">
            <w:pPr>
              <w:pStyle w:val="af3"/>
              <w:jc w:val="both"/>
              <w:rPr>
                <w:b/>
                <w:bCs w:val="0"/>
              </w:rPr>
            </w:pPr>
            <w:r>
              <w:rPr>
                <w:b/>
                <w:bCs w:val="0"/>
              </w:rPr>
              <w:t>D3</w:t>
            </w:r>
            <w:r>
              <w:rPr>
                <w:rFonts w:hint="eastAsia"/>
                <w:b/>
                <w:bCs w:val="0"/>
              </w:rPr>
              <w:t xml:space="preserve"> </w:t>
            </w:r>
            <w:r>
              <w:rPr>
                <w:b/>
                <w:bCs w:val="0"/>
              </w:rPr>
              <w:t>生态状态</w:t>
            </w:r>
          </w:p>
        </w:tc>
        <w:tc>
          <w:tcPr>
            <w:tcW w:w="2241" w:type="dxa"/>
            <w:tcBorders>
              <w:top w:val="single" w:sz="4" w:space="0" w:color="000000"/>
              <w:left w:val="nil"/>
              <w:bottom w:val="single" w:sz="4" w:space="0" w:color="000000"/>
              <w:right w:val="nil"/>
            </w:tcBorders>
          </w:tcPr>
          <w:p w:rsidR="005211C0" w:rsidRDefault="00000000">
            <w:pPr>
              <w:pStyle w:val="af3"/>
              <w:ind w:firstLine="315"/>
              <w:jc w:val="both"/>
            </w:pPr>
            <w:r>
              <w:t>NDVI</w:t>
            </w:r>
          </w:p>
        </w:tc>
        <w:tc>
          <w:tcPr>
            <w:tcW w:w="1701" w:type="dxa"/>
            <w:tcBorders>
              <w:top w:val="single" w:sz="4" w:space="0" w:color="000000"/>
              <w:left w:val="nil"/>
              <w:bottom w:val="single" w:sz="4" w:space="0" w:color="000000"/>
              <w:right w:val="nil"/>
            </w:tcBorders>
          </w:tcPr>
          <w:p w:rsidR="005211C0" w:rsidRDefault="00000000">
            <w:pPr>
              <w:pStyle w:val="af3"/>
              <w:ind w:firstLine="315"/>
              <w:jc w:val="both"/>
            </w:pPr>
            <w:r>
              <w:t>0.063755</w:t>
            </w:r>
          </w:p>
        </w:tc>
        <w:tc>
          <w:tcPr>
            <w:tcW w:w="1600" w:type="dxa"/>
            <w:tcBorders>
              <w:top w:val="single" w:sz="4" w:space="0" w:color="000000"/>
              <w:left w:val="nil"/>
              <w:bottom w:val="single" w:sz="4" w:space="0" w:color="000000"/>
              <w:right w:val="nil"/>
            </w:tcBorders>
          </w:tcPr>
          <w:p w:rsidR="005211C0" w:rsidRDefault="00000000">
            <w:pPr>
              <w:pStyle w:val="af3"/>
              <w:ind w:firstLine="315"/>
              <w:jc w:val="both"/>
            </w:pPr>
            <w:r>
              <w:t>0.015939</w:t>
            </w:r>
          </w:p>
        </w:tc>
      </w:tr>
      <w:tr w:rsidR="005211C0">
        <w:trPr>
          <w:gridAfter w:val="1"/>
          <w:wAfter w:w="128" w:type="dxa"/>
          <w:jc w:val="center"/>
        </w:trPr>
        <w:tc>
          <w:tcPr>
            <w:tcW w:w="1728" w:type="dxa"/>
            <w:vMerge/>
            <w:tcBorders>
              <w:left w:val="nil"/>
              <w:right w:val="nil"/>
            </w:tcBorders>
          </w:tcPr>
          <w:p w:rsidR="005211C0" w:rsidRDefault="005211C0">
            <w:pPr>
              <w:pStyle w:val="af3"/>
              <w:ind w:firstLine="315"/>
              <w:jc w:val="both"/>
              <w:rPr>
                <w:b/>
                <w:bCs w:val="0"/>
              </w:rPr>
            </w:pPr>
          </w:p>
        </w:tc>
        <w:tc>
          <w:tcPr>
            <w:tcW w:w="2241" w:type="dxa"/>
            <w:tcBorders>
              <w:top w:val="single" w:sz="4" w:space="0" w:color="000000"/>
              <w:left w:val="nil"/>
              <w:bottom w:val="single" w:sz="4" w:space="0" w:color="000000"/>
              <w:right w:val="nil"/>
            </w:tcBorders>
          </w:tcPr>
          <w:p w:rsidR="005211C0" w:rsidRDefault="00000000">
            <w:pPr>
              <w:pStyle w:val="af3"/>
              <w:ind w:firstLine="315"/>
              <w:jc w:val="both"/>
            </w:pPr>
            <w:r>
              <w:t>林地覆盖率</w:t>
            </w:r>
          </w:p>
        </w:tc>
        <w:tc>
          <w:tcPr>
            <w:tcW w:w="1701" w:type="dxa"/>
            <w:tcBorders>
              <w:top w:val="single" w:sz="4" w:space="0" w:color="000000"/>
              <w:left w:val="nil"/>
              <w:bottom w:val="single" w:sz="4" w:space="0" w:color="000000"/>
              <w:right w:val="nil"/>
            </w:tcBorders>
          </w:tcPr>
          <w:p w:rsidR="005211C0" w:rsidRDefault="00000000">
            <w:pPr>
              <w:pStyle w:val="af3"/>
              <w:ind w:firstLine="315"/>
              <w:jc w:val="both"/>
            </w:pPr>
            <w:r>
              <w:t>0.835920</w:t>
            </w:r>
          </w:p>
        </w:tc>
        <w:tc>
          <w:tcPr>
            <w:tcW w:w="1600" w:type="dxa"/>
            <w:tcBorders>
              <w:top w:val="single" w:sz="4" w:space="0" w:color="000000"/>
              <w:left w:val="nil"/>
              <w:bottom w:val="single" w:sz="4" w:space="0" w:color="000000"/>
              <w:right w:val="nil"/>
            </w:tcBorders>
          </w:tcPr>
          <w:p w:rsidR="005211C0" w:rsidRDefault="00000000">
            <w:pPr>
              <w:pStyle w:val="af3"/>
              <w:ind w:firstLine="315"/>
              <w:jc w:val="both"/>
            </w:pPr>
            <w:r>
              <w:t>0.208980</w:t>
            </w:r>
          </w:p>
        </w:tc>
      </w:tr>
      <w:tr w:rsidR="005211C0">
        <w:trPr>
          <w:gridAfter w:val="1"/>
          <w:wAfter w:w="128" w:type="dxa"/>
          <w:jc w:val="center"/>
        </w:trPr>
        <w:tc>
          <w:tcPr>
            <w:tcW w:w="1728" w:type="dxa"/>
            <w:vMerge/>
            <w:tcBorders>
              <w:left w:val="nil"/>
              <w:bottom w:val="single" w:sz="4" w:space="0" w:color="000000"/>
              <w:right w:val="nil"/>
            </w:tcBorders>
          </w:tcPr>
          <w:p w:rsidR="005211C0" w:rsidRDefault="005211C0">
            <w:pPr>
              <w:pStyle w:val="af3"/>
              <w:ind w:firstLine="315"/>
              <w:jc w:val="both"/>
              <w:rPr>
                <w:b/>
                <w:bCs w:val="0"/>
              </w:rPr>
            </w:pPr>
          </w:p>
        </w:tc>
        <w:tc>
          <w:tcPr>
            <w:tcW w:w="2241" w:type="dxa"/>
            <w:tcBorders>
              <w:top w:val="single" w:sz="4" w:space="0" w:color="000000"/>
              <w:left w:val="nil"/>
              <w:bottom w:val="single" w:sz="4" w:space="0" w:color="000000"/>
              <w:right w:val="nil"/>
            </w:tcBorders>
          </w:tcPr>
          <w:p w:rsidR="005211C0" w:rsidRDefault="00000000">
            <w:pPr>
              <w:pStyle w:val="af3"/>
              <w:ind w:firstLine="315"/>
              <w:jc w:val="both"/>
            </w:pPr>
            <w:r>
              <w:t>净初级生产力</w:t>
            </w:r>
          </w:p>
        </w:tc>
        <w:tc>
          <w:tcPr>
            <w:tcW w:w="1701" w:type="dxa"/>
            <w:tcBorders>
              <w:top w:val="single" w:sz="4" w:space="0" w:color="000000"/>
              <w:left w:val="nil"/>
              <w:bottom w:val="single" w:sz="4" w:space="0" w:color="000000"/>
              <w:right w:val="nil"/>
            </w:tcBorders>
          </w:tcPr>
          <w:p w:rsidR="005211C0" w:rsidRDefault="00000000">
            <w:pPr>
              <w:pStyle w:val="af3"/>
              <w:ind w:firstLine="315"/>
              <w:jc w:val="both"/>
            </w:pPr>
            <w:r>
              <w:t>0.100326</w:t>
            </w:r>
          </w:p>
        </w:tc>
        <w:tc>
          <w:tcPr>
            <w:tcW w:w="1600" w:type="dxa"/>
            <w:tcBorders>
              <w:top w:val="single" w:sz="4" w:space="0" w:color="000000"/>
              <w:left w:val="nil"/>
              <w:bottom w:val="single" w:sz="4" w:space="0" w:color="000000"/>
              <w:right w:val="nil"/>
            </w:tcBorders>
          </w:tcPr>
          <w:p w:rsidR="005211C0" w:rsidRDefault="00000000">
            <w:pPr>
              <w:pStyle w:val="af3"/>
              <w:ind w:firstLine="315"/>
              <w:jc w:val="both"/>
            </w:pPr>
            <w:r>
              <w:t>0.025081</w:t>
            </w:r>
          </w:p>
        </w:tc>
      </w:tr>
      <w:tr w:rsidR="005211C0">
        <w:trPr>
          <w:gridAfter w:val="1"/>
          <w:wAfter w:w="128" w:type="dxa"/>
          <w:jc w:val="center"/>
        </w:trPr>
        <w:tc>
          <w:tcPr>
            <w:tcW w:w="1728" w:type="dxa"/>
            <w:vMerge w:val="restart"/>
            <w:tcBorders>
              <w:top w:val="single" w:sz="4" w:space="0" w:color="000000"/>
              <w:left w:val="nil"/>
              <w:right w:val="nil"/>
            </w:tcBorders>
          </w:tcPr>
          <w:p w:rsidR="005211C0" w:rsidRDefault="00000000">
            <w:pPr>
              <w:pStyle w:val="af3"/>
              <w:jc w:val="both"/>
              <w:rPr>
                <w:b/>
                <w:bCs w:val="0"/>
              </w:rPr>
            </w:pPr>
            <w:r>
              <w:rPr>
                <w:b/>
                <w:bCs w:val="0"/>
              </w:rPr>
              <w:t>D4</w:t>
            </w:r>
            <w:r>
              <w:rPr>
                <w:rFonts w:hint="eastAsia"/>
                <w:b/>
                <w:bCs w:val="0"/>
              </w:rPr>
              <w:t xml:space="preserve"> </w:t>
            </w:r>
            <w:r>
              <w:rPr>
                <w:b/>
                <w:bCs w:val="0"/>
              </w:rPr>
              <w:t>环境本底</w:t>
            </w:r>
          </w:p>
        </w:tc>
        <w:tc>
          <w:tcPr>
            <w:tcW w:w="2241" w:type="dxa"/>
            <w:tcBorders>
              <w:top w:val="single" w:sz="4" w:space="0" w:color="000000"/>
              <w:left w:val="nil"/>
              <w:bottom w:val="single" w:sz="4" w:space="0" w:color="000000"/>
              <w:right w:val="nil"/>
            </w:tcBorders>
          </w:tcPr>
          <w:p w:rsidR="005211C0" w:rsidRDefault="00000000">
            <w:pPr>
              <w:pStyle w:val="af3"/>
              <w:ind w:firstLine="315"/>
              <w:jc w:val="both"/>
            </w:pPr>
            <w:r>
              <w:t>地形坡度</w:t>
            </w:r>
          </w:p>
        </w:tc>
        <w:tc>
          <w:tcPr>
            <w:tcW w:w="1701" w:type="dxa"/>
            <w:tcBorders>
              <w:top w:val="single" w:sz="4" w:space="0" w:color="000000"/>
              <w:left w:val="nil"/>
              <w:bottom w:val="single" w:sz="4" w:space="0" w:color="000000"/>
              <w:right w:val="nil"/>
            </w:tcBorders>
          </w:tcPr>
          <w:p w:rsidR="005211C0" w:rsidRDefault="00000000">
            <w:pPr>
              <w:pStyle w:val="af3"/>
              <w:ind w:firstLine="315"/>
              <w:jc w:val="both"/>
            </w:pPr>
            <w:r>
              <w:t>0.248288</w:t>
            </w:r>
          </w:p>
        </w:tc>
        <w:tc>
          <w:tcPr>
            <w:tcW w:w="1600" w:type="dxa"/>
            <w:tcBorders>
              <w:top w:val="single" w:sz="4" w:space="0" w:color="000000"/>
              <w:left w:val="nil"/>
              <w:bottom w:val="single" w:sz="4" w:space="0" w:color="000000"/>
              <w:right w:val="nil"/>
            </w:tcBorders>
          </w:tcPr>
          <w:p w:rsidR="005211C0" w:rsidRDefault="00000000">
            <w:pPr>
              <w:pStyle w:val="af3"/>
              <w:ind w:firstLine="315"/>
              <w:jc w:val="both"/>
            </w:pPr>
            <w:r>
              <w:t>0.062072</w:t>
            </w:r>
          </w:p>
        </w:tc>
      </w:tr>
      <w:tr w:rsidR="005211C0">
        <w:trPr>
          <w:gridAfter w:val="1"/>
          <w:wAfter w:w="128" w:type="dxa"/>
          <w:jc w:val="center"/>
        </w:trPr>
        <w:tc>
          <w:tcPr>
            <w:tcW w:w="1728" w:type="dxa"/>
            <w:vMerge/>
            <w:tcBorders>
              <w:left w:val="nil"/>
              <w:right w:val="nil"/>
            </w:tcBorders>
          </w:tcPr>
          <w:p w:rsidR="005211C0" w:rsidRDefault="005211C0">
            <w:pPr>
              <w:pStyle w:val="af3"/>
              <w:ind w:firstLine="315"/>
              <w:jc w:val="both"/>
            </w:pPr>
          </w:p>
        </w:tc>
        <w:tc>
          <w:tcPr>
            <w:tcW w:w="2241" w:type="dxa"/>
            <w:tcBorders>
              <w:top w:val="single" w:sz="4" w:space="0" w:color="000000"/>
              <w:left w:val="nil"/>
              <w:bottom w:val="single" w:sz="4" w:space="0" w:color="000000"/>
              <w:right w:val="nil"/>
            </w:tcBorders>
          </w:tcPr>
          <w:p w:rsidR="005211C0" w:rsidRDefault="00000000">
            <w:pPr>
              <w:pStyle w:val="af3"/>
              <w:ind w:firstLine="315"/>
              <w:jc w:val="both"/>
            </w:pPr>
            <w:r>
              <w:t>气候水分亏缺</w:t>
            </w:r>
          </w:p>
        </w:tc>
        <w:tc>
          <w:tcPr>
            <w:tcW w:w="1701" w:type="dxa"/>
            <w:tcBorders>
              <w:top w:val="single" w:sz="4" w:space="0" w:color="000000"/>
              <w:left w:val="nil"/>
              <w:bottom w:val="single" w:sz="4" w:space="0" w:color="000000"/>
              <w:right w:val="nil"/>
            </w:tcBorders>
          </w:tcPr>
          <w:p w:rsidR="005211C0" w:rsidRDefault="00000000">
            <w:pPr>
              <w:pStyle w:val="af3"/>
              <w:ind w:firstLine="315"/>
              <w:jc w:val="both"/>
            </w:pPr>
            <w:r>
              <w:t>0.290499</w:t>
            </w:r>
          </w:p>
        </w:tc>
        <w:tc>
          <w:tcPr>
            <w:tcW w:w="1600" w:type="dxa"/>
            <w:tcBorders>
              <w:top w:val="single" w:sz="4" w:space="0" w:color="000000"/>
              <w:left w:val="nil"/>
              <w:bottom w:val="single" w:sz="4" w:space="0" w:color="000000"/>
              <w:right w:val="nil"/>
            </w:tcBorders>
          </w:tcPr>
          <w:p w:rsidR="005211C0" w:rsidRDefault="00000000">
            <w:pPr>
              <w:pStyle w:val="af3"/>
              <w:ind w:firstLine="315"/>
              <w:jc w:val="both"/>
            </w:pPr>
            <w:r>
              <w:t>0.072625</w:t>
            </w:r>
          </w:p>
        </w:tc>
      </w:tr>
      <w:tr w:rsidR="005211C0">
        <w:trPr>
          <w:gridAfter w:val="1"/>
          <w:wAfter w:w="128" w:type="dxa"/>
          <w:jc w:val="center"/>
        </w:trPr>
        <w:tc>
          <w:tcPr>
            <w:tcW w:w="1728" w:type="dxa"/>
            <w:vMerge/>
            <w:tcBorders>
              <w:left w:val="nil"/>
              <w:bottom w:val="single" w:sz="12" w:space="0" w:color="000000"/>
              <w:right w:val="nil"/>
            </w:tcBorders>
          </w:tcPr>
          <w:p w:rsidR="005211C0" w:rsidRDefault="005211C0">
            <w:pPr>
              <w:pStyle w:val="af3"/>
              <w:ind w:firstLine="315"/>
              <w:jc w:val="both"/>
            </w:pPr>
          </w:p>
        </w:tc>
        <w:tc>
          <w:tcPr>
            <w:tcW w:w="2241" w:type="dxa"/>
            <w:tcBorders>
              <w:top w:val="single" w:sz="4" w:space="0" w:color="000000"/>
              <w:left w:val="nil"/>
              <w:bottom w:val="single" w:sz="12" w:space="0" w:color="000000"/>
              <w:right w:val="nil"/>
            </w:tcBorders>
          </w:tcPr>
          <w:p w:rsidR="005211C0" w:rsidRDefault="00000000">
            <w:pPr>
              <w:pStyle w:val="af3"/>
              <w:ind w:firstLine="315"/>
              <w:jc w:val="both"/>
            </w:pPr>
            <w:r>
              <w:t>低温冷胁迫</w:t>
            </w:r>
          </w:p>
        </w:tc>
        <w:tc>
          <w:tcPr>
            <w:tcW w:w="1701" w:type="dxa"/>
            <w:tcBorders>
              <w:top w:val="single" w:sz="4" w:space="0" w:color="000000"/>
              <w:left w:val="nil"/>
              <w:bottom w:val="single" w:sz="12" w:space="0" w:color="000000"/>
              <w:right w:val="nil"/>
            </w:tcBorders>
          </w:tcPr>
          <w:p w:rsidR="005211C0" w:rsidRDefault="00000000">
            <w:pPr>
              <w:pStyle w:val="af3"/>
              <w:ind w:firstLine="315"/>
              <w:jc w:val="both"/>
            </w:pPr>
            <w:r>
              <w:t>0.461213</w:t>
            </w:r>
          </w:p>
        </w:tc>
        <w:tc>
          <w:tcPr>
            <w:tcW w:w="1600" w:type="dxa"/>
            <w:tcBorders>
              <w:top w:val="single" w:sz="4" w:space="0" w:color="000000"/>
              <w:left w:val="nil"/>
              <w:bottom w:val="single" w:sz="12" w:space="0" w:color="000000"/>
              <w:right w:val="nil"/>
            </w:tcBorders>
          </w:tcPr>
          <w:p w:rsidR="005211C0" w:rsidRDefault="00000000">
            <w:pPr>
              <w:pStyle w:val="af3"/>
              <w:ind w:firstLine="315"/>
              <w:jc w:val="both"/>
            </w:pPr>
            <w:r>
              <w:t>0.115303</w:t>
            </w:r>
          </w:p>
        </w:tc>
      </w:tr>
    </w:tbl>
    <w:p w:rsidR="005211C0" w:rsidRDefault="00000000">
      <w:pPr>
        <w:ind w:firstLine="480"/>
        <w:jc w:val="center"/>
        <w:rPr>
          <w:rFonts w:ascii="楷体" w:eastAsia="楷体" w:hAnsi="楷体"/>
          <w:bCs/>
          <w:szCs w:val="24"/>
        </w:rPr>
      </w:pPr>
      <w:r>
        <w:rPr>
          <w:rFonts w:ascii="楷体" w:eastAsia="楷体" w:hAnsi="楷体" w:hint="eastAsia"/>
          <w:bCs/>
          <w:szCs w:val="24"/>
        </w:rPr>
        <w:t>表 附</w:t>
      </w:r>
      <w:r>
        <w:rPr>
          <w:rFonts w:eastAsia="楷体"/>
          <w:bCs/>
          <w:szCs w:val="24"/>
        </w:rPr>
        <w:t>-2</w:t>
      </w:r>
      <w:r>
        <w:rPr>
          <w:rFonts w:ascii="楷体" w:eastAsia="楷体" w:hAnsi="楷体" w:hint="eastAsia"/>
          <w:bCs/>
          <w:szCs w:val="24"/>
        </w:rPr>
        <w:t xml:space="preserve"> </w:t>
      </w:r>
      <w:r>
        <w:rPr>
          <w:rFonts w:eastAsia="楷体" w:hint="eastAsia"/>
          <w:bCs/>
          <w:szCs w:val="24"/>
        </w:rPr>
        <w:t>2024</w:t>
      </w:r>
      <w:r>
        <w:rPr>
          <w:rFonts w:ascii="楷体" w:eastAsia="楷体" w:hAnsi="楷体" w:hint="eastAsia"/>
          <w:bCs/>
          <w:szCs w:val="24"/>
        </w:rPr>
        <w:t>年综合指数</w:t>
      </w:r>
      <w:r>
        <w:rPr>
          <w:rFonts w:eastAsia="楷体" w:hint="eastAsia"/>
          <w:bCs/>
          <w:szCs w:val="24"/>
        </w:rPr>
        <w:t>LISA</w:t>
      </w:r>
      <w:r>
        <w:rPr>
          <w:rFonts w:ascii="楷体" w:eastAsia="楷体" w:hAnsi="楷体" w:hint="eastAsia"/>
          <w:bCs/>
          <w:szCs w:val="24"/>
        </w:rPr>
        <w:t>分区与短板</w:t>
      </w:r>
    </w:p>
    <w:tbl>
      <w:tblPr>
        <w:tblStyle w:val="210"/>
        <w:tblW w:w="9609" w:type="dxa"/>
        <w:tblLayout w:type="fixed"/>
        <w:tblLook w:val="04A0" w:firstRow="1" w:lastRow="0" w:firstColumn="1" w:lastColumn="0" w:noHBand="0" w:noVBand="1"/>
      </w:tblPr>
      <w:tblGrid>
        <w:gridCol w:w="709"/>
        <w:gridCol w:w="1276"/>
        <w:gridCol w:w="1134"/>
        <w:gridCol w:w="1276"/>
        <w:gridCol w:w="1134"/>
        <w:gridCol w:w="1134"/>
        <w:gridCol w:w="992"/>
        <w:gridCol w:w="1954"/>
      </w:tblGrid>
      <w:tr w:rsidR="005211C0" w:rsidTr="005211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tcPr>
          <w:p w:rsidR="005211C0" w:rsidRDefault="00000000">
            <w:pPr>
              <w:pStyle w:val="af3"/>
              <w:jc w:val="both"/>
              <w:rPr>
                <w:b w:val="0"/>
              </w:rPr>
            </w:pPr>
            <w:r>
              <w:rPr>
                <w:rFonts w:hint="eastAsia"/>
                <w:bCs/>
              </w:rPr>
              <w:t>类型</w:t>
            </w:r>
          </w:p>
        </w:tc>
        <w:tc>
          <w:tcPr>
            <w:tcW w:w="1276" w:type="dxa"/>
            <w:tcBorders>
              <w:bottom w:val="single" w:sz="12" w:space="0" w:color="auto"/>
            </w:tcBorders>
          </w:tcPr>
          <w:p w:rsidR="005211C0" w:rsidRDefault="00000000">
            <w:pPr>
              <w:pStyle w:val="af3"/>
              <w:jc w:val="both"/>
              <w:cnfStyle w:val="100000000000" w:firstRow="1" w:lastRow="0" w:firstColumn="0" w:lastColumn="0" w:oddVBand="0" w:evenVBand="0" w:oddHBand="0" w:evenHBand="0" w:firstRowFirstColumn="0" w:firstRowLastColumn="0" w:lastRowFirstColumn="0" w:lastRowLastColumn="0"/>
              <w:rPr>
                <w:b w:val="0"/>
              </w:rPr>
            </w:pPr>
            <w:r>
              <w:rPr>
                <w:rFonts w:hint="eastAsia"/>
                <w:bCs/>
              </w:rPr>
              <w:t>D1</w:t>
            </w:r>
            <w:r>
              <w:rPr>
                <w:rFonts w:hint="eastAsia"/>
                <w:bCs/>
              </w:rPr>
              <w:t>分数</w:t>
            </w:r>
          </w:p>
        </w:tc>
        <w:tc>
          <w:tcPr>
            <w:tcW w:w="1134" w:type="dxa"/>
            <w:tcBorders>
              <w:bottom w:val="single" w:sz="12" w:space="0" w:color="auto"/>
            </w:tcBorders>
          </w:tcPr>
          <w:p w:rsidR="005211C0" w:rsidRDefault="00000000">
            <w:pPr>
              <w:pStyle w:val="af3"/>
              <w:jc w:val="both"/>
              <w:cnfStyle w:val="100000000000" w:firstRow="1" w:lastRow="0" w:firstColumn="0" w:lastColumn="0" w:oddVBand="0" w:evenVBand="0" w:oddHBand="0" w:evenHBand="0" w:firstRowFirstColumn="0" w:firstRowLastColumn="0" w:lastRowFirstColumn="0" w:lastRowLastColumn="0"/>
              <w:rPr>
                <w:b w:val="0"/>
              </w:rPr>
            </w:pPr>
            <w:r>
              <w:rPr>
                <w:rFonts w:hint="eastAsia"/>
                <w:bCs/>
              </w:rPr>
              <w:t>D2</w:t>
            </w:r>
            <w:r>
              <w:rPr>
                <w:rFonts w:hint="eastAsia"/>
                <w:bCs/>
              </w:rPr>
              <w:t>分数</w:t>
            </w:r>
          </w:p>
        </w:tc>
        <w:tc>
          <w:tcPr>
            <w:tcW w:w="1276" w:type="dxa"/>
            <w:tcBorders>
              <w:bottom w:val="single" w:sz="12" w:space="0" w:color="auto"/>
            </w:tcBorders>
          </w:tcPr>
          <w:p w:rsidR="005211C0" w:rsidRDefault="00000000">
            <w:pPr>
              <w:pStyle w:val="af3"/>
              <w:jc w:val="both"/>
              <w:cnfStyle w:val="100000000000" w:firstRow="1" w:lastRow="0" w:firstColumn="0" w:lastColumn="0" w:oddVBand="0" w:evenVBand="0" w:oddHBand="0" w:evenHBand="0" w:firstRowFirstColumn="0" w:firstRowLastColumn="0" w:lastRowFirstColumn="0" w:lastRowLastColumn="0"/>
              <w:rPr>
                <w:b w:val="0"/>
              </w:rPr>
            </w:pPr>
            <w:r>
              <w:rPr>
                <w:rFonts w:hint="eastAsia"/>
                <w:bCs/>
              </w:rPr>
              <w:t>D3</w:t>
            </w:r>
            <w:r>
              <w:rPr>
                <w:rFonts w:hint="eastAsia"/>
                <w:bCs/>
              </w:rPr>
              <w:t>分数</w:t>
            </w:r>
          </w:p>
        </w:tc>
        <w:tc>
          <w:tcPr>
            <w:tcW w:w="1134" w:type="dxa"/>
            <w:tcBorders>
              <w:bottom w:val="single" w:sz="12" w:space="0" w:color="auto"/>
            </w:tcBorders>
          </w:tcPr>
          <w:p w:rsidR="005211C0" w:rsidRDefault="00000000">
            <w:pPr>
              <w:pStyle w:val="af3"/>
              <w:jc w:val="both"/>
              <w:cnfStyle w:val="100000000000" w:firstRow="1" w:lastRow="0" w:firstColumn="0" w:lastColumn="0" w:oddVBand="0" w:evenVBand="0" w:oddHBand="0" w:evenHBand="0" w:firstRowFirstColumn="0" w:firstRowLastColumn="0" w:lastRowFirstColumn="0" w:lastRowLastColumn="0"/>
              <w:rPr>
                <w:b w:val="0"/>
              </w:rPr>
            </w:pPr>
            <w:r>
              <w:rPr>
                <w:rFonts w:hint="eastAsia"/>
                <w:bCs/>
              </w:rPr>
              <w:t>D4</w:t>
            </w:r>
            <w:r>
              <w:rPr>
                <w:rFonts w:hint="eastAsia"/>
                <w:bCs/>
              </w:rPr>
              <w:t>分数</w:t>
            </w:r>
          </w:p>
        </w:tc>
        <w:tc>
          <w:tcPr>
            <w:tcW w:w="1134" w:type="dxa"/>
            <w:tcBorders>
              <w:bottom w:val="single" w:sz="12" w:space="0" w:color="auto"/>
            </w:tcBorders>
          </w:tcPr>
          <w:p w:rsidR="005211C0" w:rsidRDefault="00000000">
            <w:pPr>
              <w:pStyle w:val="af3"/>
              <w:jc w:val="both"/>
              <w:cnfStyle w:val="100000000000" w:firstRow="1" w:lastRow="0" w:firstColumn="0" w:lastColumn="0" w:oddVBand="0" w:evenVBand="0" w:oddHBand="0" w:evenHBand="0" w:firstRowFirstColumn="0" w:firstRowLastColumn="0" w:lastRowFirstColumn="0" w:lastRowLastColumn="0"/>
              <w:rPr>
                <w:b w:val="0"/>
              </w:rPr>
            </w:pPr>
            <w:r>
              <w:rPr>
                <w:rFonts w:hint="eastAsia"/>
                <w:bCs/>
              </w:rPr>
              <w:t>主短板</w:t>
            </w:r>
          </w:p>
        </w:tc>
        <w:tc>
          <w:tcPr>
            <w:tcW w:w="992" w:type="dxa"/>
            <w:tcBorders>
              <w:bottom w:val="single" w:sz="12" w:space="0" w:color="auto"/>
            </w:tcBorders>
          </w:tcPr>
          <w:p w:rsidR="005211C0" w:rsidRDefault="00000000">
            <w:pPr>
              <w:pStyle w:val="af3"/>
              <w:jc w:val="both"/>
              <w:cnfStyle w:val="100000000000" w:firstRow="1" w:lastRow="0" w:firstColumn="0" w:lastColumn="0" w:oddVBand="0" w:evenVBand="0" w:oddHBand="0" w:evenHBand="0" w:firstRowFirstColumn="0" w:firstRowLastColumn="0" w:lastRowFirstColumn="0" w:lastRowLastColumn="0"/>
              <w:rPr>
                <w:b w:val="0"/>
              </w:rPr>
            </w:pPr>
            <w:r>
              <w:rPr>
                <w:rFonts w:hint="eastAsia"/>
                <w:bCs/>
              </w:rPr>
              <w:t>次短板</w:t>
            </w:r>
          </w:p>
        </w:tc>
        <w:tc>
          <w:tcPr>
            <w:tcW w:w="1954" w:type="dxa"/>
            <w:tcBorders>
              <w:bottom w:val="single" w:sz="12" w:space="0" w:color="auto"/>
            </w:tcBorders>
          </w:tcPr>
          <w:p w:rsidR="005211C0" w:rsidRDefault="00000000">
            <w:pPr>
              <w:pStyle w:val="af3"/>
              <w:jc w:val="both"/>
              <w:cnfStyle w:val="100000000000" w:firstRow="1" w:lastRow="0" w:firstColumn="0" w:lastColumn="0" w:oddVBand="0" w:evenVBand="0" w:oddHBand="0" w:evenHBand="0" w:firstRowFirstColumn="0" w:firstRowLastColumn="0" w:lastRowFirstColumn="0" w:lastRowLastColumn="0"/>
              <w:rPr>
                <w:b w:val="0"/>
              </w:rPr>
            </w:pPr>
            <w:r>
              <w:rPr>
                <w:rFonts w:hint="eastAsia"/>
                <w:bCs/>
              </w:rPr>
              <w:t>短板指标</w:t>
            </w:r>
          </w:p>
        </w:tc>
      </w:tr>
      <w:tr w:rsidR="005211C0" w:rsidTr="005211C0">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000000"/>
            </w:tcBorders>
          </w:tcPr>
          <w:p w:rsidR="005211C0" w:rsidRDefault="00000000">
            <w:pPr>
              <w:pStyle w:val="af3"/>
              <w:jc w:val="both"/>
              <w:rPr>
                <w:b w:val="0"/>
                <w:bCs/>
              </w:rPr>
            </w:pPr>
            <w:r>
              <w:rPr>
                <w:rFonts w:hint="eastAsia"/>
              </w:rPr>
              <w:t>HH</w:t>
            </w:r>
          </w:p>
        </w:tc>
        <w:tc>
          <w:tcPr>
            <w:tcW w:w="1276" w:type="dxa"/>
            <w:tcBorders>
              <w:top w:val="single" w:sz="12" w:space="0" w:color="auto"/>
              <w:bottom w:val="single" w:sz="4" w:space="0" w:color="000000"/>
            </w:tcBorders>
          </w:tcPr>
          <w:p w:rsidR="005211C0" w:rsidRDefault="00000000">
            <w:pPr>
              <w:pStyle w:val="af3"/>
              <w:jc w:val="both"/>
              <w:cnfStyle w:val="000000000000" w:firstRow="0" w:lastRow="0" w:firstColumn="0" w:lastColumn="0" w:oddVBand="0" w:evenVBand="0" w:oddHBand="0" w:evenHBand="0" w:firstRowFirstColumn="0" w:firstRowLastColumn="0" w:lastRowFirstColumn="0" w:lastRowLastColumn="0"/>
            </w:pPr>
            <w:r>
              <w:rPr>
                <w:rFonts w:hint="eastAsia"/>
              </w:rPr>
              <w:t>0.125460</w:t>
            </w:r>
          </w:p>
        </w:tc>
        <w:tc>
          <w:tcPr>
            <w:tcW w:w="1134" w:type="dxa"/>
            <w:tcBorders>
              <w:top w:val="single" w:sz="12" w:space="0" w:color="auto"/>
              <w:bottom w:val="single" w:sz="4" w:space="0" w:color="000000"/>
            </w:tcBorders>
          </w:tcPr>
          <w:p w:rsidR="005211C0" w:rsidRDefault="00000000">
            <w:pPr>
              <w:pStyle w:val="af3"/>
              <w:jc w:val="both"/>
              <w:cnfStyle w:val="000000000000" w:firstRow="0" w:lastRow="0" w:firstColumn="0" w:lastColumn="0" w:oddVBand="0" w:evenVBand="0" w:oddHBand="0" w:evenHBand="0" w:firstRowFirstColumn="0" w:firstRowLastColumn="0" w:lastRowFirstColumn="0" w:lastRowLastColumn="0"/>
            </w:pPr>
            <w:r>
              <w:rPr>
                <w:rFonts w:hint="eastAsia"/>
              </w:rPr>
              <w:t>0.866312</w:t>
            </w:r>
          </w:p>
        </w:tc>
        <w:tc>
          <w:tcPr>
            <w:tcW w:w="1276" w:type="dxa"/>
            <w:tcBorders>
              <w:top w:val="single" w:sz="12" w:space="0" w:color="auto"/>
              <w:bottom w:val="single" w:sz="4" w:space="0" w:color="000000"/>
            </w:tcBorders>
          </w:tcPr>
          <w:p w:rsidR="005211C0" w:rsidRDefault="00000000">
            <w:pPr>
              <w:pStyle w:val="af3"/>
              <w:jc w:val="both"/>
              <w:cnfStyle w:val="000000000000" w:firstRow="0" w:lastRow="0" w:firstColumn="0" w:lastColumn="0" w:oddVBand="0" w:evenVBand="0" w:oddHBand="0" w:evenHBand="0" w:firstRowFirstColumn="0" w:firstRowLastColumn="0" w:lastRowFirstColumn="0" w:lastRowLastColumn="0"/>
            </w:pPr>
            <w:r>
              <w:rPr>
                <w:rFonts w:hint="eastAsia"/>
              </w:rPr>
              <w:t>0.705437</w:t>
            </w:r>
          </w:p>
        </w:tc>
        <w:tc>
          <w:tcPr>
            <w:tcW w:w="1134" w:type="dxa"/>
            <w:tcBorders>
              <w:top w:val="single" w:sz="12" w:space="0" w:color="auto"/>
              <w:bottom w:val="single" w:sz="4" w:space="0" w:color="000000"/>
            </w:tcBorders>
          </w:tcPr>
          <w:p w:rsidR="005211C0" w:rsidRDefault="00000000">
            <w:pPr>
              <w:pStyle w:val="af3"/>
              <w:jc w:val="both"/>
              <w:cnfStyle w:val="000000000000" w:firstRow="0" w:lastRow="0" w:firstColumn="0" w:lastColumn="0" w:oddVBand="0" w:evenVBand="0" w:oddHBand="0" w:evenHBand="0" w:firstRowFirstColumn="0" w:firstRowLastColumn="0" w:lastRowFirstColumn="0" w:lastRowLastColumn="0"/>
            </w:pPr>
            <w:r>
              <w:rPr>
                <w:rFonts w:hint="eastAsia"/>
              </w:rPr>
              <w:t>0.754281</w:t>
            </w:r>
          </w:p>
        </w:tc>
        <w:tc>
          <w:tcPr>
            <w:tcW w:w="1134" w:type="dxa"/>
            <w:tcBorders>
              <w:top w:val="single" w:sz="12" w:space="0" w:color="auto"/>
              <w:bottom w:val="single" w:sz="4" w:space="0" w:color="000000"/>
            </w:tcBorders>
          </w:tcPr>
          <w:p w:rsidR="005211C0" w:rsidRDefault="00000000">
            <w:pPr>
              <w:pStyle w:val="af3"/>
              <w:jc w:val="both"/>
              <w:cnfStyle w:val="000000000000" w:firstRow="0" w:lastRow="0" w:firstColumn="0" w:lastColumn="0" w:oddVBand="0" w:evenVBand="0" w:oddHBand="0" w:evenHBand="0" w:firstRowFirstColumn="0" w:firstRowLastColumn="0" w:lastRowFirstColumn="0" w:lastRowLastColumn="0"/>
            </w:pPr>
            <w:r>
              <w:rPr>
                <w:rFonts w:hint="eastAsia"/>
              </w:rPr>
              <w:t>D1</w:t>
            </w:r>
          </w:p>
        </w:tc>
        <w:tc>
          <w:tcPr>
            <w:tcW w:w="992" w:type="dxa"/>
            <w:tcBorders>
              <w:top w:val="single" w:sz="12" w:space="0" w:color="auto"/>
              <w:bottom w:val="single" w:sz="4" w:space="0" w:color="000000"/>
            </w:tcBorders>
          </w:tcPr>
          <w:p w:rsidR="005211C0" w:rsidRDefault="00000000">
            <w:pPr>
              <w:pStyle w:val="af3"/>
              <w:jc w:val="both"/>
              <w:cnfStyle w:val="000000000000" w:firstRow="0" w:lastRow="0" w:firstColumn="0" w:lastColumn="0" w:oddVBand="0" w:evenVBand="0" w:oddHBand="0" w:evenHBand="0" w:firstRowFirstColumn="0" w:firstRowLastColumn="0" w:lastRowFirstColumn="0" w:lastRowLastColumn="0"/>
            </w:pPr>
            <w:r>
              <w:rPr>
                <w:rFonts w:hint="eastAsia"/>
              </w:rPr>
              <w:t>D3</w:t>
            </w:r>
          </w:p>
        </w:tc>
        <w:tc>
          <w:tcPr>
            <w:tcW w:w="1954" w:type="dxa"/>
            <w:tcBorders>
              <w:top w:val="single" w:sz="12" w:space="0" w:color="auto"/>
              <w:bottom w:val="single" w:sz="4" w:space="0" w:color="000000"/>
            </w:tcBorders>
          </w:tcPr>
          <w:p w:rsidR="005211C0" w:rsidRDefault="00000000">
            <w:pPr>
              <w:pStyle w:val="af3"/>
              <w:jc w:val="both"/>
              <w:cnfStyle w:val="000000000000" w:firstRow="0" w:lastRow="0" w:firstColumn="0" w:lastColumn="0" w:oddVBand="0" w:evenVBand="0" w:oddHBand="0" w:evenHBand="0" w:firstRowFirstColumn="0" w:firstRowLastColumn="0" w:lastRowFirstColumn="0" w:lastRowLastColumn="0"/>
            </w:pPr>
            <w:r>
              <w:rPr>
                <w:rFonts w:hint="eastAsia"/>
              </w:rPr>
              <w:t>人口密度；耕地比例</w:t>
            </w:r>
            <w:r>
              <w:rPr>
                <w:rFonts w:hint="eastAsia"/>
              </w:rPr>
              <w:t xml:space="preserve"> </w:t>
            </w:r>
            <w:r>
              <w:rPr>
                <w:rFonts w:hint="eastAsia"/>
              </w:rPr>
              <w:t>；森林比例</w:t>
            </w:r>
            <w:r>
              <w:rPr>
                <w:rFonts w:hint="eastAsia"/>
              </w:rPr>
              <w:t xml:space="preserve"> </w:t>
            </w:r>
          </w:p>
        </w:tc>
      </w:tr>
      <w:tr w:rsidR="005211C0" w:rsidTr="005211C0">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000000"/>
              <w:bottom w:val="single" w:sz="4" w:space="0" w:color="000000"/>
            </w:tcBorders>
          </w:tcPr>
          <w:p w:rsidR="005211C0" w:rsidRDefault="00000000">
            <w:pPr>
              <w:pStyle w:val="af3"/>
              <w:jc w:val="both"/>
              <w:rPr>
                <w:b w:val="0"/>
                <w:bCs/>
              </w:rPr>
            </w:pPr>
            <w:r>
              <w:rPr>
                <w:rFonts w:hint="eastAsia"/>
              </w:rPr>
              <w:t>LL</w:t>
            </w:r>
          </w:p>
        </w:tc>
        <w:tc>
          <w:tcPr>
            <w:tcW w:w="1276" w:type="dxa"/>
            <w:tcBorders>
              <w:top w:val="single" w:sz="4" w:space="0" w:color="000000"/>
              <w:bottom w:val="single" w:sz="4" w:space="0" w:color="000000"/>
            </w:tcBorders>
          </w:tcPr>
          <w:p w:rsidR="005211C0" w:rsidRDefault="00000000">
            <w:pPr>
              <w:pStyle w:val="af3"/>
              <w:jc w:val="both"/>
              <w:cnfStyle w:val="000000000000" w:firstRow="0" w:lastRow="0" w:firstColumn="0" w:lastColumn="0" w:oddVBand="0" w:evenVBand="0" w:oddHBand="0" w:evenHBand="0" w:firstRowFirstColumn="0" w:firstRowLastColumn="0" w:lastRowFirstColumn="0" w:lastRowLastColumn="0"/>
            </w:pPr>
            <w:r>
              <w:rPr>
                <w:rFonts w:hint="eastAsia"/>
              </w:rPr>
              <w:t>0.028171</w:t>
            </w:r>
          </w:p>
        </w:tc>
        <w:tc>
          <w:tcPr>
            <w:tcW w:w="1134" w:type="dxa"/>
            <w:tcBorders>
              <w:top w:val="single" w:sz="4" w:space="0" w:color="000000"/>
              <w:bottom w:val="single" w:sz="4" w:space="0" w:color="000000"/>
            </w:tcBorders>
          </w:tcPr>
          <w:p w:rsidR="005211C0" w:rsidRDefault="00000000">
            <w:pPr>
              <w:pStyle w:val="af3"/>
              <w:jc w:val="both"/>
              <w:cnfStyle w:val="000000000000" w:firstRow="0" w:lastRow="0" w:firstColumn="0" w:lastColumn="0" w:oddVBand="0" w:evenVBand="0" w:oddHBand="0" w:evenHBand="0" w:firstRowFirstColumn="0" w:firstRowLastColumn="0" w:lastRowFirstColumn="0" w:lastRowLastColumn="0"/>
            </w:pPr>
            <w:r>
              <w:rPr>
                <w:rFonts w:hint="eastAsia"/>
              </w:rPr>
              <w:t>0.501294</w:t>
            </w:r>
          </w:p>
        </w:tc>
        <w:tc>
          <w:tcPr>
            <w:tcW w:w="1276" w:type="dxa"/>
            <w:tcBorders>
              <w:top w:val="single" w:sz="4" w:space="0" w:color="000000"/>
              <w:bottom w:val="single" w:sz="4" w:space="0" w:color="000000"/>
            </w:tcBorders>
          </w:tcPr>
          <w:p w:rsidR="005211C0" w:rsidRDefault="00000000">
            <w:pPr>
              <w:pStyle w:val="af3"/>
              <w:jc w:val="both"/>
              <w:cnfStyle w:val="000000000000" w:firstRow="0" w:lastRow="0" w:firstColumn="0" w:lastColumn="0" w:oddVBand="0" w:evenVBand="0" w:oddHBand="0" w:evenHBand="0" w:firstRowFirstColumn="0" w:firstRowLastColumn="0" w:lastRowFirstColumn="0" w:lastRowLastColumn="0"/>
            </w:pPr>
            <w:r>
              <w:rPr>
                <w:rFonts w:hint="eastAsia"/>
              </w:rPr>
              <w:t>0.114862</w:t>
            </w:r>
          </w:p>
        </w:tc>
        <w:tc>
          <w:tcPr>
            <w:tcW w:w="1134" w:type="dxa"/>
            <w:tcBorders>
              <w:top w:val="single" w:sz="4" w:space="0" w:color="000000"/>
              <w:bottom w:val="single" w:sz="4" w:space="0" w:color="000000"/>
            </w:tcBorders>
          </w:tcPr>
          <w:p w:rsidR="005211C0" w:rsidRDefault="00000000">
            <w:pPr>
              <w:pStyle w:val="af3"/>
              <w:jc w:val="both"/>
              <w:cnfStyle w:val="000000000000" w:firstRow="0" w:lastRow="0" w:firstColumn="0" w:lastColumn="0" w:oddVBand="0" w:evenVBand="0" w:oddHBand="0" w:evenHBand="0" w:firstRowFirstColumn="0" w:firstRowLastColumn="0" w:lastRowFirstColumn="0" w:lastRowLastColumn="0"/>
            </w:pPr>
            <w:r>
              <w:rPr>
                <w:rFonts w:hint="eastAsia"/>
              </w:rPr>
              <w:t>0.501592</w:t>
            </w:r>
          </w:p>
        </w:tc>
        <w:tc>
          <w:tcPr>
            <w:tcW w:w="1134" w:type="dxa"/>
            <w:tcBorders>
              <w:top w:val="single" w:sz="4" w:space="0" w:color="000000"/>
              <w:bottom w:val="single" w:sz="4" w:space="0" w:color="000000"/>
            </w:tcBorders>
          </w:tcPr>
          <w:p w:rsidR="005211C0" w:rsidRDefault="00000000">
            <w:pPr>
              <w:pStyle w:val="af3"/>
              <w:jc w:val="both"/>
              <w:cnfStyle w:val="000000000000" w:firstRow="0" w:lastRow="0" w:firstColumn="0" w:lastColumn="0" w:oddVBand="0" w:evenVBand="0" w:oddHBand="0" w:evenHBand="0" w:firstRowFirstColumn="0" w:firstRowLastColumn="0" w:lastRowFirstColumn="0" w:lastRowLastColumn="0"/>
            </w:pPr>
            <w:r>
              <w:rPr>
                <w:rFonts w:hint="eastAsia"/>
              </w:rPr>
              <w:t>D1</w:t>
            </w:r>
          </w:p>
        </w:tc>
        <w:tc>
          <w:tcPr>
            <w:tcW w:w="992" w:type="dxa"/>
            <w:tcBorders>
              <w:top w:val="single" w:sz="4" w:space="0" w:color="000000"/>
              <w:bottom w:val="single" w:sz="4" w:space="0" w:color="000000"/>
            </w:tcBorders>
          </w:tcPr>
          <w:p w:rsidR="005211C0" w:rsidRDefault="00000000">
            <w:pPr>
              <w:pStyle w:val="af3"/>
              <w:jc w:val="both"/>
              <w:cnfStyle w:val="000000000000" w:firstRow="0" w:lastRow="0" w:firstColumn="0" w:lastColumn="0" w:oddVBand="0" w:evenVBand="0" w:oddHBand="0" w:evenHBand="0" w:firstRowFirstColumn="0" w:firstRowLastColumn="0" w:lastRowFirstColumn="0" w:lastRowLastColumn="0"/>
            </w:pPr>
            <w:r>
              <w:rPr>
                <w:rFonts w:hint="eastAsia"/>
              </w:rPr>
              <w:t>D3</w:t>
            </w:r>
          </w:p>
        </w:tc>
        <w:tc>
          <w:tcPr>
            <w:tcW w:w="1954" w:type="dxa"/>
            <w:tcBorders>
              <w:top w:val="single" w:sz="4" w:space="0" w:color="000000"/>
              <w:bottom w:val="single" w:sz="4" w:space="0" w:color="000000"/>
            </w:tcBorders>
          </w:tcPr>
          <w:p w:rsidR="005211C0" w:rsidRDefault="00000000">
            <w:pPr>
              <w:pStyle w:val="af3"/>
              <w:jc w:val="both"/>
              <w:cnfStyle w:val="000000000000" w:firstRow="0" w:lastRow="0" w:firstColumn="0" w:lastColumn="0" w:oddVBand="0" w:evenVBand="0" w:oddHBand="0" w:evenHBand="0" w:firstRowFirstColumn="0" w:firstRowLastColumn="0" w:lastRowFirstColumn="0" w:lastRowLastColumn="0"/>
            </w:pPr>
            <w:r>
              <w:rPr>
                <w:rFonts w:hint="eastAsia"/>
              </w:rPr>
              <w:t>森林比例；人口密度；耕地比例</w:t>
            </w:r>
            <w:r>
              <w:rPr>
                <w:rFonts w:hint="eastAsia"/>
              </w:rPr>
              <w:t xml:space="preserve"> </w:t>
            </w:r>
          </w:p>
        </w:tc>
      </w:tr>
      <w:tr w:rsidR="005211C0" w:rsidTr="005211C0">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000000"/>
              <w:bottom w:val="single" w:sz="4" w:space="0" w:color="000000"/>
            </w:tcBorders>
          </w:tcPr>
          <w:p w:rsidR="005211C0" w:rsidRDefault="00000000">
            <w:pPr>
              <w:pStyle w:val="af3"/>
              <w:jc w:val="both"/>
              <w:rPr>
                <w:b w:val="0"/>
                <w:bCs/>
              </w:rPr>
            </w:pPr>
            <w:r>
              <w:rPr>
                <w:rFonts w:hint="eastAsia"/>
              </w:rPr>
              <w:t>HL</w:t>
            </w:r>
          </w:p>
        </w:tc>
        <w:tc>
          <w:tcPr>
            <w:tcW w:w="1276" w:type="dxa"/>
            <w:tcBorders>
              <w:top w:val="single" w:sz="4" w:space="0" w:color="000000"/>
              <w:bottom w:val="single" w:sz="4" w:space="0" w:color="000000"/>
            </w:tcBorders>
          </w:tcPr>
          <w:p w:rsidR="005211C0" w:rsidRDefault="00000000">
            <w:pPr>
              <w:pStyle w:val="af3"/>
              <w:jc w:val="both"/>
              <w:cnfStyle w:val="000000000000" w:firstRow="0" w:lastRow="0" w:firstColumn="0" w:lastColumn="0" w:oddVBand="0" w:evenVBand="0" w:oddHBand="0" w:evenHBand="0" w:firstRowFirstColumn="0" w:firstRowLastColumn="0" w:lastRowFirstColumn="0" w:lastRowLastColumn="0"/>
            </w:pPr>
            <w:r>
              <w:rPr>
                <w:rFonts w:hint="eastAsia"/>
              </w:rPr>
              <w:t>0.049911</w:t>
            </w:r>
          </w:p>
        </w:tc>
        <w:tc>
          <w:tcPr>
            <w:tcW w:w="1134" w:type="dxa"/>
            <w:tcBorders>
              <w:top w:val="single" w:sz="4" w:space="0" w:color="000000"/>
              <w:bottom w:val="single" w:sz="4" w:space="0" w:color="000000"/>
            </w:tcBorders>
          </w:tcPr>
          <w:p w:rsidR="005211C0" w:rsidRDefault="00000000">
            <w:pPr>
              <w:pStyle w:val="af3"/>
              <w:jc w:val="both"/>
              <w:cnfStyle w:val="000000000000" w:firstRow="0" w:lastRow="0" w:firstColumn="0" w:lastColumn="0" w:oddVBand="0" w:evenVBand="0" w:oddHBand="0" w:evenHBand="0" w:firstRowFirstColumn="0" w:firstRowLastColumn="0" w:lastRowFirstColumn="0" w:lastRowLastColumn="0"/>
            </w:pPr>
            <w:r>
              <w:rPr>
                <w:rFonts w:hint="eastAsia"/>
              </w:rPr>
              <w:t>0.633985</w:t>
            </w:r>
          </w:p>
        </w:tc>
        <w:tc>
          <w:tcPr>
            <w:tcW w:w="1276" w:type="dxa"/>
            <w:tcBorders>
              <w:top w:val="single" w:sz="4" w:space="0" w:color="000000"/>
              <w:bottom w:val="single" w:sz="4" w:space="0" w:color="000000"/>
            </w:tcBorders>
          </w:tcPr>
          <w:p w:rsidR="005211C0" w:rsidRDefault="00000000">
            <w:pPr>
              <w:pStyle w:val="af3"/>
              <w:jc w:val="both"/>
              <w:cnfStyle w:val="000000000000" w:firstRow="0" w:lastRow="0" w:firstColumn="0" w:lastColumn="0" w:oddVBand="0" w:evenVBand="0" w:oddHBand="0" w:evenHBand="0" w:firstRowFirstColumn="0" w:firstRowLastColumn="0" w:lastRowFirstColumn="0" w:lastRowLastColumn="0"/>
            </w:pPr>
            <w:r>
              <w:rPr>
                <w:rFonts w:hint="eastAsia"/>
              </w:rPr>
              <w:t>0.544967</w:t>
            </w:r>
          </w:p>
        </w:tc>
        <w:tc>
          <w:tcPr>
            <w:tcW w:w="1134" w:type="dxa"/>
            <w:tcBorders>
              <w:top w:val="single" w:sz="4" w:space="0" w:color="000000"/>
              <w:bottom w:val="single" w:sz="4" w:space="0" w:color="000000"/>
            </w:tcBorders>
          </w:tcPr>
          <w:p w:rsidR="005211C0" w:rsidRDefault="00000000">
            <w:pPr>
              <w:pStyle w:val="af3"/>
              <w:jc w:val="both"/>
              <w:cnfStyle w:val="000000000000" w:firstRow="0" w:lastRow="0" w:firstColumn="0" w:lastColumn="0" w:oddVBand="0" w:evenVBand="0" w:oddHBand="0" w:evenHBand="0" w:firstRowFirstColumn="0" w:firstRowLastColumn="0" w:lastRowFirstColumn="0" w:lastRowLastColumn="0"/>
            </w:pPr>
            <w:r>
              <w:rPr>
                <w:rFonts w:hint="eastAsia"/>
              </w:rPr>
              <w:t>0.569492</w:t>
            </w:r>
          </w:p>
        </w:tc>
        <w:tc>
          <w:tcPr>
            <w:tcW w:w="1134" w:type="dxa"/>
            <w:tcBorders>
              <w:top w:val="single" w:sz="4" w:space="0" w:color="000000"/>
              <w:bottom w:val="single" w:sz="4" w:space="0" w:color="000000"/>
            </w:tcBorders>
          </w:tcPr>
          <w:p w:rsidR="005211C0" w:rsidRDefault="00000000">
            <w:pPr>
              <w:pStyle w:val="af3"/>
              <w:jc w:val="both"/>
              <w:cnfStyle w:val="000000000000" w:firstRow="0" w:lastRow="0" w:firstColumn="0" w:lastColumn="0" w:oddVBand="0" w:evenVBand="0" w:oddHBand="0" w:evenHBand="0" w:firstRowFirstColumn="0" w:firstRowLastColumn="0" w:lastRowFirstColumn="0" w:lastRowLastColumn="0"/>
            </w:pPr>
            <w:r>
              <w:rPr>
                <w:rFonts w:hint="eastAsia"/>
              </w:rPr>
              <w:t>D1</w:t>
            </w:r>
          </w:p>
        </w:tc>
        <w:tc>
          <w:tcPr>
            <w:tcW w:w="992" w:type="dxa"/>
            <w:tcBorders>
              <w:top w:val="single" w:sz="4" w:space="0" w:color="000000"/>
              <w:bottom w:val="single" w:sz="4" w:space="0" w:color="000000"/>
            </w:tcBorders>
          </w:tcPr>
          <w:p w:rsidR="005211C0" w:rsidRDefault="00000000">
            <w:pPr>
              <w:pStyle w:val="af3"/>
              <w:jc w:val="both"/>
              <w:cnfStyle w:val="000000000000" w:firstRow="0" w:lastRow="0" w:firstColumn="0" w:lastColumn="0" w:oddVBand="0" w:evenVBand="0" w:oddHBand="0" w:evenHBand="0" w:firstRowFirstColumn="0" w:firstRowLastColumn="0" w:lastRowFirstColumn="0" w:lastRowLastColumn="0"/>
            </w:pPr>
            <w:r>
              <w:rPr>
                <w:rFonts w:hint="eastAsia"/>
              </w:rPr>
              <w:t>D3</w:t>
            </w:r>
          </w:p>
        </w:tc>
        <w:tc>
          <w:tcPr>
            <w:tcW w:w="1954" w:type="dxa"/>
            <w:tcBorders>
              <w:top w:val="single" w:sz="4" w:space="0" w:color="000000"/>
              <w:bottom w:val="single" w:sz="4" w:space="0" w:color="000000"/>
            </w:tcBorders>
          </w:tcPr>
          <w:p w:rsidR="005211C0" w:rsidRDefault="00000000">
            <w:pPr>
              <w:pStyle w:val="af3"/>
              <w:jc w:val="both"/>
              <w:cnfStyle w:val="000000000000" w:firstRow="0" w:lastRow="0" w:firstColumn="0" w:lastColumn="0" w:oddVBand="0" w:evenVBand="0" w:oddHBand="0" w:evenHBand="0" w:firstRowFirstColumn="0" w:firstRowLastColumn="0" w:lastRowFirstColumn="0" w:lastRowLastColumn="0"/>
            </w:pPr>
            <w:r>
              <w:rPr>
                <w:rFonts w:hint="eastAsia"/>
              </w:rPr>
              <w:t>耕地比例</w:t>
            </w:r>
            <w:r>
              <w:rPr>
                <w:rFonts w:hint="eastAsia"/>
              </w:rPr>
              <w:t xml:space="preserve"> </w:t>
            </w:r>
            <w:r>
              <w:rPr>
                <w:rFonts w:hint="eastAsia"/>
              </w:rPr>
              <w:t>；人口密度；森林比例</w:t>
            </w:r>
            <w:r>
              <w:rPr>
                <w:rFonts w:hint="eastAsia"/>
              </w:rPr>
              <w:t xml:space="preserve"> </w:t>
            </w:r>
          </w:p>
        </w:tc>
      </w:tr>
      <w:tr w:rsidR="005211C0" w:rsidTr="005211C0">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000000"/>
              <w:bottom w:val="single" w:sz="12" w:space="0" w:color="000000"/>
            </w:tcBorders>
          </w:tcPr>
          <w:p w:rsidR="005211C0" w:rsidRDefault="00000000">
            <w:pPr>
              <w:pStyle w:val="af3"/>
              <w:jc w:val="both"/>
              <w:rPr>
                <w:b w:val="0"/>
                <w:bCs/>
              </w:rPr>
            </w:pPr>
            <w:r>
              <w:rPr>
                <w:rFonts w:hint="eastAsia"/>
              </w:rPr>
              <w:t>LH</w:t>
            </w:r>
          </w:p>
        </w:tc>
        <w:tc>
          <w:tcPr>
            <w:tcW w:w="1276" w:type="dxa"/>
            <w:tcBorders>
              <w:top w:val="single" w:sz="4" w:space="0" w:color="000000"/>
              <w:bottom w:val="single" w:sz="12" w:space="0" w:color="000000"/>
            </w:tcBorders>
          </w:tcPr>
          <w:p w:rsidR="005211C0" w:rsidRDefault="00000000">
            <w:pPr>
              <w:pStyle w:val="af3"/>
              <w:jc w:val="both"/>
              <w:cnfStyle w:val="000000000000" w:firstRow="0" w:lastRow="0" w:firstColumn="0" w:lastColumn="0" w:oddVBand="0" w:evenVBand="0" w:oddHBand="0" w:evenHBand="0" w:firstRowFirstColumn="0" w:firstRowLastColumn="0" w:lastRowFirstColumn="0" w:lastRowLastColumn="0"/>
            </w:pPr>
            <w:r>
              <w:rPr>
                <w:rFonts w:hint="eastAsia"/>
              </w:rPr>
              <w:t>0.031041</w:t>
            </w:r>
          </w:p>
        </w:tc>
        <w:tc>
          <w:tcPr>
            <w:tcW w:w="1134" w:type="dxa"/>
            <w:tcBorders>
              <w:top w:val="single" w:sz="4" w:space="0" w:color="000000"/>
              <w:bottom w:val="single" w:sz="12" w:space="0" w:color="000000"/>
            </w:tcBorders>
          </w:tcPr>
          <w:p w:rsidR="005211C0" w:rsidRDefault="00000000">
            <w:pPr>
              <w:pStyle w:val="af3"/>
              <w:jc w:val="both"/>
              <w:cnfStyle w:val="000000000000" w:firstRow="0" w:lastRow="0" w:firstColumn="0" w:lastColumn="0" w:oddVBand="0" w:evenVBand="0" w:oddHBand="0" w:evenHBand="0" w:firstRowFirstColumn="0" w:firstRowLastColumn="0" w:lastRowFirstColumn="0" w:lastRowLastColumn="0"/>
            </w:pPr>
            <w:r>
              <w:rPr>
                <w:rFonts w:hint="eastAsia"/>
              </w:rPr>
              <w:t>0.803096</w:t>
            </w:r>
          </w:p>
        </w:tc>
        <w:tc>
          <w:tcPr>
            <w:tcW w:w="1276" w:type="dxa"/>
            <w:tcBorders>
              <w:top w:val="single" w:sz="4" w:space="0" w:color="000000"/>
              <w:bottom w:val="single" w:sz="12" w:space="0" w:color="000000"/>
            </w:tcBorders>
          </w:tcPr>
          <w:p w:rsidR="005211C0" w:rsidRDefault="00000000">
            <w:pPr>
              <w:pStyle w:val="af3"/>
              <w:jc w:val="both"/>
              <w:cnfStyle w:val="000000000000" w:firstRow="0" w:lastRow="0" w:firstColumn="0" w:lastColumn="0" w:oddVBand="0" w:evenVBand="0" w:oddHBand="0" w:evenHBand="0" w:firstRowFirstColumn="0" w:firstRowLastColumn="0" w:lastRowFirstColumn="0" w:lastRowLastColumn="0"/>
            </w:pPr>
            <w:r>
              <w:rPr>
                <w:rFonts w:hint="eastAsia"/>
              </w:rPr>
              <w:t>0.230533</w:t>
            </w:r>
          </w:p>
        </w:tc>
        <w:tc>
          <w:tcPr>
            <w:tcW w:w="1134" w:type="dxa"/>
            <w:tcBorders>
              <w:top w:val="single" w:sz="4" w:space="0" w:color="000000"/>
              <w:bottom w:val="single" w:sz="12" w:space="0" w:color="000000"/>
            </w:tcBorders>
          </w:tcPr>
          <w:p w:rsidR="005211C0" w:rsidRDefault="00000000">
            <w:pPr>
              <w:pStyle w:val="af3"/>
              <w:jc w:val="both"/>
              <w:cnfStyle w:val="000000000000" w:firstRow="0" w:lastRow="0" w:firstColumn="0" w:lastColumn="0" w:oddVBand="0" w:evenVBand="0" w:oddHBand="0" w:evenHBand="0" w:firstRowFirstColumn="0" w:firstRowLastColumn="0" w:lastRowFirstColumn="0" w:lastRowLastColumn="0"/>
            </w:pPr>
            <w:r>
              <w:rPr>
                <w:rFonts w:hint="eastAsia"/>
              </w:rPr>
              <w:t>0.711676</w:t>
            </w:r>
          </w:p>
        </w:tc>
        <w:tc>
          <w:tcPr>
            <w:tcW w:w="1134" w:type="dxa"/>
            <w:tcBorders>
              <w:top w:val="single" w:sz="4" w:space="0" w:color="000000"/>
              <w:bottom w:val="single" w:sz="12" w:space="0" w:color="000000"/>
            </w:tcBorders>
          </w:tcPr>
          <w:p w:rsidR="005211C0" w:rsidRDefault="00000000">
            <w:pPr>
              <w:pStyle w:val="af3"/>
              <w:jc w:val="both"/>
              <w:cnfStyle w:val="000000000000" w:firstRow="0" w:lastRow="0" w:firstColumn="0" w:lastColumn="0" w:oddVBand="0" w:evenVBand="0" w:oddHBand="0" w:evenHBand="0" w:firstRowFirstColumn="0" w:firstRowLastColumn="0" w:lastRowFirstColumn="0" w:lastRowLastColumn="0"/>
            </w:pPr>
            <w:r>
              <w:rPr>
                <w:rFonts w:hint="eastAsia"/>
              </w:rPr>
              <w:t>D1</w:t>
            </w:r>
          </w:p>
        </w:tc>
        <w:tc>
          <w:tcPr>
            <w:tcW w:w="992" w:type="dxa"/>
            <w:tcBorders>
              <w:top w:val="single" w:sz="4" w:space="0" w:color="000000"/>
              <w:bottom w:val="single" w:sz="12" w:space="0" w:color="000000"/>
            </w:tcBorders>
          </w:tcPr>
          <w:p w:rsidR="005211C0" w:rsidRDefault="00000000">
            <w:pPr>
              <w:pStyle w:val="af3"/>
              <w:jc w:val="both"/>
              <w:cnfStyle w:val="000000000000" w:firstRow="0" w:lastRow="0" w:firstColumn="0" w:lastColumn="0" w:oddVBand="0" w:evenVBand="0" w:oddHBand="0" w:evenHBand="0" w:firstRowFirstColumn="0" w:firstRowLastColumn="0" w:lastRowFirstColumn="0" w:lastRowLastColumn="0"/>
            </w:pPr>
            <w:r>
              <w:rPr>
                <w:rFonts w:hint="eastAsia"/>
              </w:rPr>
              <w:t>D3</w:t>
            </w:r>
          </w:p>
        </w:tc>
        <w:tc>
          <w:tcPr>
            <w:tcW w:w="1954" w:type="dxa"/>
            <w:tcBorders>
              <w:top w:val="single" w:sz="4" w:space="0" w:color="000000"/>
              <w:bottom w:val="single" w:sz="12" w:space="0" w:color="000000"/>
            </w:tcBorders>
          </w:tcPr>
          <w:p w:rsidR="005211C0" w:rsidRDefault="00000000">
            <w:pPr>
              <w:pStyle w:val="af3"/>
              <w:jc w:val="both"/>
              <w:cnfStyle w:val="000000000000" w:firstRow="0" w:lastRow="0" w:firstColumn="0" w:lastColumn="0" w:oddVBand="0" w:evenVBand="0" w:oddHBand="0" w:evenHBand="0" w:firstRowFirstColumn="0" w:firstRowLastColumn="0" w:lastRowFirstColumn="0" w:lastRowLastColumn="0"/>
            </w:pPr>
            <w:r>
              <w:rPr>
                <w:rFonts w:hint="eastAsia"/>
              </w:rPr>
              <w:t>森林比例</w:t>
            </w:r>
            <w:r>
              <w:rPr>
                <w:rFonts w:hint="eastAsia"/>
              </w:rPr>
              <w:t xml:space="preserve"> </w:t>
            </w:r>
            <w:r>
              <w:rPr>
                <w:rFonts w:hint="eastAsia"/>
              </w:rPr>
              <w:t>；人口密度；耕地比例</w:t>
            </w:r>
            <w:r>
              <w:rPr>
                <w:rFonts w:hint="eastAsia"/>
              </w:rPr>
              <w:t xml:space="preserve"> </w:t>
            </w:r>
          </w:p>
        </w:tc>
      </w:tr>
    </w:tbl>
    <w:p w:rsidR="005211C0" w:rsidRDefault="005211C0">
      <w:pPr>
        <w:spacing w:line="20" w:lineRule="exact"/>
        <w:ind w:firstLineChars="0" w:firstLine="0"/>
        <w:jc w:val="both"/>
        <w:rPr>
          <w:rFonts w:ascii="宋体" w:hAnsi="宋体"/>
        </w:rPr>
      </w:pPr>
    </w:p>
    <w:sectPr w:rsidR="005211C0">
      <w:headerReference w:type="default" r:id="rId24"/>
      <w:pgSz w:w="11906" w:h="16838"/>
      <w:pgMar w:top="992" w:right="1418" w:bottom="1417" w:left="1418" w:header="992" w:footer="992" w:gutter="0"/>
      <w:pgNumType w:start="1"/>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5C30" w:rsidRDefault="001F5C30">
      <w:pPr>
        <w:spacing w:line="240" w:lineRule="auto"/>
        <w:ind w:firstLine="480"/>
      </w:pPr>
      <w:r>
        <w:separator/>
      </w:r>
    </w:p>
  </w:endnote>
  <w:endnote w:type="continuationSeparator" w:id="0">
    <w:p w:rsidR="001F5C30" w:rsidRDefault="001F5C3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仿宋_GB2312">
    <w:altName w:val="微软雅黑"/>
    <w:panose1 w:val="020B0604020202020204"/>
    <w:charset w:val="86"/>
    <w:family w:val="modern"/>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
      </w:rPr>
      <w:id w:val="940419241"/>
    </w:sdtPr>
    <w:sdtContent>
      <w:p w:rsidR="005211C0" w:rsidRDefault="00000000">
        <w:pPr>
          <w:pStyle w:val="a7"/>
          <w:framePr w:wrap="auto" w:vAnchor="text" w:hAnchor="margin" w:xAlign="center" w:y="1"/>
          <w:ind w:left="480" w:firstLine="360"/>
          <w:rPr>
            <w:rStyle w:val="af"/>
          </w:rPr>
        </w:pPr>
        <w:r>
          <w:rPr>
            <w:rStyle w:val="af"/>
          </w:rPr>
          <w:fldChar w:fldCharType="begin"/>
        </w:r>
        <w:r>
          <w:rPr>
            <w:rStyle w:val="af"/>
          </w:rPr>
          <w:instrText xml:space="preserve"> PAGE </w:instrText>
        </w:r>
        <w:r>
          <w:rPr>
            <w:rStyle w:val="af"/>
          </w:rPr>
          <w:fldChar w:fldCharType="end"/>
        </w:r>
      </w:p>
    </w:sdtContent>
  </w:sdt>
  <w:p w:rsidR="005211C0" w:rsidRDefault="005211C0">
    <w:pPr>
      <w:pStyle w:val="a7"/>
      <w:ind w:left="48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
      </w:rPr>
      <w:id w:val="-1140492745"/>
      <w:docPartObj>
        <w:docPartGallery w:val="AutoText"/>
      </w:docPartObj>
    </w:sdtPr>
    <w:sdtContent>
      <w:p w:rsidR="005211C0" w:rsidRDefault="00000000">
        <w:pPr>
          <w:pStyle w:val="a7"/>
          <w:framePr w:wrap="auto" w:vAnchor="text" w:hAnchor="margin" w:xAlign="center" w:y="1"/>
          <w:ind w:firstLine="360"/>
          <w:rPr>
            <w:rStyle w:val="af"/>
          </w:rPr>
        </w:pPr>
        <w:r>
          <w:rPr>
            <w:rStyle w:val="af"/>
          </w:rPr>
          <w:fldChar w:fldCharType="begin"/>
        </w:r>
        <w:r>
          <w:rPr>
            <w:rStyle w:val="af"/>
          </w:rPr>
          <w:instrText xml:space="preserve"> PAGE </w:instrText>
        </w:r>
        <w:r>
          <w:rPr>
            <w:rStyle w:val="af"/>
          </w:rPr>
          <w:fldChar w:fldCharType="separate"/>
        </w:r>
        <w:r>
          <w:rPr>
            <w:rStyle w:val="af"/>
          </w:rPr>
          <w:t>2</w:t>
        </w:r>
        <w:r>
          <w:rPr>
            <w:rStyle w:val="af"/>
          </w:rPr>
          <w:fldChar w:fldCharType="end"/>
        </w:r>
      </w:p>
    </w:sdtContent>
  </w:sdt>
  <w:p w:rsidR="005211C0" w:rsidRDefault="005211C0">
    <w:pPr>
      <w:pStyle w:val="a7"/>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11C0" w:rsidRDefault="005211C0">
    <w:pPr>
      <w:pStyle w:val="a7"/>
      <w:ind w:left="48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5C30" w:rsidRDefault="001F5C30">
      <w:pPr>
        <w:ind w:firstLine="480"/>
      </w:pPr>
      <w:r>
        <w:separator/>
      </w:r>
    </w:p>
  </w:footnote>
  <w:footnote w:type="continuationSeparator" w:id="0">
    <w:p w:rsidR="001F5C30" w:rsidRDefault="001F5C30">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11C0" w:rsidRDefault="005211C0">
    <w:pPr>
      <w:pStyle w:val="a9"/>
      <w:ind w:left="48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11C0" w:rsidRDefault="005211C0">
    <w:pPr>
      <w:pStyle w:val="a9"/>
      <w:pBdr>
        <w:bottom w:val="none" w:sz="0" w:space="1" w:color="auto"/>
      </w:pBdr>
      <w:tabs>
        <w:tab w:val="clear" w:pos="4153"/>
        <w:tab w:val="clear" w:pos="8306"/>
        <w:tab w:val="left" w:pos="5660"/>
        <w:tab w:val="left" w:pos="5741"/>
      </w:tabs>
      <w:ind w:left="480" w:firstLine="360"/>
      <w:rPr>
        <w:rFonts w:ascii="宋体" w:hAnsi="宋体" w:cs="宋体"/>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11C0" w:rsidRDefault="005211C0">
    <w:pPr>
      <w:pStyle w:val="a9"/>
      <w:ind w:left="480"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11C0" w:rsidRDefault="00000000">
    <w:pPr>
      <w:pStyle w:val="a9"/>
      <w:pBdr>
        <w:bottom w:val="none" w:sz="0" w:space="1" w:color="auto"/>
      </w:pBdr>
      <w:tabs>
        <w:tab w:val="clear" w:pos="4153"/>
        <w:tab w:val="clear" w:pos="8306"/>
        <w:tab w:val="left" w:pos="5660"/>
        <w:tab w:val="left" w:pos="5741"/>
      </w:tabs>
      <w:ind w:firstLineChars="0" w:firstLine="0"/>
      <w:rPr>
        <w:rFonts w:ascii="宋体" w:hAnsi="宋体" w:cs="宋体"/>
      </w:rPr>
    </w:pPr>
    <w:r>
      <w:rPr>
        <w:rFonts w:ascii="宋体" w:hAnsi="宋体" w:cs="宋体"/>
      </w:rPr>
      <w:t>南京信息工程大学本科毕业论文（设计）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bordersDoNotSurroundHeader/>
  <w:bordersDoNotSurroundFooter/>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UwZDY2YTg1N2FjNWY1ZjE3MDMxNDJkY2ZkZTQ1YzMifQ=="/>
  </w:docVars>
  <w:rsids>
    <w:rsidRoot w:val="00C91AFC"/>
    <w:rsid w:val="BFDF572E"/>
    <w:rsid w:val="DFDD0E1E"/>
    <w:rsid w:val="E77A31D2"/>
    <w:rsid w:val="EF9D86A9"/>
    <w:rsid w:val="F44B1801"/>
    <w:rsid w:val="F5FB9CB8"/>
    <w:rsid w:val="F7BF4457"/>
    <w:rsid w:val="FAFDF440"/>
    <w:rsid w:val="FD5E71C6"/>
    <w:rsid w:val="FE9B6EB7"/>
    <w:rsid w:val="FFCB3562"/>
    <w:rsid w:val="00015F2C"/>
    <w:rsid w:val="00021C85"/>
    <w:rsid w:val="00023CCC"/>
    <w:rsid w:val="00025059"/>
    <w:rsid w:val="00046B83"/>
    <w:rsid w:val="00046BDB"/>
    <w:rsid w:val="000510FF"/>
    <w:rsid w:val="00053E2F"/>
    <w:rsid w:val="0006104B"/>
    <w:rsid w:val="000618DF"/>
    <w:rsid w:val="000633B6"/>
    <w:rsid w:val="00066044"/>
    <w:rsid w:val="0007003F"/>
    <w:rsid w:val="00081107"/>
    <w:rsid w:val="00082ADF"/>
    <w:rsid w:val="00083360"/>
    <w:rsid w:val="000938E9"/>
    <w:rsid w:val="00093D21"/>
    <w:rsid w:val="000A3855"/>
    <w:rsid w:val="000A53CD"/>
    <w:rsid w:val="000B1534"/>
    <w:rsid w:val="000B2099"/>
    <w:rsid w:val="000B7C16"/>
    <w:rsid w:val="000C39A8"/>
    <w:rsid w:val="000C3CE6"/>
    <w:rsid w:val="000D1A98"/>
    <w:rsid w:val="000D598D"/>
    <w:rsid w:val="000D7B14"/>
    <w:rsid w:val="000E26B1"/>
    <w:rsid w:val="00115E12"/>
    <w:rsid w:val="001177CC"/>
    <w:rsid w:val="00130985"/>
    <w:rsid w:val="00130D04"/>
    <w:rsid w:val="001550C7"/>
    <w:rsid w:val="00156678"/>
    <w:rsid w:val="00165875"/>
    <w:rsid w:val="00175EBC"/>
    <w:rsid w:val="001809A1"/>
    <w:rsid w:val="00185BC2"/>
    <w:rsid w:val="001863DD"/>
    <w:rsid w:val="00191A06"/>
    <w:rsid w:val="0019478C"/>
    <w:rsid w:val="001952E7"/>
    <w:rsid w:val="00196CAA"/>
    <w:rsid w:val="001A7018"/>
    <w:rsid w:val="001B23ED"/>
    <w:rsid w:val="001B3183"/>
    <w:rsid w:val="001B3210"/>
    <w:rsid w:val="001C09E0"/>
    <w:rsid w:val="001C2FD6"/>
    <w:rsid w:val="001C3398"/>
    <w:rsid w:val="001D4D01"/>
    <w:rsid w:val="001D71FA"/>
    <w:rsid w:val="001F2479"/>
    <w:rsid w:val="001F5405"/>
    <w:rsid w:val="001F5C30"/>
    <w:rsid w:val="002020FA"/>
    <w:rsid w:val="00205D5C"/>
    <w:rsid w:val="002107F3"/>
    <w:rsid w:val="00210FF9"/>
    <w:rsid w:val="00212370"/>
    <w:rsid w:val="00227F56"/>
    <w:rsid w:val="002317EE"/>
    <w:rsid w:val="00240343"/>
    <w:rsid w:val="00242417"/>
    <w:rsid w:val="00252F0A"/>
    <w:rsid w:val="00263222"/>
    <w:rsid w:val="00270EF2"/>
    <w:rsid w:val="002743CF"/>
    <w:rsid w:val="002816CE"/>
    <w:rsid w:val="00285FA7"/>
    <w:rsid w:val="00293678"/>
    <w:rsid w:val="002A2FD8"/>
    <w:rsid w:val="002A495E"/>
    <w:rsid w:val="002B1120"/>
    <w:rsid w:val="002B1E36"/>
    <w:rsid w:val="002B44DE"/>
    <w:rsid w:val="002B530C"/>
    <w:rsid w:val="002C15AE"/>
    <w:rsid w:val="002C1EC7"/>
    <w:rsid w:val="002D11E6"/>
    <w:rsid w:val="002D37AB"/>
    <w:rsid w:val="002E04B4"/>
    <w:rsid w:val="002E63B2"/>
    <w:rsid w:val="002F1627"/>
    <w:rsid w:val="002F3EAF"/>
    <w:rsid w:val="002F53A6"/>
    <w:rsid w:val="00300741"/>
    <w:rsid w:val="00304FD6"/>
    <w:rsid w:val="0031629C"/>
    <w:rsid w:val="0034708C"/>
    <w:rsid w:val="00352ABD"/>
    <w:rsid w:val="00353456"/>
    <w:rsid w:val="00354D5C"/>
    <w:rsid w:val="0036142A"/>
    <w:rsid w:val="00361714"/>
    <w:rsid w:val="00367B28"/>
    <w:rsid w:val="00371076"/>
    <w:rsid w:val="00374FDF"/>
    <w:rsid w:val="00381E2D"/>
    <w:rsid w:val="00392065"/>
    <w:rsid w:val="003A1F26"/>
    <w:rsid w:val="003B2526"/>
    <w:rsid w:val="003B4489"/>
    <w:rsid w:val="003B6A9B"/>
    <w:rsid w:val="003C39CE"/>
    <w:rsid w:val="003C67E2"/>
    <w:rsid w:val="003D0353"/>
    <w:rsid w:val="003D19B8"/>
    <w:rsid w:val="00402558"/>
    <w:rsid w:val="00406900"/>
    <w:rsid w:val="004172FA"/>
    <w:rsid w:val="00417880"/>
    <w:rsid w:val="00432B31"/>
    <w:rsid w:val="00444589"/>
    <w:rsid w:val="00453758"/>
    <w:rsid w:val="00454C96"/>
    <w:rsid w:val="004640EE"/>
    <w:rsid w:val="0048722E"/>
    <w:rsid w:val="00492B25"/>
    <w:rsid w:val="00492FE5"/>
    <w:rsid w:val="004954D9"/>
    <w:rsid w:val="004C5B0A"/>
    <w:rsid w:val="004D1F5C"/>
    <w:rsid w:val="004D392C"/>
    <w:rsid w:val="004D57BA"/>
    <w:rsid w:val="004E281D"/>
    <w:rsid w:val="004E3FEC"/>
    <w:rsid w:val="004E68CC"/>
    <w:rsid w:val="00500738"/>
    <w:rsid w:val="00501E58"/>
    <w:rsid w:val="0050646B"/>
    <w:rsid w:val="0051265B"/>
    <w:rsid w:val="005130F6"/>
    <w:rsid w:val="00514A0B"/>
    <w:rsid w:val="005158EB"/>
    <w:rsid w:val="0052102C"/>
    <w:rsid w:val="005211C0"/>
    <w:rsid w:val="00523523"/>
    <w:rsid w:val="00524C04"/>
    <w:rsid w:val="00533677"/>
    <w:rsid w:val="00536911"/>
    <w:rsid w:val="00544A8A"/>
    <w:rsid w:val="00561726"/>
    <w:rsid w:val="00570698"/>
    <w:rsid w:val="00573D11"/>
    <w:rsid w:val="005778A1"/>
    <w:rsid w:val="0058197B"/>
    <w:rsid w:val="00582B82"/>
    <w:rsid w:val="005865DE"/>
    <w:rsid w:val="005A6701"/>
    <w:rsid w:val="005B0699"/>
    <w:rsid w:val="005C263C"/>
    <w:rsid w:val="005C339E"/>
    <w:rsid w:val="005D231C"/>
    <w:rsid w:val="005D3E12"/>
    <w:rsid w:val="005F1F09"/>
    <w:rsid w:val="005F6AE9"/>
    <w:rsid w:val="00602A2E"/>
    <w:rsid w:val="006036F7"/>
    <w:rsid w:val="00610176"/>
    <w:rsid w:val="00620F15"/>
    <w:rsid w:val="00622571"/>
    <w:rsid w:val="00635A4D"/>
    <w:rsid w:val="00650684"/>
    <w:rsid w:val="006519F1"/>
    <w:rsid w:val="00653403"/>
    <w:rsid w:val="00653EC3"/>
    <w:rsid w:val="006721C3"/>
    <w:rsid w:val="0067247B"/>
    <w:rsid w:val="00674984"/>
    <w:rsid w:val="00680182"/>
    <w:rsid w:val="00684766"/>
    <w:rsid w:val="00685D7E"/>
    <w:rsid w:val="006936EA"/>
    <w:rsid w:val="006957DE"/>
    <w:rsid w:val="006A77DD"/>
    <w:rsid w:val="006B727E"/>
    <w:rsid w:val="006C0A51"/>
    <w:rsid w:val="006C1692"/>
    <w:rsid w:val="006F0D19"/>
    <w:rsid w:val="006F5142"/>
    <w:rsid w:val="00710388"/>
    <w:rsid w:val="007126F8"/>
    <w:rsid w:val="00716E7C"/>
    <w:rsid w:val="00717697"/>
    <w:rsid w:val="00722113"/>
    <w:rsid w:val="00723FCF"/>
    <w:rsid w:val="0073114B"/>
    <w:rsid w:val="00742AAE"/>
    <w:rsid w:val="00747D1A"/>
    <w:rsid w:val="00762D2E"/>
    <w:rsid w:val="007633D3"/>
    <w:rsid w:val="007654E8"/>
    <w:rsid w:val="00781F5B"/>
    <w:rsid w:val="00785222"/>
    <w:rsid w:val="007861CC"/>
    <w:rsid w:val="00793D57"/>
    <w:rsid w:val="00797259"/>
    <w:rsid w:val="007A25AE"/>
    <w:rsid w:val="007A485D"/>
    <w:rsid w:val="007A5E1A"/>
    <w:rsid w:val="007B3D82"/>
    <w:rsid w:val="007B7049"/>
    <w:rsid w:val="007B7615"/>
    <w:rsid w:val="007C2350"/>
    <w:rsid w:val="007D0523"/>
    <w:rsid w:val="007E04C7"/>
    <w:rsid w:val="007E1FBE"/>
    <w:rsid w:val="007F04F0"/>
    <w:rsid w:val="007F0AF7"/>
    <w:rsid w:val="007F789E"/>
    <w:rsid w:val="00810E8D"/>
    <w:rsid w:val="008113F1"/>
    <w:rsid w:val="008130D4"/>
    <w:rsid w:val="00821464"/>
    <w:rsid w:val="0082514B"/>
    <w:rsid w:val="00831B9A"/>
    <w:rsid w:val="00831FC1"/>
    <w:rsid w:val="008322D5"/>
    <w:rsid w:val="00835A73"/>
    <w:rsid w:val="00852BB5"/>
    <w:rsid w:val="0085581A"/>
    <w:rsid w:val="00856E5B"/>
    <w:rsid w:val="00857990"/>
    <w:rsid w:val="0086432F"/>
    <w:rsid w:val="0086537A"/>
    <w:rsid w:val="008653C2"/>
    <w:rsid w:val="00866979"/>
    <w:rsid w:val="008728FA"/>
    <w:rsid w:val="00873AAC"/>
    <w:rsid w:val="008751E0"/>
    <w:rsid w:val="00876A1E"/>
    <w:rsid w:val="008770C2"/>
    <w:rsid w:val="00885092"/>
    <w:rsid w:val="00896001"/>
    <w:rsid w:val="008B3C85"/>
    <w:rsid w:val="008B3D62"/>
    <w:rsid w:val="008B64C2"/>
    <w:rsid w:val="008C1A30"/>
    <w:rsid w:val="008C7365"/>
    <w:rsid w:val="008E0553"/>
    <w:rsid w:val="008F608C"/>
    <w:rsid w:val="008F73CB"/>
    <w:rsid w:val="00901898"/>
    <w:rsid w:val="00904231"/>
    <w:rsid w:val="00905F55"/>
    <w:rsid w:val="0091157B"/>
    <w:rsid w:val="0091271C"/>
    <w:rsid w:val="009141F5"/>
    <w:rsid w:val="00916E86"/>
    <w:rsid w:val="009305E6"/>
    <w:rsid w:val="00933F5A"/>
    <w:rsid w:val="0093439F"/>
    <w:rsid w:val="009374E0"/>
    <w:rsid w:val="00950028"/>
    <w:rsid w:val="0096348D"/>
    <w:rsid w:val="0097674C"/>
    <w:rsid w:val="009808D1"/>
    <w:rsid w:val="009815FE"/>
    <w:rsid w:val="00985CBF"/>
    <w:rsid w:val="009867CC"/>
    <w:rsid w:val="00991CBB"/>
    <w:rsid w:val="009972C2"/>
    <w:rsid w:val="009B4096"/>
    <w:rsid w:val="009B61CC"/>
    <w:rsid w:val="009C1348"/>
    <w:rsid w:val="009C3EFC"/>
    <w:rsid w:val="009D48DC"/>
    <w:rsid w:val="009E001D"/>
    <w:rsid w:val="009E3906"/>
    <w:rsid w:val="009F31C4"/>
    <w:rsid w:val="009F4B2D"/>
    <w:rsid w:val="00A04BC0"/>
    <w:rsid w:val="00A1562C"/>
    <w:rsid w:val="00A16C7D"/>
    <w:rsid w:val="00A1712C"/>
    <w:rsid w:val="00A44B0D"/>
    <w:rsid w:val="00A523E0"/>
    <w:rsid w:val="00A543C2"/>
    <w:rsid w:val="00A60E7F"/>
    <w:rsid w:val="00A62138"/>
    <w:rsid w:val="00A63EA7"/>
    <w:rsid w:val="00A657B1"/>
    <w:rsid w:val="00A85381"/>
    <w:rsid w:val="00A90A75"/>
    <w:rsid w:val="00A94039"/>
    <w:rsid w:val="00A9514F"/>
    <w:rsid w:val="00A9637E"/>
    <w:rsid w:val="00AA2DD8"/>
    <w:rsid w:val="00AA5B31"/>
    <w:rsid w:val="00AA6A81"/>
    <w:rsid w:val="00AA7B09"/>
    <w:rsid w:val="00AB59B4"/>
    <w:rsid w:val="00AB675D"/>
    <w:rsid w:val="00AB754C"/>
    <w:rsid w:val="00AD5BE4"/>
    <w:rsid w:val="00AE0636"/>
    <w:rsid w:val="00AE1058"/>
    <w:rsid w:val="00AF2819"/>
    <w:rsid w:val="00AF4199"/>
    <w:rsid w:val="00AF7DEA"/>
    <w:rsid w:val="00B00CAF"/>
    <w:rsid w:val="00B00D03"/>
    <w:rsid w:val="00B05C92"/>
    <w:rsid w:val="00B07AA7"/>
    <w:rsid w:val="00B15B14"/>
    <w:rsid w:val="00B202C7"/>
    <w:rsid w:val="00B21E15"/>
    <w:rsid w:val="00B2303E"/>
    <w:rsid w:val="00B2682C"/>
    <w:rsid w:val="00B33528"/>
    <w:rsid w:val="00B403BB"/>
    <w:rsid w:val="00B42C49"/>
    <w:rsid w:val="00B509E4"/>
    <w:rsid w:val="00B521FF"/>
    <w:rsid w:val="00B55CA1"/>
    <w:rsid w:val="00B654C6"/>
    <w:rsid w:val="00B66CAB"/>
    <w:rsid w:val="00B7340B"/>
    <w:rsid w:val="00B800E6"/>
    <w:rsid w:val="00B80C1F"/>
    <w:rsid w:val="00BA0A83"/>
    <w:rsid w:val="00BB2DC6"/>
    <w:rsid w:val="00BB7C7D"/>
    <w:rsid w:val="00BC4742"/>
    <w:rsid w:val="00BC5C8C"/>
    <w:rsid w:val="00BC6A32"/>
    <w:rsid w:val="00BC6B5C"/>
    <w:rsid w:val="00BE454E"/>
    <w:rsid w:val="00BF48B8"/>
    <w:rsid w:val="00C04B43"/>
    <w:rsid w:val="00C14D4F"/>
    <w:rsid w:val="00C2512A"/>
    <w:rsid w:val="00C308C7"/>
    <w:rsid w:val="00C466C4"/>
    <w:rsid w:val="00C57C1D"/>
    <w:rsid w:val="00C604F1"/>
    <w:rsid w:val="00C62C57"/>
    <w:rsid w:val="00C64861"/>
    <w:rsid w:val="00C749A7"/>
    <w:rsid w:val="00C75AEA"/>
    <w:rsid w:val="00C83B45"/>
    <w:rsid w:val="00C91AFC"/>
    <w:rsid w:val="00C91F2E"/>
    <w:rsid w:val="00C9268C"/>
    <w:rsid w:val="00CA313F"/>
    <w:rsid w:val="00CA5655"/>
    <w:rsid w:val="00CA5C5B"/>
    <w:rsid w:val="00CA67A9"/>
    <w:rsid w:val="00CA6EED"/>
    <w:rsid w:val="00CB54C6"/>
    <w:rsid w:val="00CC2DFC"/>
    <w:rsid w:val="00CD032E"/>
    <w:rsid w:val="00CD2E75"/>
    <w:rsid w:val="00CE1DA7"/>
    <w:rsid w:val="00CE4F69"/>
    <w:rsid w:val="00CE5159"/>
    <w:rsid w:val="00CE70B0"/>
    <w:rsid w:val="00CF1CCB"/>
    <w:rsid w:val="00CF2165"/>
    <w:rsid w:val="00D108FD"/>
    <w:rsid w:val="00D16501"/>
    <w:rsid w:val="00D1699F"/>
    <w:rsid w:val="00D17642"/>
    <w:rsid w:val="00D224D7"/>
    <w:rsid w:val="00D236BD"/>
    <w:rsid w:val="00D34EDC"/>
    <w:rsid w:val="00D37C73"/>
    <w:rsid w:val="00D4152B"/>
    <w:rsid w:val="00D53900"/>
    <w:rsid w:val="00D555D5"/>
    <w:rsid w:val="00D63ABF"/>
    <w:rsid w:val="00D73333"/>
    <w:rsid w:val="00D84105"/>
    <w:rsid w:val="00DA1F55"/>
    <w:rsid w:val="00DA3201"/>
    <w:rsid w:val="00DA3716"/>
    <w:rsid w:val="00DB7D22"/>
    <w:rsid w:val="00DC2E20"/>
    <w:rsid w:val="00DD0C08"/>
    <w:rsid w:val="00DD7618"/>
    <w:rsid w:val="00DE34CA"/>
    <w:rsid w:val="00DE5455"/>
    <w:rsid w:val="00DE6171"/>
    <w:rsid w:val="00DF098E"/>
    <w:rsid w:val="00DF1B4F"/>
    <w:rsid w:val="00E22F3E"/>
    <w:rsid w:val="00E32150"/>
    <w:rsid w:val="00E405C9"/>
    <w:rsid w:val="00E4247B"/>
    <w:rsid w:val="00E433FC"/>
    <w:rsid w:val="00E44AFB"/>
    <w:rsid w:val="00E53810"/>
    <w:rsid w:val="00E56371"/>
    <w:rsid w:val="00E607FF"/>
    <w:rsid w:val="00E62007"/>
    <w:rsid w:val="00E646D2"/>
    <w:rsid w:val="00E8038B"/>
    <w:rsid w:val="00E820F3"/>
    <w:rsid w:val="00E82709"/>
    <w:rsid w:val="00E87B53"/>
    <w:rsid w:val="00E933EC"/>
    <w:rsid w:val="00E93853"/>
    <w:rsid w:val="00E94192"/>
    <w:rsid w:val="00E968A2"/>
    <w:rsid w:val="00EA11CE"/>
    <w:rsid w:val="00EA6D8C"/>
    <w:rsid w:val="00EB258F"/>
    <w:rsid w:val="00EB4C6D"/>
    <w:rsid w:val="00EC4208"/>
    <w:rsid w:val="00ED226A"/>
    <w:rsid w:val="00ED4C7D"/>
    <w:rsid w:val="00EE7703"/>
    <w:rsid w:val="00EF353B"/>
    <w:rsid w:val="00F0195E"/>
    <w:rsid w:val="00F02E5D"/>
    <w:rsid w:val="00F103CC"/>
    <w:rsid w:val="00F13515"/>
    <w:rsid w:val="00F13C60"/>
    <w:rsid w:val="00F244C2"/>
    <w:rsid w:val="00F33FC8"/>
    <w:rsid w:val="00F459EF"/>
    <w:rsid w:val="00F528B0"/>
    <w:rsid w:val="00F61BD8"/>
    <w:rsid w:val="00F61D38"/>
    <w:rsid w:val="00F64BDC"/>
    <w:rsid w:val="00F67306"/>
    <w:rsid w:val="00F72CD3"/>
    <w:rsid w:val="00F7340E"/>
    <w:rsid w:val="00F923E2"/>
    <w:rsid w:val="00F95C58"/>
    <w:rsid w:val="00FA7413"/>
    <w:rsid w:val="00FB6C63"/>
    <w:rsid w:val="00FB6EF8"/>
    <w:rsid w:val="00FD5F19"/>
    <w:rsid w:val="00FE0E18"/>
    <w:rsid w:val="00FE4BE2"/>
    <w:rsid w:val="00FF44A7"/>
    <w:rsid w:val="00FF6196"/>
    <w:rsid w:val="00FF6378"/>
    <w:rsid w:val="0131666B"/>
    <w:rsid w:val="015D7EE5"/>
    <w:rsid w:val="025C7438"/>
    <w:rsid w:val="02702D13"/>
    <w:rsid w:val="0461636B"/>
    <w:rsid w:val="05115A12"/>
    <w:rsid w:val="056E722A"/>
    <w:rsid w:val="05737345"/>
    <w:rsid w:val="06796A2D"/>
    <w:rsid w:val="067B3664"/>
    <w:rsid w:val="06D849E3"/>
    <w:rsid w:val="07120245"/>
    <w:rsid w:val="08A70553"/>
    <w:rsid w:val="09D82A3B"/>
    <w:rsid w:val="0A0517C5"/>
    <w:rsid w:val="0A4C69F3"/>
    <w:rsid w:val="0AD660F6"/>
    <w:rsid w:val="0BFF2A12"/>
    <w:rsid w:val="0C8819E6"/>
    <w:rsid w:val="0D55231B"/>
    <w:rsid w:val="0E3966AF"/>
    <w:rsid w:val="0FF147E5"/>
    <w:rsid w:val="1007549F"/>
    <w:rsid w:val="103510F9"/>
    <w:rsid w:val="1126790F"/>
    <w:rsid w:val="11696008"/>
    <w:rsid w:val="11714438"/>
    <w:rsid w:val="12736925"/>
    <w:rsid w:val="138D3CCD"/>
    <w:rsid w:val="141E3023"/>
    <w:rsid w:val="15565D98"/>
    <w:rsid w:val="16614B4D"/>
    <w:rsid w:val="16B70056"/>
    <w:rsid w:val="171C0140"/>
    <w:rsid w:val="17D66D1D"/>
    <w:rsid w:val="17E27E38"/>
    <w:rsid w:val="198527A8"/>
    <w:rsid w:val="19AF1F1B"/>
    <w:rsid w:val="19FD72BD"/>
    <w:rsid w:val="1BDA1F5C"/>
    <w:rsid w:val="1C1E66A8"/>
    <w:rsid w:val="1C6C3736"/>
    <w:rsid w:val="1D3D63B9"/>
    <w:rsid w:val="1D9E652E"/>
    <w:rsid w:val="1E7976B0"/>
    <w:rsid w:val="1EB25C10"/>
    <w:rsid w:val="1F175A1B"/>
    <w:rsid w:val="1F4B68F3"/>
    <w:rsid w:val="1F871844"/>
    <w:rsid w:val="1FF55783"/>
    <w:rsid w:val="2023248F"/>
    <w:rsid w:val="204131A1"/>
    <w:rsid w:val="205F3DAA"/>
    <w:rsid w:val="235350FB"/>
    <w:rsid w:val="23B23E6B"/>
    <w:rsid w:val="246418A5"/>
    <w:rsid w:val="24C97233"/>
    <w:rsid w:val="25AD4B37"/>
    <w:rsid w:val="25DB0233"/>
    <w:rsid w:val="25ED4D74"/>
    <w:rsid w:val="2725381D"/>
    <w:rsid w:val="27335A5D"/>
    <w:rsid w:val="27583CF9"/>
    <w:rsid w:val="27605E9A"/>
    <w:rsid w:val="28397580"/>
    <w:rsid w:val="28E60D8A"/>
    <w:rsid w:val="29404AAC"/>
    <w:rsid w:val="29CE5918"/>
    <w:rsid w:val="29D16DBA"/>
    <w:rsid w:val="2A296E44"/>
    <w:rsid w:val="2A55170C"/>
    <w:rsid w:val="2AB559F6"/>
    <w:rsid w:val="2CD30612"/>
    <w:rsid w:val="2D4B0210"/>
    <w:rsid w:val="2D72232D"/>
    <w:rsid w:val="2D9D0258"/>
    <w:rsid w:val="2EEB60EF"/>
    <w:rsid w:val="2F321F36"/>
    <w:rsid w:val="2FA36B3A"/>
    <w:rsid w:val="2FDF1165"/>
    <w:rsid w:val="30AE39AB"/>
    <w:rsid w:val="30BA09FB"/>
    <w:rsid w:val="315F0948"/>
    <w:rsid w:val="31E74094"/>
    <w:rsid w:val="3248782C"/>
    <w:rsid w:val="331673C2"/>
    <w:rsid w:val="3386152A"/>
    <w:rsid w:val="339D53FA"/>
    <w:rsid w:val="33D71369"/>
    <w:rsid w:val="3409054E"/>
    <w:rsid w:val="34A965A7"/>
    <w:rsid w:val="34E268A9"/>
    <w:rsid w:val="37AE551F"/>
    <w:rsid w:val="395069E3"/>
    <w:rsid w:val="3A9A683E"/>
    <w:rsid w:val="3B6A12D8"/>
    <w:rsid w:val="3BDF910D"/>
    <w:rsid w:val="3C853647"/>
    <w:rsid w:val="3DB159B2"/>
    <w:rsid w:val="3ECA70B4"/>
    <w:rsid w:val="3FCF4EF9"/>
    <w:rsid w:val="40A52D6B"/>
    <w:rsid w:val="40D37992"/>
    <w:rsid w:val="42063803"/>
    <w:rsid w:val="421C0AE7"/>
    <w:rsid w:val="42222583"/>
    <w:rsid w:val="42EC5F4A"/>
    <w:rsid w:val="43BB28A6"/>
    <w:rsid w:val="443D2AED"/>
    <w:rsid w:val="45064179"/>
    <w:rsid w:val="4608663E"/>
    <w:rsid w:val="48532BCA"/>
    <w:rsid w:val="48B45554"/>
    <w:rsid w:val="492B4F02"/>
    <w:rsid w:val="4AC4516F"/>
    <w:rsid w:val="4CBD4B6E"/>
    <w:rsid w:val="4D244DEB"/>
    <w:rsid w:val="50D47374"/>
    <w:rsid w:val="531F753E"/>
    <w:rsid w:val="56066443"/>
    <w:rsid w:val="560B48EE"/>
    <w:rsid w:val="579875B2"/>
    <w:rsid w:val="58A80DA3"/>
    <w:rsid w:val="58EB7DD2"/>
    <w:rsid w:val="5942013C"/>
    <w:rsid w:val="59E11D14"/>
    <w:rsid w:val="5A381E1A"/>
    <w:rsid w:val="5BFA7304"/>
    <w:rsid w:val="5D2268F6"/>
    <w:rsid w:val="5DF43B5D"/>
    <w:rsid w:val="5EE57FA4"/>
    <w:rsid w:val="5FA71900"/>
    <w:rsid w:val="610158A9"/>
    <w:rsid w:val="61FA132E"/>
    <w:rsid w:val="621602AC"/>
    <w:rsid w:val="63E15DFA"/>
    <w:rsid w:val="6534131C"/>
    <w:rsid w:val="659908FB"/>
    <w:rsid w:val="65D41374"/>
    <w:rsid w:val="65F038C4"/>
    <w:rsid w:val="6825006B"/>
    <w:rsid w:val="68AA547B"/>
    <w:rsid w:val="69F875E7"/>
    <w:rsid w:val="6A3A1F71"/>
    <w:rsid w:val="6B673498"/>
    <w:rsid w:val="6BB203A5"/>
    <w:rsid w:val="6BD741D2"/>
    <w:rsid w:val="6CB06B79"/>
    <w:rsid w:val="6D196CD6"/>
    <w:rsid w:val="6E12355D"/>
    <w:rsid w:val="6EA3711E"/>
    <w:rsid w:val="70545BA6"/>
    <w:rsid w:val="70860455"/>
    <w:rsid w:val="71CA612E"/>
    <w:rsid w:val="71DD3162"/>
    <w:rsid w:val="72474EF4"/>
    <w:rsid w:val="725B76BF"/>
    <w:rsid w:val="73446F2C"/>
    <w:rsid w:val="73AA1908"/>
    <w:rsid w:val="73BB0416"/>
    <w:rsid w:val="74F85E3A"/>
    <w:rsid w:val="75443E0D"/>
    <w:rsid w:val="76382C26"/>
    <w:rsid w:val="763F63BE"/>
    <w:rsid w:val="76FA5231"/>
    <w:rsid w:val="77697E5D"/>
    <w:rsid w:val="779D6E8E"/>
    <w:rsid w:val="77E93251"/>
    <w:rsid w:val="77F07E27"/>
    <w:rsid w:val="77FF364E"/>
    <w:rsid w:val="782E0D15"/>
    <w:rsid w:val="78F77DF0"/>
    <w:rsid w:val="79AF3C06"/>
    <w:rsid w:val="7A6351E3"/>
    <w:rsid w:val="7AB93476"/>
    <w:rsid w:val="7AE07CD0"/>
    <w:rsid w:val="7B446F42"/>
    <w:rsid w:val="7BFD7715"/>
    <w:rsid w:val="7CAF4D98"/>
    <w:rsid w:val="7DAF9D69"/>
    <w:rsid w:val="7E1A78D3"/>
    <w:rsid w:val="7EB268B9"/>
    <w:rsid w:val="7F7EE288"/>
    <w:rsid w:val="7F7F1F83"/>
    <w:rsid w:val="7FA50E39"/>
    <w:rsid w:val="7FCB29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2074348"/>
  <w15:docId w15:val="{570946E6-17D6-3245-B70E-FD2971DFF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ind w:firstLineChars="200" w:firstLine="200"/>
    </w:pPr>
    <w:rPr>
      <w:sz w:val="24"/>
      <w:szCs w:val="21"/>
    </w:rPr>
  </w:style>
  <w:style w:type="paragraph" w:styleId="1">
    <w:name w:val="heading 1"/>
    <w:basedOn w:val="a"/>
    <w:next w:val="a"/>
    <w:link w:val="10"/>
    <w:uiPriority w:val="9"/>
    <w:qFormat/>
    <w:pPr>
      <w:keepNext/>
      <w:keepLines/>
      <w:outlineLvl w:val="0"/>
    </w:pPr>
    <w:rPr>
      <w:rFonts w:ascii="黑体" w:eastAsia="黑体" w:hAnsi="黑体"/>
      <w:b/>
      <w:bCs/>
      <w:sz w:val="28"/>
      <w:szCs w:val="28"/>
    </w:rPr>
  </w:style>
  <w:style w:type="paragraph" w:styleId="2">
    <w:name w:val="heading 2"/>
    <w:basedOn w:val="a"/>
    <w:next w:val="a"/>
    <w:qFormat/>
    <w:pPr>
      <w:keepNext/>
      <w:keepLines/>
      <w:outlineLvl w:val="1"/>
    </w:pPr>
    <w:rPr>
      <w:rFonts w:ascii="黑体" w:eastAsia="黑体" w:hAnsi="黑体"/>
      <w:b/>
      <w:bCs/>
    </w:rPr>
  </w:style>
  <w:style w:type="paragraph" w:styleId="3">
    <w:name w:val="heading 3"/>
    <w:basedOn w:val="a"/>
    <w:next w:val="a"/>
    <w:link w:val="30"/>
    <w:uiPriority w:val="9"/>
    <w:unhideWhenUsed/>
    <w:qFormat/>
    <w:pPr>
      <w:keepNext/>
      <w:keepLines/>
      <w:outlineLvl w:val="2"/>
    </w:pPr>
    <w:rPr>
      <w:rFonts w:ascii="宋体" w:hAnsi="宋体"/>
      <w:bCs/>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pPr>
      <w:keepNext/>
      <w:keepLines/>
      <w:spacing w:before="240" w:after="64" w:line="320" w:lineRule="auto"/>
      <w:outlineLvl w:val="5"/>
    </w:pPr>
    <w:rPr>
      <w:rFonts w:asciiTheme="majorHAnsi" w:eastAsiaTheme="majorEastAsia" w:hAnsiTheme="majorHAnsi" w:cstheme="majorBidi"/>
      <w:b/>
      <w:bCs/>
    </w:rPr>
  </w:style>
  <w:style w:type="paragraph" w:styleId="7">
    <w:name w:val="heading 7"/>
    <w:basedOn w:val="a"/>
    <w:next w:val="a"/>
    <w:link w:val="70"/>
    <w:uiPriority w:val="9"/>
    <w:semiHidden/>
    <w:unhideWhenUsed/>
    <w:qFormat/>
    <w:pPr>
      <w:keepNext/>
      <w:keepLines/>
      <w:spacing w:before="240" w:after="64" w:line="320" w:lineRule="auto"/>
      <w:outlineLvl w:val="6"/>
    </w:pPr>
    <w:rPr>
      <w:b/>
      <w:bCs/>
    </w:rPr>
  </w:style>
  <w:style w:type="paragraph" w:styleId="8">
    <w:name w:val="heading 8"/>
    <w:basedOn w:val="a"/>
    <w:next w:val="a"/>
    <w:link w:val="80"/>
    <w:uiPriority w:val="9"/>
    <w:semiHidden/>
    <w:unhideWhenUsed/>
    <w:qFormat/>
    <w:pPr>
      <w:keepNext/>
      <w:keepLines/>
      <w:spacing w:before="240" w:after="64" w:line="320" w:lineRule="auto"/>
      <w:outlineLvl w:val="7"/>
    </w:pPr>
    <w:rPr>
      <w:rFonts w:asciiTheme="majorHAnsi" w:eastAsiaTheme="majorEastAsia" w:hAnsiTheme="majorHAnsi" w:cstheme="majorBidi"/>
    </w:rPr>
  </w:style>
  <w:style w:type="paragraph" w:styleId="9">
    <w:name w:val="heading 9"/>
    <w:basedOn w:val="a"/>
    <w:next w:val="a"/>
    <w:link w:val="90"/>
    <w:uiPriority w:val="9"/>
    <w:semiHidden/>
    <w:unhideWhenUsed/>
    <w:qFormat/>
    <w:pPr>
      <w:keepNext/>
      <w:keepLines/>
      <w:spacing w:before="240" w:after="64" w:line="320" w:lineRule="auto"/>
      <w:outlineLvl w:val="8"/>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annotation text"/>
    <w:basedOn w:val="a"/>
    <w:uiPriority w:val="99"/>
    <w:semiHidden/>
    <w:unhideWhenUsed/>
    <w:qFormat/>
  </w:style>
  <w:style w:type="paragraph" w:styleId="TOC3">
    <w:name w:val="toc 3"/>
    <w:basedOn w:val="31"/>
    <w:next w:val="a"/>
    <w:uiPriority w:val="39"/>
    <w:unhideWhenUsed/>
    <w:pPr>
      <w:tabs>
        <w:tab w:val="right" w:leader="dot" w:pos="9060"/>
      </w:tabs>
      <w:ind w:leftChars="400" w:left="840" w:firstLineChars="4" w:firstLine="10"/>
    </w:pPr>
  </w:style>
  <w:style w:type="paragraph" w:customStyle="1" w:styleId="31">
    <w:name w:val="目录3"/>
    <w:basedOn w:val="a"/>
    <w:qFormat/>
    <w:pPr>
      <w:ind w:firstLineChars="400" w:firstLine="960"/>
    </w:pPr>
    <w:rPr>
      <w:rFonts w:asciiTheme="majorEastAsia" w:eastAsiaTheme="majorEastAsia" w:hAnsiTheme="majorEastAsia"/>
      <w:bCs/>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11"/>
    <w:next w:val="a"/>
    <w:uiPriority w:val="39"/>
    <w:unhideWhenUsed/>
    <w:qFormat/>
  </w:style>
  <w:style w:type="paragraph" w:customStyle="1" w:styleId="11">
    <w:name w:val="目录1"/>
    <w:basedOn w:val="a"/>
    <w:qFormat/>
    <w:rPr>
      <w:rFonts w:ascii="黑体" w:eastAsia="黑体"/>
      <w:bCs/>
      <w:sz w:val="28"/>
      <w:szCs w:val="28"/>
    </w:rPr>
  </w:style>
  <w:style w:type="paragraph" w:styleId="TOC4">
    <w:name w:val="toc 4"/>
    <w:basedOn w:val="ab"/>
    <w:next w:val="a"/>
    <w:autoRedefine/>
    <w:uiPriority w:val="39"/>
    <w:semiHidden/>
    <w:unhideWhenUsed/>
    <w:qFormat/>
    <w:pPr>
      <w:ind w:leftChars="600" w:left="1260"/>
    </w:pPr>
  </w:style>
  <w:style w:type="paragraph" w:customStyle="1" w:styleId="ab">
    <w:name w:val="参考文献目录"/>
    <w:basedOn w:val="a"/>
    <w:qFormat/>
    <w:rPr>
      <w:rFonts w:ascii="黑体" w:eastAsia="黑体"/>
      <w:bCs/>
      <w:sz w:val="28"/>
      <w:szCs w:val="28"/>
    </w:rPr>
  </w:style>
  <w:style w:type="paragraph" w:styleId="TOC2">
    <w:name w:val="toc 2"/>
    <w:basedOn w:val="20"/>
    <w:next w:val="a"/>
    <w:autoRedefine/>
    <w:uiPriority w:val="39"/>
    <w:unhideWhenUsed/>
    <w:qFormat/>
    <w:pPr>
      <w:tabs>
        <w:tab w:val="right" w:leader="dot" w:pos="9060"/>
      </w:tabs>
      <w:ind w:firstLine="480"/>
    </w:pPr>
  </w:style>
  <w:style w:type="paragraph" w:customStyle="1" w:styleId="20">
    <w:name w:val="目录2"/>
    <w:basedOn w:val="a"/>
    <w:autoRedefine/>
    <w:qFormat/>
    <w:rPr>
      <w:rFonts w:asciiTheme="majorEastAsia" w:eastAsiaTheme="majorEastAsia" w:hAnsiTheme="majorEastAsia"/>
      <w:bCs/>
    </w:rPr>
  </w:style>
  <w:style w:type="paragraph" w:styleId="ac">
    <w:name w:val="Normal (Web)"/>
    <w:basedOn w:val="a"/>
    <w:autoRedefine/>
    <w:uiPriority w:val="99"/>
    <w:unhideWhenUsed/>
    <w:qFormat/>
    <w:pPr>
      <w:spacing w:before="100" w:beforeAutospacing="1" w:after="100" w:afterAutospacing="1"/>
    </w:pPr>
    <w:rPr>
      <w:rFonts w:ascii="宋体" w:hAnsi="宋体" w:cs="宋体"/>
    </w:rPr>
  </w:style>
  <w:style w:type="table" w:styleId="ad">
    <w:name w:val="Table Grid"/>
    <w:basedOn w:val="a1"/>
    <w:uiPriority w:val="59"/>
    <w:qFormat/>
    <w:rPr>
      <w:rFonts w:asciiTheme="minorHAnsi" w:eastAsiaTheme="minorEastAsia"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autoRedefine/>
    <w:uiPriority w:val="22"/>
    <w:qFormat/>
    <w:rPr>
      <w:b/>
      <w:bCs/>
    </w:rPr>
  </w:style>
  <w:style w:type="character" w:styleId="af">
    <w:name w:val="page number"/>
    <w:basedOn w:val="a0"/>
    <w:autoRedefine/>
    <w:uiPriority w:val="99"/>
    <w:semiHidden/>
    <w:unhideWhenUsed/>
    <w:qFormat/>
  </w:style>
  <w:style w:type="character" w:styleId="af0">
    <w:name w:val="Hyperlink"/>
    <w:basedOn w:val="a0"/>
    <w:autoRedefine/>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a">
    <w:name w:val="页眉 字符"/>
    <w:basedOn w:val="a0"/>
    <w:link w:val="a9"/>
    <w:autoRedefine/>
    <w:uiPriority w:val="99"/>
    <w:qFormat/>
    <w:rPr>
      <w:kern w:val="2"/>
      <w:sz w:val="18"/>
      <w:szCs w:val="18"/>
    </w:rPr>
  </w:style>
  <w:style w:type="character" w:customStyle="1" w:styleId="a8">
    <w:name w:val="页脚 字符"/>
    <w:basedOn w:val="a0"/>
    <w:link w:val="a7"/>
    <w:autoRedefine/>
    <w:uiPriority w:val="99"/>
    <w:qFormat/>
    <w:rPr>
      <w:rFonts w:ascii="Times New Roman" w:eastAsia="宋体" w:hAnsi="Times New Roman" w:cs="Times New Roman"/>
      <w:sz w:val="18"/>
      <w:szCs w:val="18"/>
    </w:rPr>
  </w:style>
  <w:style w:type="paragraph" w:customStyle="1" w:styleId="pp">
    <w:name w:val="pp"/>
    <w:basedOn w:val="a"/>
    <w:autoRedefine/>
    <w:qFormat/>
    <w:pPr>
      <w:spacing w:before="100" w:beforeAutospacing="1" w:after="100" w:afterAutospacing="1" w:line="360" w:lineRule="atLeast"/>
      <w:ind w:firstLine="420"/>
    </w:pPr>
    <w:rPr>
      <w:rFonts w:ascii="宋体" w:hAnsi="宋体" w:cs="宋体"/>
      <w:color w:val="000000"/>
    </w:rPr>
  </w:style>
  <w:style w:type="character" w:customStyle="1" w:styleId="30">
    <w:name w:val="标题 3 字符"/>
    <w:basedOn w:val="a0"/>
    <w:link w:val="3"/>
    <w:autoRedefine/>
    <w:uiPriority w:val="9"/>
    <w:qFormat/>
    <w:rPr>
      <w:rFonts w:ascii="宋体" w:hAnsi="宋体"/>
      <w:bCs/>
      <w:kern w:val="2"/>
      <w:sz w:val="24"/>
      <w:szCs w:val="24"/>
    </w:rPr>
  </w:style>
  <w:style w:type="paragraph" w:styleId="af2">
    <w:name w:val="List Paragraph"/>
    <w:basedOn w:val="a"/>
    <w:autoRedefine/>
    <w:uiPriority w:val="34"/>
    <w:qFormat/>
    <w:pPr>
      <w:ind w:firstLine="420"/>
    </w:pPr>
  </w:style>
  <w:style w:type="character" w:customStyle="1" w:styleId="10">
    <w:name w:val="标题 1 字符"/>
    <w:basedOn w:val="a0"/>
    <w:link w:val="1"/>
    <w:autoRedefine/>
    <w:uiPriority w:val="9"/>
    <w:qFormat/>
    <w:rPr>
      <w:rFonts w:ascii="黑体" w:eastAsia="黑体" w:hAnsi="黑体"/>
      <w:b/>
      <w:bCs/>
      <w:kern w:val="2"/>
      <w:sz w:val="28"/>
      <w:szCs w:val="28"/>
    </w:rPr>
  </w:style>
  <w:style w:type="paragraph" w:customStyle="1" w:styleId="CharCharCharCharCharCharCharCharChar">
    <w:name w:val="Char Char Char Char Char Char Char Char Char"/>
    <w:basedOn w:val="a"/>
    <w:autoRedefine/>
    <w:qFormat/>
    <w:pPr>
      <w:spacing w:after="160" w:line="240" w:lineRule="exact"/>
    </w:pPr>
    <w:rPr>
      <w:rFonts w:ascii="Verdana" w:eastAsia="仿宋_GB2312" w:hAnsi="Verdana"/>
      <w:szCs w:val="20"/>
      <w:lang w:eastAsia="en-US"/>
    </w:rPr>
  </w:style>
  <w:style w:type="character" w:customStyle="1" w:styleId="a6">
    <w:name w:val="批注框文本 字符"/>
    <w:basedOn w:val="a0"/>
    <w:link w:val="a5"/>
    <w:autoRedefine/>
    <w:uiPriority w:val="99"/>
    <w:semiHidden/>
    <w:qFormat/>
    <w:rPr>
      <w:rFonts w:ascii="Times New Roman" w:eastAsia="宋体" w:hAnsi="Times New Roman" w:cs="Times New Roman"/>
      <w:kern w:val="2"/>
      <w:sz w:val="18"/>
      <w:szCs w:val="18"/>
    </w:rPr>
  </w:style>
  <w:style w:type="character" w:customStyle="1" w:styleId="12">
    <w:name w:val="未处理的提及1"/>
    <w:basedOn w:val="a0"/>
    <w:uiPriority w:val="99"/>
    <w:semiHidden/>
    <w:unhideWhenUsed/>
    <w:qFormat/>
    <w:rPr>
      <w:color w:val="605E5C"/>
      <w:shd w:val="clear" w:color="auto" w:fill="E1DFDD"/>
    </w:rPr>
  </w:style>
  <w:style w:type="character" w:customStyle="1" w:styleId="21">
    <w:name w:val="未处理的提及2"/>
    <w:basedOn w:val="a0"/>
    <w:autoRedefine/>
    <w:uiPriority w:val="99"/>
    <w:semiHidden/>
    <w:unhideWhenUsed/>
    <w:qFormat/>
    <w:rPr>
      <w:color w:val="605E5C"/>
      <w:shd w:val="clear" w:color="auto" w:fill="E1DFDD"/>
    </w:rPr>
  </w:style>
  <w:style w:type="paragraph" w:customStyle="1" w:styleId="13">
    <w:name w:val="1"/>
    <w:basedOn w:val="1"/>
    <w:autoRedefine/>
    <w:qFormat/>
  </w:style>
  <w:style w:type="paragraph" w:customStyle="1" w:styleId="22">
    <w:name w:val="2"/>
    <w:basedOn w:val="2"/>
    <w:autoRedefine/>
    <w:qFormat/>
    <w:pPr>
      <w:ind w:firstLineChars="0" w:firstLine="0"/>
    </w:pPr>
    <w:rPr>
      <w:rFonts w:ascii="Times New Roman" w:hAnsi="Times New Roman"/>
    </w:rPr>
  </w:style>
  <w:style w:type="paragraph" w:customStyle="1" w:styleId="32">
    <w:name w:val="3"/>
    <w:basedOn w:val="a"/>
    <w:autoRedefine/>
    <w:qFormat/>
    <w:pPr>
      <w:keepNext/>
      <w:keepLines/>
      <w:ind w:firstLineChars="0" w:firstLine="0"/>
      <w:outlineLvl w:val="2"/>
    </w:pPr>
    <w:rPr>
      <w:bCs/>
    </w:rPr>
  </w:style>
  <w:style w:type="paragraph" w:customStyle="1" w:styleId="af3">
    <w:name w:val="正"/>
    <w:basedOn w:val="a"/>
    <w:qFormat/>
    <w:pPr>
      <w:ind w:firstLineChars="0" w:firstLine="0"/>
    </w:pPr>
    <w:rPr>
      <w:bCs/>
    </w:rPr>
  </w:style>
  <w:style w:type="paragraph" w:customStyle="1" w:styleId="af4">
    <w:name w:val="文献"/>
    <w:basedOn w:val="a"/>
    <w:qFormat/>
    <w:rPr>
      <w:rFonts w:eastAsiaTheme="minorEastAsia"/>
    </w:rPr>
  </w:style>
  <w:style w:type="paragraph" w:customStyle="1" w:styleId="af5">
    <w:name w:val="空一行"/>
    <w:basedOn w:val="a"/>
    <w:qFormat/>
    <w:pPr>
      <w:spacing w:line="300" w:lineRule="auto"/>
      <w:jc w:val="center"/>
    </w:pPr>
    <w:rPr>
      <w:rFonts w:ascii="宋体" w:hAnsi="宋体"/>
    </w:rPr>
  </w:style>
  <w:style w:type="character" w:customStyle="1" w:styleId="40">
    <w:name w:val="标题 4 字符"/>
    <w:basedOn w:val="a0"/>
    <w:link w:val="4"/>
    <w:uiPriority w:val="9"/>
    <w:semiHidden/>
    <w:qFormat/>
    <w:rPr>
      <w:rFonts w:asciiTheme="majorHAnsi" w:eastAsiaTheme="majorEastAsia" w:hAnsiTheme="majorHAnsi" w:cstheme="majorBidi"/>
      <w:b/>
      <w:bCs/>
      <w:kern w:val="2"/>
      <w:sz w:val="28"/>
      <w:szCs w:val="28"/>
    </w:rPr>
  </w:style>
  <w:style w:type="character" w:customStyle="1" w:styleId="50">
    <w:name w:val="标题 5 字符"/>
    <w:basedOn w:val="a0"/>
    <w:link w:val="5"/>
    <w:uiPriority w:val="9"/>
    <w:semiHidden/>
    <w:qFormat/>
    <w:rPr>
      <w:b/>
      <w:bCs/>
      <w:kern w:val="2"/>
      <w:sz w:val="28"/>
      <w:szCs w:val="28"/>
    </w:rPr>
  </w:style>
  <w:style w:type="character" w:customStyle="1" w:styleId="60">
    <w:name w:val="标题 6 字符"/>
    <w:basedOn w:val="a0"/>
    <w:link w:val="6"/>
    <w:uiPriority w:val="9"/>
    <w:semiHidden/>
    <w:qFormat/>
    <w:rPr>
      <w:rFonts w:asciiTheme="majorHAnsi" w:eastAsiaTheme="majorEastAsia" w:hAnsiTheme="majorHAnsi" w:cstheme="majorBidi"/>
      <w:b/>
      <w:bCs/>
      <w:kern w:val="2"/>
      <w:sz w:val="24"/>
      <w:szCs w:val="24"/>
    </w:rPr>
  </w:style>
  <w:style w:type="character" w:customStyle="1" w:styleId="70">
    <w:name w:val="标题 7 字符"/>
    <w:basedOn w:val="a0"/>
    <w:link w:val="7"/>
    <w:uiPriority w:val="9"/>
    <w:semiHidden/>
    <w:qFormat/>
    <w:rPr>
      <w:b/>
      <w:bCs/>
      <w:kern w:val="2"/>
      <w:sz w:val="24"/>
      <w:szCs w:val="24"/>
    </w:rPr>
  </w:style>
  <w:style w:type="character" w:customStyle="1" w:styleId="80">
    <w:name w:val="标题 8 字符"/>
    <w:basedOn w:val="a0"/>
    <w:link w:val="8"/>
    <w:uiPriority w:val="9"/>
    <w:semiHidden/>
    <w:qFormat/>
    <w:rPr>
      <w:rFonts w:asciiTheme="majorHAnsi" w:eastAsiaTheme="majorEastAsia" w:hAnsiTheme="majorHAnsi" w:cstheme="majorBidi"/>
      <w:kern w:val="2"/>
      <w:sz w:val="24"/>
      <w:szCs w:val="24"/>
    </w:rPr>
  </w:style>
  <w:style w:type="character" w:customStyle="1" w:styleId="90">
    <w:name w:val="标题 9 字符"/>
    <w:basedOn w:val="a0"/>
    <w:link w:val="9"/>
    <w:uiPriority w:val="9"/>
    <w:semiHidden/>
    <w:qFormat/>
    <w:rPr>
      <w:rFonts w:asciiTheme="majorHAnsi" w:eastAsiaTheme="majorEastAsia" w:hAnsiTheme="majorHAnsi" w:cstheme="majorBidi"/>
      <w:kern w:val="2"/>
      <w:sz w:val="21"/>
      <w:szCs w:val="21"/>
    </w:rPr>
  </w:style>
  <w:style w:type="paragraph" w:customStyle="1" w:styleId="af6">
    <w:name w:val="致谢"/>
    <w:basedOn w:val="a"/>
    <w:qFormat/>
    <w:pPr>
      <w:spacing w:line="300" w:lineRule="auto"/>
      <w:jc w:val="center"/>
    </w:pPr>
    <w:rPr>
      <w:rFonts w:ascii="黑体" w:eastAsia="黑体" w:hAnsi="宋体"/>
      <w:bCs/>
      <w:sz w:val="28"/>
      <w:szCs w:val="28"/>
    </w:rPr>
  </w:style>
  <w:style w:type="table" w:customStyle="1" w:styleId="210">
    <w:name w:val="无格式表格 21"/>
    <w:basedOn w:val="a1"/>
    <w:autoRedefine/>
    <w:uiPriority w:val="99"/>
    <w:qFormat/>
    <w:pPr>
      <w:jc w:val="center"/>
    </w:pPr>
    <w:tblPr>
      <w:tblBorders>
        <w:top w:val="single" w:sz="4" w:space="0" w:color="auto"/>
        <w:bottom w:val="single" w:sz="4" w:space="0" w:color="auto"/>
        <w:insideH w:val="single" w:sz="4" w:space="0" w:color="auto"/>
      </w:tblBorders>
    </w:tblPr>
    <w:tcPr>
      <w:vAlign w:val="center"/>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4">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0">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15">
    <w:name w:val="修订1"/>
    <w:hidden/>
    <w:uiPriority w:val="99"/>
    <w:unhideWhenUsed/>
    <w:qFormat/>
    <w:rPr>
      <w:kern w:val="2"/>
      <w:sz w:val="21"/>
      <w:szCs w:val="24"/>
    </w:rPr>
  </w:style>
  <w:style w:type="paragraph" w:customStyle="1" w:styleId="af7">
    <w:name w:val="表格"/>
    <w:basedOn w:val="a"/>
    <w:qFormat/>
    <w:rPr>
      <w:rFonts w:eastAsiaTheme="minorEastAsia" w:cstheme="minorBidi"/>
      <w:lang w:eastAsia="en-US"/>
    </w:rPr>
  </w:style>
  <w:style w:type="table" w:customStyle="1" w:styleId="23">
    <w:name w:val="网格型浅色2"/>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9.png"/><Relationship Id="rId10" Type="http://schemas.openxmlformats.org/officeDocument/2006/relationships/image" Target="media/image2.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2.xml"/><Relationship Id="rId22"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A770749-FE42-6540-91C8-0CDA4F509E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12843</Words>
  <Characters>18494</Characters>
  <Application>Microsoft Office Word</Application>
  <DocSecurity>0</DocSecurity>
  <Lines>596</Lines>
  <Paragraphs>360</Paragraphs>
  <ScaleCrop>false</ScaleCrop>
  <Company>微软中国</Company>
  <LinksUpToDate>false</LinksUpToDate>
  <CharactersWithSpaces>30977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t56831</cp:lastModifiedBy>
  <cp:revision>4</cp:revision>
  <cp:lastPrinted>2026-05-19T11:04:00Z</cp:lastPrinted>
  <dcterms:created xsi:type="dcterms:W3CDTF">2026-05-19T11:04:00Z</dcterms:created>
  <dcterms:modified xsi:type="dcterms:W3CDTF">2026-05-20T04:55:00Z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BBE59C73E6731B7E791F0B6A8C1421AA_43</vt:lpwstr>
  </property>
  <property fmtid="{D5CDD505-2E9C-101B-9397-08002B2CF9AE}" pid="4" name="KSOTemplateDocerSaveRecord">
    <vt:lpwstr>eyJoZGlkIjoiMGQyNmRiYjllYzZhMTc2NGZmZjBkZjUzNWZiOWYzMmUiLCJ1c2VySWQiOiI3MjQzODExNjMifQ==</vt:lpwstr>
  </property>
</Properties>
</file>