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24"/>
        </w:rPr>
        <w:t>ACTA DE ASAMBLEA GENERAL ORDINARIA DE ACCIONISTAS DE “TRASLADOS Y ARRASTRES DE CARGA TERRESTRES AÉREOS Y CONSOLIDADOS”, SOCIEDAD ANÓNIMA DE CAPITAL VARIABLE</w:t>
      </w:r>
    </w:p>
    <w:p>
      <w:pPr>
        <w:spacing w:after="160"/>
        <w:jc w:val="both"/>
      </w:pPr>
      <w:r>
        <w:rPr>
          <w:rFonts w:ascii="Times New Roman" w:hAnsi="Times New Roman"/>
          <w:b w:val="0"/>
          <w:sz w:val="22"/>
        </w:rPr>
        <w:t xml:space="preserve">En el inmueble ubicado en Carretera México-Querétaro, kilómetro 30, interior JB601, colonia Cumbre Norte, Cuautitlán Izcalli, código postal 54769, Estado de México, siendo las </w:t>
      </w:r>
      <w:r>
        <w:rPr>
          <w:rFonts w:ascii="Times New Roman" w:hAnsi="Times New Roman"/>
          <w:b/>
          <w:sz w:val="22"/>
          <w:highlight w:val="yellow"/>
        </w:rPr>
        <w:t>CAMPO PENDIENTE: hora</w:t>
      </w:r>
      <w:r>
        <w:rPr>
          <w:rFonts w:ascii="Times New Roman" w:hAnsi="Times New Roman"/>
          <w:b w:val="0"/>
          <w:sz w:val="22"/>
        </w:rPr>
        <w:t xml:space="preserve"> horas del día </w:t>
      </w:r>
      <w:r>
        <w:rPr>
          <w:rFonts w:ascii="Times New Roman" w:hAnsi="Times New Roman"/>
          <w:b/>
          <w:sz w:val="22"/>
        </w:rPr>
        <w:t>cuatro de mayo de dos mil veintiséis</w:t>
      </w:r>
      <w:r>
        <w:rPr>
          <w:rFonts w:ascii="Times New Roman" w:hAnsi="Times New Roman"/>
          <w:b w:val="0"/>
          <w:sz w:val="22"/>
        </w:rPr>
        <w:t xml:space="preserve">, se reunieron los señores </w:t>
      </w:r>
      <w:r>
        <w:rPr>
          <w:rFonts w:ascii="Times New Roman" w:hAnsi="Times New Roman"/>
          <w:b/>
          <w:sz w:val="22"/>
        </w:rPr>
        <w:t>Juan Alejandro García Trejo</w:t>
      </w:r>
      <w:r>
        <w:rPr>
          <w:rFonts w:ascii="Times New Roman" w:hAnsi="Times New Roman"/>
          <w:b w:val="0"/>
          <w:sz w:val="22"/>
        </w:rPr>
        <w:t xml:space="preserve"> y </w:t>
      </w:r>
      <w:r>
        <w:rPr>
          <w:rFonts w:ascii="Times New Roman" w:hAnsi="Times New Roman"/>
          <w:b/>
          <w:sz w:val="22"/>
        </w:rPr>
        <w:t>Carlos Edgar García Larqué</w:t>
      </w:r>
      <w:r>
        <w:rPr>
          <w:rFonts w:ascii="Times New Roman" w:hAnsi="Times New Roman"/>
          <w:b w:val="0"/>
          <w:sz w:val="22"/>
        </w:rPr>
        <w:t>, únicos accionistas de “TRASLADOS Y ARRASTRES DE CARGA TERRESTRES AÉREOS Y CONSOLIDADOS”, SOCIEDAD ANÓNIMA DE CAPITAL VARIABLE (la “Sociedad”), titulares en conjunto de la totalidad de las acciones representativas del capital social, con el propósito de celebrar una asamblea general ordinaria de accionistas.</w:t>
      </w:r>
    </w:p>
    <w:p>
      <w:pPr>
        <w:spacing w:after="160"/>
        <w:jc w:val="both"/>
      </w:pPr>
      <w:r>
        <w:rPr>
          <w:rFonts w:ascii="Times New Roman" w:hAnsi="Times New Roman"/>
          <w:b w:val="0"/>
          <w:sz w:val="22"/>
        </w:rPr>
        <w:t>Como cuestión previa, los accionistas, que representan la totalidad de las acciones en que se divide el capital social, aprobaron por unanimidad y de manera expresa la celebración de la presente asamblea fuera del domicilio social, precisamente en el inmueble señalado en el párrafo anterior, y dejaron constancia de que existió la posibilidad de utilizar medios electrónicos, ópticos o de cualquier otra tecnología para su celebración, todo ello con fundamento en el artículo 179, párrafo tercero, de la Ley General de Sociedades Mercantiles, quedando señalado en la presente acta, para los efectos de dicho precepto, el domicilio en el cual se llevó a cabo.</w:t>
      </w:r>
    </w:p>
    <w:p>
      <w:pPr>
        <w:spacing w:after="160"/>
        <w:jc w:val="both"/>
      </w:pPr>
      <w:r>
        <w:rPr>
          <w:rFonts w:ascii="Times New Roman" w:hAnsi="Times New Roman"/>
          <w:b w:val="0"/>
          <w:sz w:val="22"/>
        </w:rPr>
        <w:t xml:space="preserve">Por encontrarse reunida y representada la totalidad de las acciones en que se divide el capital social desde el momento de la instalación y hasta la terminación de la asamblea, ésta se celebra válidamente sin necesidad de convocatoria previa, con fundamento en el Artículo Trigésimo Quinto, último párrafo, de los estatutos sociales y en el artículo 188 de la Ley General de Sociedades Mercantiles. Los accionistas comparecen personalmente. Se hace constar que el comisario de la Sociedad, señor </w:t>
      </w:r>
      <w:r>
        <w:rPr>
          <w:rFonts w:ascii="Times New Roman" w:hAnsi="Times New Roman"/>
          <w:b/>
          <w:sz w:val="22"/>
        </w:rPr>
        <w:t>Abraham Rubio Rosas</w:t>
      </w:r>
      <w:r>
        <w:rPr>
          <w:rFonts w:ascii="Times New Roman" w:hAnsi="Times New Roman"/>
          <w:b w:val="0"/>
          <w:sz w:val="22"/>
        </w:rPr>
        <w:t xml:space="preserve">, fue citado a la asamblea; </w:t>
      </w:r>
      <w:r>
        <w:rPr>
          <w:rFonts w:ascii="Times New Roman" w:hAnsi="Times New Roman"/>
          <w:b/>
          <w:sz w:val="22"/>
          <w:highlight w:val="yellow"/>
        </w:rPr>
        <w:t>CAMPO PENDIENTE: constancia de asistencia o inasistencia del comisario</w:t>
      </w:r>
      <w:r>
        <w:rPr>
          <w:rFonts w:ascii="Times New Roman" w:hAnsi="Times New Roman"/>
          <w:b w:val="0"/>
          <w:sz w:val="22"/>
        </w:rPr>
        <w:t>.</w:t>
      </w:r>
    </w:p>
    <w:p>
      <w:pPr>
        <w:spacing w:after="160"/>
        <w:jc w:val="left"/>
      </w:pPr>
      <w:r>
        <w:rPr>
          <w:rFonts w:ascii="Times New Roman" w:hAnsi="Times New Roman"/>
          <w:b/>
          <w:sz w:val="22"/>
        </w:rPr>
        <w:t>I. MESA DE LA ASAMBLEA</w:t>
      </w:r>
    </w:p>
    <w:p>
      <w:pPr>
        <w:spacing w:after="160"/>
        <w:jc w:val="both"/>
      </w:pPr>
      <w:r>
        <w:rPr>
          <w:rFonts w:ascii="Times New Roman" w:hAnsi="Times New Roman"/>
          <w:b w:val="0"/>
          <w:sz w:val="22"/>
        </w:rPr>
        <w:t xml:space="preserve">Presidió la asamblea el señor </w:t>
      </w:r>
      <w:r>
        <w:rPr>
          <w:rFonts w:ascii="Times New Roman" w:hAnsi="Times New Roman"/>
          <w:b/>
          <w:sz w:val="22"/>
        </w:rPr>
        <w:t>Juan Alejandro García Trejo</w:t>
      </w:r>
      <w:r>
        <w:rPr>
          <w:rFonts w:ascii="Times New Roman" w:hAnsi="Times New Roman"/>
          <w:b w:val="0"/>
          <w:sz w:val="22"/>
        </w:rPr>
        <w:t xml:space="preserve">, en su carácter de administrador único de la Sociedad, conforme al Artículo Cuadragésimo de los estatutos sociales. Actuó como secretario el señor </w:t>
      </w:r>
      <w:r>
        <w:rPr>
          <w:rFonts w:ascii="Times New Roman" w:hAnsi="Times New Roman"/>
          <w:b/>
          <w:sz w:val="22"/>
        </w:rPr>
        <w:t>Carlos Edgar García Larqué</w:t>
      </w:r>
      <w:r>
        <w:rPr>
          <w:rFonts w:ascii="Times New Roman" w:hAnsi="Times New Roman"/>
          <w:b w:val="0"/>
          <w:sz w:val="22"/>
        </w:rPr>
        <w:t xml:space="preserve">, designado por el presidente. El presidente designó como escrutador al propio señor </w:t>
      </w:r>
      <w:r>
        <w:rPr>
          <w:rFonts w:ascii="Times New Roman" w:hAnsi="Times New Roman"/>
          <w:b/>
          <w:sz w:val="22"/>
        </w:rPr>
        <w:t>Carlos Edgar García Larqué</w:t>
      </w:r>
      <w:r>
        <w:rPr>
          <w:rFonts w:ascii="Times New Roman" w:hAnsi="Times New Roman"/>
          <w:b w:val="0"/>
          <w:sz w:val="22"/>
        </w:rPr>
        <w:t>, conforme al Artículo Cuadragésimo Primero de los estatutos sociales.</w:t>
      </w:r>
    </w:p>
    <w:p>
      <w:pPr>
        <w:spacing w:after="160"/>
        <w:jc w:val="left"/>
      </w:pPr>
      <w:r>
        <w:rPr>
          <w:rFonts w:ascii="Times New Roman" w:hAnsi="Times New Roman"/>
          <w:b/>
          <w:sz w:val="22"/>
        </w:rPr>
        <w:t>II. LISTA DE ASISTENCIA, QUÓRUM E INSTALACIÓN</w:t>
      </w:r>
    </w:p>
    <w:p>
      <w:pPr>
        <w:spacing w:after="160"/>
        <w:jc w:val="both"/>
      </w:pPr>
      <w:r>
        <w:rPr>
          <w:rFonts w:ascii="Times New Roman" w:hAnsi="Times New Roman"/>
          <w:b w:val="0"/>
          <w:sz w:val="22"/>
        </w:rPr>
        <w:t>El escrutador, teniendo a la vista el libro de registro de acciones, formuló la lista de asistencia y certificó que se encuentran presentes los titulares del cien por ciento de las acciones representativas del capital social suscrito y pagado, conforme a lo siguiente:</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
              <w:rPr>
                <w:b/>
                <w:sz w:val="20"/>
              </w:rPr>
              <w:t>Accionista</w:t>
            </w:r>
          </w:p>
        </w:tc>
        <w:tc>
          <w:tcPr>
            <w:tcW w:type="dxa" w:w="2209"/>
          </w:tcPr>
          <w:p>
            <w:r/>
            <w:r>
              <w:rPr>
                <w:b/>
                <w:sz w:val="20"/>
              </w:rPr>
              <w:t>Acciones serie “A”</w:t>
            </w:r>
          </w:p>
        </w:tc>
        <w:tc>
          <w:tcPr>
            <w:tcW w:type="dxa" w:w="2209"/>
          </w:tcPr>
          <w:p>
            <w:r/>
            <w:r>
              <w:rPr>
                <w:b/>
                <w:sz w:val="20"/>
              </w:rPr>
              <w:t>Capital</w:t>
            </w:r>
          </w:p>
        </w:tc>
        <w:tc>
          <w:tcPr>
            <w:tcW w:type="dxa" w:w="2209"/>
          </w:tcPr>
          <w:p>
            <w:r/>
            <w:r>
              <w:rPr>
                <w:b/>
                <w:sz w:val="20"/>
              </w:rPr>
              <w:t>Porcentaje</w:t>
            </w:r>
          </w:p>
        </w:tc>
      </w:tr>
      <w:tr>
        <w:tc>
          <w:tcPr>
            <w:tcW w:type="dxa" w:w="2209"/>
          </w:tcPr>
          <w:p>
            <w:r/>
            <w:r>
              <w:rPr>
                <w:b w:val="0"/>
                <w:sz w:val="20"/>
              </w:rPr>
              <w:t>Juan Alejandro García Trejo</w:t>
            </w:r>
          </w:p>
        </w:tc>
        <w:tc>
          <w:tcPr>
            <w:tcW w:type="dxa" w:w="2209"/>
          </w:tcPr>
          <w:p>
            <w:r/>
            <w:r>
              <w:rPr>
                <w:b w:val="0"/>
                <w:sz w:val="20"/>
              </w:rPr>
              <w:t>80</w:t>
            </w:r>
          </w:p>
        </w:tc>
        <w:tc>
          <w:tcPr>
            <w:tcW w:type="dxa" w:w="2209"/>
          </w:tcPr>
          <w:p>
            <w:r/>
            <w:r>
              <w:rPr>
                <w:b w:val="0"/>
                <w:sz w:val="20"/>
              </w:rPr>
              <w:t>$8,000.00</w:t>
            </w:r>
          </w:p>
        </w:tc>
        <w:tc>
          <w:tcPr>
            <w:tcW w:type="dxa" w:w="2209"/>
          </w:tcPr>
          <w:p>
            <w:r/>
            <w:r>
              <w:rPr>
                <w:b w:val="0"/>
                <w:sz w:val="20"/>
              </w:rPr>
              <w:t>80%</w:t>
            </w:r>
          </w:p>
        </w:tc>
      </w:tr>
      <w:tr>
        <w:tc>
          <w:tcPr>
            <w:tcW w:type="dxa" w:w="2209"/>
          </w:tcPr>
          <w:p>
            <w:r/>
            <w:r>
              <w:rPr>
                <w:b w:val="0"/>
                <w:sz w:val="20"/>
              </w:rPr>
              <w:t>Carlos Edgar García Larqué</w:t>
            </w:r>
          </w:p>
        </w:tc>
        <w:tc>
          <w:tcPr>
            <w:tcW w:type="dxa" w:w="2209"/>
          </w:tcPr>
          <w:p>
            <w:r/>
            <w:r>
              <w:rPr>
                <w:b w:val="0"/>
                <w:sz w:val="20"/>
              </w:rPr>
              <w:t>20</w:t>
            </w:r>
          </w:p>
        </w:tc>
        <w:tc>
          <w:tcPr>
            <w:tcW w:type="dxa" w:w="2209"/>
          </w:tcPr>
          <w:p>
            <w:r/>
            <w:r>
              <w:rPr>
                <w:b w:val="0"/>
                <w:sz w:val="20"/>
              </w:rPr>
              <w:t>$2,000.00</w:t>
            </w:r>
          </w:p>
        </w:tc>
        <w:tc>
          <w:tcPr>
            <w:tcW w:type="dxa" w:w="2209"/>
          </w:tcPr>
          <w:p>
            <w:r/>
            <w:r>
              <w:rPr>
                <w:b w:val="0"/>
                <w:sz w:val="20"/>
              </w:rPr>
              <w:t>20%</w:t>
            </w:r>
          </w:p>
        </w:tc>
      </w:tr>
      <w:tr>
        <w:tc>
          <w:tcPr>
            <w:tcW w:type="dxa" w:w="2209"/>
          </w:tcPr>
          <w:p>
            <w:r/>
            <w:r>
              <w:rPr>
                <w:b/>
                <w:sz w:val="20"/>
              </w:rPr>
              <w:t>Total</w:t>
            </w:r>
          </w:p>
        </w:tc>
        <w:tc>
          <w:tcPr>
            <w:tcW w:type="dxa" w:w="2209"/>
          </w:tcPr>
          <w:p>
            <w:r/>
            <w:r>
              <w:rPr>
                <w:b/>
                <w:sz w:val="20"/>
              </w:rPr>
              <w:t>100</w:t>
            </w:r>
          </w:p>
        </w:tc>
        <w:tc>
          <w:tcPr>
            <w:tcW w:type="dxa" w:w="2209"/>
          </w:tcPr>
          <w:p>
            <w:r/>
            <w:r>
              <w:rPr>
                <w:b/>
                <w:sz w:val="20"/>
              </w:rPr>
              <w:t>$10,000.00 (DIEZ MIL PESOS 00/100 M.N.)</w:t>
            </w:r>
          </w:p>
        </w:tc>
        <w:tc>
          <w:tcPr>
            <w:tcW w:type="dxa" w:w="2209"/>
          </w:tcPr>
          <w:p>
            <w:r/>
            <w:r>
              <w:rPr>
                <w:b/>
                <w:sz w:val="20"/>
              </w:rPr>
              <w:t>100%</w:t>
            </w:r>
          </w:p>
        </w:tc>
      </w:tr>
    </w:tbl>
    <w:p>
      <w:pPr>
        <w:spacing w:after="80"/>
      </w:pPr>
    </w:p>
    <w:p>
      <w:pPr>
        <w:spacing w:after="160"/>
        <w:jc w:val="both"/>
      </w:pPr>
      <w:r>
        <w:rPr>
          <w:rFonts w:ascii="Times New Roman" w:hAnsi="Times New Roman"/>
          <w:b w:val="0"/>
          <w:sz w:val="22"/>
        </w:rPr>
        <w:t>Con base en la certificación del escrutador, el presidente declaró legalmente instalada la asamblea con la representación del cien por ciento del capital social. Se deja constancia de que, por estar representada la totalidad del capital y adoptarse las resoluciones por unanimidad, la asamblea satisface igualmente los quórums de instalación y votación previstos para las asambleas extraordinarias en el Artículo Trigésimo Séptimo de los estatutos sociales.</w:t>
      </w:r>
    </w:p>
    <w:p>
      <w:pPr>
        <w:spacing w:after="160"/>
        <w:jc w:val="left"/>
      </w:pPr>
      <w:r>
        <w:rPr>
          <w:rFonts w:ascii="Times New Roman" w:hAnsi="Times New Roman"/>
          <w:b/>
          <w:sz w:val="22"/>
        </w:rPr>
        <w:t>III. ORDEN DEL DÍA</w:t>
      </w:r>
    </w:p>
    <w:p>
      <w:pPr>
        <w:spacing w:after="160"/>
        <w:jc w:val="both"/>
      </w:pPr>
      <w:r>
        <w:rPr>
          <w:rFonts w:ascii="Times New Roman" w:hAnsi="Times New Roman"/>
          <w:b w:val="0"/>
          <w:sz w:val="22"/>
        </w:rPr>
        <w:t>I. Propuesta, discusión y, en su caso, aprobación del aumento del capital social en su parte variable por la cantidad de $2,000,000.00 (DOS MILLONES DE PESOS 00/100 MONEDA NACIONAL), mediante la emisión de acciones de la serie “B”.</w:t>
      </w:r>
    </w:p>
    <w:p>
      <w:pPr>
        <w:spacing w:after="160"/>
        <w:jc w:val="both"/>
      </w:pPr>
      <w:r>
        <w:rPr>
          <w:rFonts w:ascii="Times New Roman" w:hAnsi="Times New Roman"/>
          <w:b w:val="0"/>
          <w:sz w:val="22"/>
        </w:rPr>
        <w:t>II. Suscripción y pago del aumento por los accionistas actuales, en proporción a su tenencia accionaria, con renuncia expresa al derecho de preferencia respecto de cualquier remanente.</w:t>
      </w:r>
    </w:p>
    <w:p>
      <w:pPr>
        <w:spacing w:after="160"/>
        <w:jc w:val="both"/>
      </w:pPr>
      <w:r>
        <w:rPr>
          <w:rFonts w:ascii="Times New Roman" w:hAnsi="Times New Roman"/>
          <w:b w:val="0"/>
          <w:sz w:val="22"/>
        </w:rPr>
        <w:t>III. Emisión de certificados provisionales y, en su oportunidad, de títulos definitivos; asientos en los libros corporativos.</w:t>
      </w:r>
    </w:p>
    <w:p>
      <w:pPr>
        <w:spacing w:after="160"/>
        <w:jc w:val="both"/>
      </w:pPr>
      <w:r>
        <w:rPr>
          <w:rFonts w:ascii="Times New Roman" w:hAnsi="Times New Roman"/>
          <w:b w:val="0"/>
          <w:sz w:val="22"/>
        </w:rPr>
        <w:t>IV. Designación de delegados especiales.</w:t>
      </w:r>
    </w:p>
    <w:p>
      <w:pPr>
        <w:spacing w:after="160"/>
        <w:jc w:val="left"/>
      </w:pPr>
      <w:r>
        <w:rPr>
          <w:rFonts w:ascii="Times New Roman" w:hAnsi="Times New Roman"/>
          <w:b/>
          <w:sz w:val="22"/>
        </w:rPr>
        <w:t>IV. DESARROLLO Y RESOLUCIONES</w:t>
      </w:r>
    </w:p>
    <w:p>
      <w:pPr>
        <w:spacing w:after="160"/>
        <w:jc w:val="both"/>
      </w:pPr>
      <w:r>
        <w:rPr>
          <w:rFonts w:ascii="Times New Roman" w:hAnsi="Times New Roman"/>
          <w:b w:val="0"/>
          <w:sz w:val="22"/>
        </w:rPr>
        <w:t>Punto I. El presidente expuso la conveniencia de fortalecer los recursos de la Sociedad para el desarrollo de su objeto social mediante nuevas aportaciones en numerario de los propios accionistas, sin alterar la proporción de sus tenencias. Hizo constar, para los efectos del Artículo Décimo Quinto de los estatutos sociales y del artículo 133 de la Ley General de Sociedades Mercantiles, que el capital social precedente, de $10,000.00 (DIEZ MIL PESOS 00/100 M.N.), se encuentra íntegramente suscrito y pagado. Sometida la propuesta a votación, los accionistas, por unanimidad, adoptaron la siguiente:</w:t>
      </w:r>
    </w:p>
    <w:p>
      <w:pPr>
        <w:spacing w:after="160"/>
        <w:jc w:val="both"/>
      </w:pPr>
      <w:r>
        <w:rPr>
          <w:rFonts w:ascii="Times New Roman" w:hAnsi="Times New Roman"/>
          <w:b/>
          <w:sz w:val="22"/>
        </w:rPr>
        <w:t>RESOLUCIÓN PRIMERA.</w:t>
      </w:r>
      <w:r>
        <w:rPr>
          <w:rFonts w:ascii="Times New Roman" w:hAnsi="Times New Roman"/>
          <w:b w:val="0"/>
          <w:sz w:val="22"/>
        </w:rPr>
        <w:t xml:space="preserve"> Se aprueba aumentar el capital social de la Sociedad en su parte variable en la cantidad de </w:t>
      </w:r>
      <w:r>
        <w:rPr>
          <w:rFonts w:ascii="Times New Roman" w:hAnsi="Times New Roman"/>
          <w:b/>
          <w:sz w:val="22"/>
        </w:rPr>
        <w:t>$2,000,000.00 (DOS MILLONES DE PESOS 00/100 MONEDA NACIONAL)</w:t>
      </w:r>
      <w:r>
        <w:rPr>
          <w:rFonts w:ascii="Times New Roman" w:hAnsi="Times New Roman"/>
          <w:b w:val="0"/>
          <w:sz w:val="22"/>
        </w:rPr>
        <w:t xml:space="preserve">, mediante la emisión de </w:t>
      </w:r>
      <w:r>
        <w:rPr>
          <w:rFonts w:ascii="Times New Roman" w:hAnsi="Times New Roman"/>
          <w:b/>
          <w:sz w:val="22"/>
        </w:rPr>
        <w:t>20,000 (VEINTE MIL) acciones ordinarias, nominativas, de la serie “B”</w:t>
      </w:r>
      <w:r>
        <w:rPr>
          <w:rFonts w:ascii="Times New Roman" w:hAnsi="Times New Roman"/>
          <w:b w:val="0"/>
          <w:sz w:val="22"/>
        </w:rPr>
        <w:t xml:space="preserve">, con valor nominal de $100.00 (CIEN PESOS 00/100 M.N.) cada una, con fundamento en los Artículos Sexto y Décimo Primero de los estatutos sociales y en los artículos 213, 216 y 219 de la Ley General de Sociedades Mercantiles. En consecuencia, el capital social total de la Sociedad ascenderá a </w:t>
      </w:r>
      <w:r>
        <w:rPr>
          <w:rFonts w:ascii="Times New Roman" w:hAnsi="Times New Roman"/>
          <w:b/>
          <w:sz w:val="22"/>
        </w:rPr>
        <w:t>$2,010,000.00 (DOS MILLONES DIEZ MIL PESOS 00/100 MONEDA NACIONAL)</w:t>
      </w:r>
      <w:r>
        <w:rPr>
          <w:rFonts w:ascii="Times New Roman" w:hAnsi="Times New Roman"/>
          <w:b w:val="0"/>
          <w:sz w:val="22"/>
        </w:rPr>
        <w:t>, del cual $10,000.00 (DIEZ MIL PESOS 00/100 M.N.) corresponden a la parte fija, representada por 100 (CIEN) acciones de la serie “A”, y $2,000,000.00 (DOS MILLONES DE PESOS 00/100 M.N.) a la parte variable, representada por 20,000 (VEINTE MIL) acciones de la serie “B”.</w:t>
      </w:r>
    </w:p>
    <w:p>
      <w:pPr>
        <w:spacing w:after="160"/>
        <w:jc w:val="both"/>
      </w:pPr>
      <w:r>
        <w:rPr>
          <w:rFonts w:ascii="Times New Roman" w:hAnsi="Times New Roman"/>
          <w:b w:val="0"/>
          <w:sz w:val="22"/>
        </w:rPr>
        <w:t>Punto II. Acto seguido, los accionistas manifestaron su voluntad de ejercer en este acto su derecho de preferencia y suscribir la totalidad del aumento decretado en proporción exacta a su participación actual en el capital social, conforme al Artículo Décimo Sexto de los estatutos sociales y al artículo 132 de la Ley General de Sociedades Mercantiles. Por unanimidad se adoptaron las siguientes:</w:t>
      </w:r>
    </w:p>
    <w:p>
      <w:pPr>
        <w:spacing w:after="160"/>
        <w:jc w:val="both"/>
      </w:pPr>
      <w:r>
        <w:rPr>
          <w:rFonts w:ascii="Times New Roman" w:hAnsi="Times New Roman"/>
          <w:b/>
          <w:sz w:val="22"/>
        </w:rPr>
        <w:t>RESOLUCIÓN SEGUNDA.</w:t>
      </w:r>
      <w:r>
        <w:rPr>
          <w:rFonts w:ascii="Times New Roman" w:hAnsi="Times New Roman"/>
          <w:b w:val="0"/>
          <w:sz w:val="22"/>
        </w:rPr>
        <w:t xml:space="preserve"> Se hace constar que los accionistas suscriben en este acto la totalidad de las 20,000 (VEINTE MIL) acciones de la serie “B” emitidas conforme a la Resolución Primera, en los términos siguientes: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
              <w:rPr>
                <w:b/>
                <w:sz w:val="20"/>
              </w:rPr>
              <w:t>Suscriptor</w:t>
            </w:r>
          </w:p>
        </w:tc>
        <w:tc>
          <w:tcPr>
            <w:tcW w:type="dxa" w:w="2209"/>
          </w:tcPr>
          <w:p>
            <w:r/>
            <w:r>
              <w:rPr>
                <w:b/>
                <w:sz w:val="20"/>
              </w:rPr>
              <w:t>Acciones serie “B”</w:t>
            </w:r>
          </w:p>
        </w:tc>
        <w:tc>
          <w:tcPr>
            <w:tcW w:type="dxa" w:w="2209"/>
          </w:tcPr>
          <w:p>
            <w:r/>
            <w:r>
              <w:rPr>
                <w:b/>
                <w:sz w:val="20"/>
              </w:rPr>
              <w:t>Importe suscrito</w:t>
            </w:r>
          </w:p>
        </w:tc>
        <w:tc>
          <w:tcPr>
            <w:tcW w:type="dxa" w:w="2209"/>
          </w:tcPr>
          <w:p>
            <w:r/>
            <w:r>
              <w:rPr>
                <w:b/>
                <w:sz w:val="20"/>
              </w:rPr>
              <w:t>% del aumento</w:t>
            </w:r>
          </w:p>
        </w:tc>
      </w:tr>
      <w:tr>
        <w:tc>
          <w:tcPr>
            <w:tcW w:type="dxa" w:w="2209"/>
          </w:tcPr>
          <w:p>
            <w:r/>
            <w:r>
              <w:rPr>
                <w:b w:val="0"/>
                <w:sz w:val="20"/>
              </w:rPr>
              <w:t>Juan Alejandro García Trejo</w:t>
            </w:r>
          </w:p>
        </w:tc>
        <w:tc>
          <w:tcPr>
            <w:tcW w:type="dxa" w:w="2209"/>
          </w:tcPr>
          <w:p>
            <w:r/>
            <w:r>
              <w:rPr>
                <w:b w:val="0"/>
                <w:sz w:val="20"/>
              </w:rPr>
              <w:t>16,000 (DIECISÉIS MIL)</w:t>
            </w:r>
          </w:p>
        </w:tc>
        <w:tc>
          <w:tcPr>
            <w:tcW w:type="dxa" w:w="2209"/>
          </w:tcPr>
          <w:p>
            <w:r/>
            <w:r>
              <w:rPr>
                <w:b w:val="0"/>
                <w:sz w:val="20"/>
              </w:rPr>
              <w:t>$1,600,000.00 (UN MILLÓN SEISCIENTOS MIL PESOS 00/100 M.N.)</w:t>
            </w:r>
          </w:p>
        </w:tc>
        <w:tc>
          <w:tcPr>
            <w:tcW w:type="dxa" w:w="2209"/>
          </w:tcPr>
          <w:p>
            <w:r/>
            <w:r>
              <w:rPr>
                <w:b w:val="0"/>
                <w:sz w:val="20"/>
              </w:rPr>
              <w:t>80%</w:t>
            </w:r>
          </w:p>
        </w:tc>
      </w:tr>
      <w:tr>
        <w:tc>
          <w:tcPr>
            <w:tcW w:type="dxa" w:w="2209"/>
          </w:tcPr>
          <w:p>
            <w:r/>
            <w:r>
              <w:rPr>
                <w:b w:val="0"/>
                <w:sz w:val="20"/>
              </w:rPr>
              <w:t>Carlos Edgar García Larqué</w:t>
            </w:r>
          </w:p>
        </w:tc>
        <w:tc>
          <w:tcPr>
            <w:tcW w:type="dxa" w:w="2209"/>
          </w:tcPr>
          <w:p>
            <w:r/>
            <w:r>
              <w:rPr>
                <w:b w:val="0"/>
                <w:sz w:val="20"/>
              </w:rPr>
              <w:t>4,000 (CUATRO MIL)</w:t>
            </w:r>
          </w:p>
        </w:tc>
        <w:tc>
          <w:tcPr>
            <w:tcW w:type="dxa" w:w="2209"/>
          </w:tcPr>
          <w:p>
            <w:r/>
            <w:r>
              <w:rPr>
                <w:b w:val="0"/>
                <w:sz w:val="20"/>
              </w:rPr>
              <w:t>$400,000.00 (CUATROCIENTOS MIL PESOS 00/100 M.N.)</w:t>
            </w:r>
          </w:p>
        </w:tc>
        <w:tc>
          <w:tcPr>
            <w:tcW w:type="dxa" w:w="2209"/>
          </w:tcPr>
          <w:p>
            <w:r/>
            <w:r>
              <w:rPr>
                <w:b w:val="0"/>
                <w:sz w:val="20"/>
              </w:rPr>
              <w:t>20%</w:t>
            </w:r>
          </w:p>
        </w:tc>
      </w:tr>
      <w:tr>
        <w:tc>
          <w:tcPr>
            <w:tcW w:type="dxa" w:w="2209"/>
          </w:tcPr>
          <w:p>
            <w:r/>
            <w:r>
              <w:rPr>
                <w:b/>
                <w:sz w:val="20"/>
              </w:rPr>
              <w:t>Total</w:t>
            </w:r>
          </w:p>
        </w:tc>
        <w:tc>
          <w:tcPr>
            <w:tcW w:type="dxa" w:w="2209"/>
          </w:tcPr>
          <w:p>
            <w:r/>
            <w:r>
              <w:rPr>
                <w:b/>
                <w:sz w:val="20"/>
              </w:rPr>
              <w:t>20,000 (VEINTE MIL)</w:t>
            </w:r>
          </w:p>
        </w:tc>
        <w:tc>
          <w:tcPr>
            <w:tcW w:type="dxa" w:w="2209"/>
          </w:tcPr>
          <w:p>
            <w:r/>
            <w:r>
              <w:rPr>
                <w:b/>
                <w:sz w:val="20"/>
              </w:rPr>
              <w:t>$2,000,000.00 (DOS MILLONES DE PESOS 00/100 M.N.)</w:t>
            </w:r>
          </w:p>
        </w:tc>
        <w:tc>
          <w:tcPr>
            <w:tcW w:type="dxa" w:w="2209"/>
          </w:tcPr>
          <w:p>
            <w:r/>
            <w:r>
              <w:rPr>
                <w:b/>
                <w:sz w:val="20"/>
              </w:rPr>
              <w:t>100%</w:t>
            </w:r>
          </w:p>
        </w:tc>
      </w:tr>
    </w:tbl>
    <w:p>
      <w:pPr>
        <w:spacing w:after="80"/>
      </w:pPr>
    </w:p>
    <w:p>
      <w:pPr>
        <w:spacing w:after="160"/>
        <w:jc w:val="both"/>
      </w:pPr>
      <w:r>
        <w:rPr>
          <w:rFonts w:ascii="Times New Roman" w:hAnsi="Times New Roman"/>
          <w:b w:val="0"/>
          <w:sz w:val="22"/>
        </w:rPr>
        <w:t xml:space="preserve">Las acciones se suscriben a la par, sin prima por suscripción. El pago se efectuará en numerario, mediante exhibición en este acto de </w:t>
      </w:r>
      <w:r>
        <w:rPr>
          <w:rFonts w:ascii="Times New Roman" w:hAnsi="Times New Roman"/>
          <w:b/>
          <w:sz w:val="22"/>
          <w:highlight w:val="yellow"/>
        </w:rPr>
        <w:t>CAMPO PENDIENTE: importe y porcentaje de la exhibición inicial — no podrá ser inferior al veinte por ciento del valor de cada acción, conforme al artículo 89, fracción III, de la Ley General de Sociedades Mercantiles, es decir, cuando menos $400,000.00 (CUATROCIENTOS MIL PESOS 00/100 M.N.) en conjunto</w:t>
      </w:r>
      <w:r>
        <w:rPr>
          <w:rFonts w:ascii="Times New Roman" w:hAnsi="Times New Roman"/>
          <w:b w:val="0"/>
          <w:sz w:val="22"/>
        </w:rPr>
        <w:t xml:space="preserve">, y el saldo insoluto se exhibirá, también en numerario, a más tardar el </w:t>
      </w:r>
      <w:r>
        <w:rPr>
          <w:rFonts w:ascii="Times New Roman" w:hAnsi="Times New Roman"/>
          <w:b/>
          <w:sz w:val="22"/>
          <w:highlight w:val="yellow"/>
        </w:rPr>
        <w:t>CAMPO PENDIENTE: fecha límite o calendario de exhibiciones — sin exceder de un año contado a partir de esta fecha, conforme al Artículo Vigésimo Segundo de los estatutos sociales, salvo que esta asamblea fije plazo distinto</w:t>
      </w:r>
      <w:r>
        <w:rPr>
          <w:rFonts w:ascii="Times New Roman" w:hAnsi="Times New Roman"/>
          <w:b w:val="0"/>
          <w:sz w:val="22"/>
        </w:rPr>
        <w:t>. La asamblea instruye al órgano de administración para anotar cada exhibición en el libro de registro de acciones y en los certificados correspondientes.</w:t>
      </w:r>
    </w:p>
    <w:p>
      <w:pPr>
        <w:spacing w:after="160"/>
        <w:jc w:val="both"/>
      </w:pPr>
      <w:r>
        <w:rPr>
          <w:rFonts w:ascii="Times New Roman" w:hAnsi="Times New Roman"/>
          <w:b/>
          <w:sz w:val="22"/>
        </w:rPr>
        <w:t>RESOLUCIÓN TERCERA.</w:t>
      </w:r>
      <w:r>
        <w:rPr>
          <w:rFonts w:ascii="Times New Roman" w:hAnsi="Times New Roman"/>
          <w:b w:val="0"/>
          <w:sz w:val="22"/>
        </w:rPr>
        <w:t xml:space="preserve"> Habiendo quedado la totalidad del aumento suscrita en este acto por los propios accionistas en proporción a sus tenencias, éstos renuncian expresa e irrevocablemente al derecho de preferencia que pudiera corresponderles respecto de cualquier remanente no suscrito, el cual queda sin materia, por lo que resulta innecesaria la publicación del acuerdo de aumento en el sistema electrónico establecido por la Secretaría de Economía para los efectos del ejercicio de dicho derecho por accionistas ausentes. Las proporciones de participación en el capital social permanecen idénticas antes y después del aumento: 80% (ochenta por ciento) para el señor Juan Alejandro García Trejo y 20% (veinte por ciento) para el señor Carlos Edgar García Larqué.</w:t>
      </w:r>
    </w:p>
    <w:p>
      <w:pPr>
        <w:spacing w:after="160"/>
        <w:jc w:val="both"/>
      </w:pPr>
      <w:r>
        <w:rPr>
          <w:rFonts w:ascii="Times New Roman" w:hAnsi="Times New Roman"/>
          <w:b w:val="0"/>
          <w:sz w:val="22"/>
        </w:rPr>
        <w:t>Punto III. En relación con el tercer punto del orden del día, los accionistas, por unanimidad, adoptaron la siguiente:</w:t>
      </w:r>
    </w:p>
    <w:p>
      <w:pPr>
        <w:spacing w:after="160"/>
        <w:jc w:val="both"/>
      </w:pPr>
      <w:r>
        <w:rPr>
          <w:rFonts w:ascii="Times New Roman" w:hAnsi="Times New Roman"/>
          <w:b/>
          <w:sz w:val="22"/>
        </w:rPr>
        <w:t>RESOLUCIÓN CUARTA.</w:t>
      </w:r>
      <w:r>
        <w:rPr>
          <w:rFonts w:ascii="Times New Roman" w:hAnsi="Times New Roman"/>
          <w:b w:val="0"/>
          <w:sz w:val="22"/>
        </w:rPr>
        <w:t xml:space="preserve"> Se instruye al órgano de administración para que: (i) realice el asiento del aumento en el libro de registro de variaciones de capital, conforme al Artículo Décimo Octavo de los estatutos sociales y al artículo 219 de la Ley General de Sociedades Mercantiles; (ii) realice los asientos correspondientes en el libro de registro de acciones, conforme al Artículo Vigésimo Primero de los estatutos sociales y al artículo 128 de la misma ley; (iii) emita y entregue a los suscriptores certificados provisionales representativos de las nuevas acciones de la serie “B”, con la anotación de las exhibiciones efectuadas, conforme al artículo 125, fracción V, de la citada ley y al Artículo Vigésimo de los estatutos sociales; y (iv) canjee dichos certificados por los títulos definitivos una vez que las acciones queden íntegramente pagadas y, a más tardar, dentro del plazo de un año previsto en el Artículo Vigésimo de los estatutos sociales.</w:t>
      </w:r>
    </w:p>
    <w:p>
      <w:pPr>
        <w:spacing w:after="160"/>
        <w:jc w:val="both"/>
      </w:pPr>
      <w:r>
        <w:rPr>
          <w:rFonts w:ascii="Times New Roman" w:hAnsi="Times New Roman"/>
          <w:b w:val="0"/>
          <w:sz w:val="22"/>
        </w:rPr>
        <w:t>Punto IV. Finalmente, los accionistas, por unanimidad, adoptaron la siguiente:</w:t>
      </w:r>
    </w:p>
    <w:p>
      <w:pPr>
        <w:spacing w:after="160"/>
        <w:jc w:val="both"/>
      </w:pPr>
      <w:r>
        <w:rPr>
          <w:rFonts w:ascii="Times New Roman" w:hAnsi="Times New Roman"/>
          <w:b/>
          <w:sz w:val="22"/>
        </w:rPr>
        <w:t>RESOLUCIÓN QUINTA.</w:t>
      </w:r>
      <w:r>
        <w:rPr>
          <w:rFonts w:ascii="Times New Roman" w:hAnsi="Times New Roman"/>
          <w:b w:val="0"/>
          <w:sz w:val="22"/>
        </w:rPr>
        <w:t xml:space="preserve"> Se designa como delegados especiales de esta asamblea a los señores </w:t>
      </w:r>
      <w:r>
        <w:rPr>
          <w:rFonts w:ascii="Times New Roman" w:hAnsi="Times New Roman"/>
          <w:b/>
          <w:sz w:val="22"/>
        </w:rPr>
        <w:t>Juan Alejandro García Trejo</w:t>
      </w:r>
      <w:r>
        <w:rPr>
          <w:rFonts w:ascii="Times New Roman" w:hAnsi="Times New Roman"/>
          <w:b w:val="0"/>
          <w:sz w:val="22"/>
        </w:rPr>
        <w:t xml:space="preserve"> y </w:t>
      </w:r>
      <w:r>
        <w:rPr>
          <w:rFonts w:ascii="Times New Roman" w:hAnsi="Times New Roman"/>
          <w:b/>
          <w:sz w:val="22"/>
        </w:rPr>
        <w:t>Carlos Edgar García Larqué</w:t>
      </w:r>
      <w:r>
        <w:rPr>
          <w:rFonts w:ascii="Times New Roman" w:hAnsi="Times New Roman"/>
          <w:b w:val="0"/>
          <w:sz w:val="22"/>
        </w:rPr>
        <w:t>, para que, conjunta o separadamente, ejecuten y formalicen las resoluciones adoptadas; realicen o instruyan los asientos en los libros corporativos y la emisión de los certificados y títulos; presenten ante el Servicio de Administración Tributaria el aviso de actualización de socios o accionistas previsto en el artículo 27, apartado B, fracción VI, del Código Fiscal de la Federación y en las disposiciones administrativas vigentes; actualicen el expediente de beneficiario controlador de la Sociedad conforme a los artículos 32-B Ter, 32-B Quáter y 32-B Quinquies del propio Código; y, en general, realicen cuantos actos resulten necesarios o convenientes para la plena eficacia de lo aquí resuelto. Lo anterior, en el entendido de que el presente aumento, por corresponder a la parte variable del capital social, no requiere para su validez protocolización ante fedatario público ni inscripción en el Registro Público de Comercio, conforme a los artículos 213 y 219 de la Ley General de Sociedades Mercantiles; sin perjuicio de lo cual se autoriza a los delegados especiales para comparecer, conjunta o separadamente, ante el fedatario público de su elección a protocolizar total o parcialmente la presente acta cuando ello resulte necesario o conveniente para la realización de trámites administrativos, incluido el aviso de actualización de socios o accionistas ante el Servicio de Administración Tributaria.</w:t>
      </w:r>
    </w:p>
    <w:p>
      <w:pPr>
        <w:spacing w:after="160"/>
        <w:jc w:val="left"/>
      </w:pPr>
      <w:r>
        <w:rPr>
          <w:rFonts w:ascii="Times New Roman" w:hAnsi="Times New Roman"/>
          <w:b/>
          <w:sz w:val="22"/>
        </w:rPr>
        <w:t>V. CIERRE</w:t>
      </w:r>
    </w:p>
    <w:p>
      <w:pPr>
        <w:spacing w:after="160"/>
        <w:jc w:val="both"/>
      </w:pPr>
      <w:r>
        <w:rPr>
          <w:rFonts w:ascii="Times New Roman" w:hAnsi="Times New Roman"/>
          <w:b w:val="0"/>
          <w:sz w:val="22"/>
        </w:rPr>
        <w:t xml:space="preserve">No habiendo otro asunto que tratar, se suspendió la asamblea por el tiempo necesario para la elaboración de la presente acta, la cual, leída a los presentes, fue aprobada por unanimidad y firmada de conformidad, levantándose la sesión a las </w:t>
      </w:r>
      <w:r>
        <w:rPr>
          <w:rFonts w:ascii="Times New Roman" w:hAnsi="Times New Roman"/>
          <w:b/>
          <w:sz w:val="22"/>
          <w:highlight w:val="yellow"/>
        </w:rPr>
        <w:t>CAMPO PENDIENTE: hora de cierre</w:t>
      </w:r>
      <w:r>
        <w:rPr>
          <w:rFonts w:ascii="Times New Roman" w:hAnsi="Times New Roman"/>
          <w:b w:val="0"/>
          <w:sz w:val="22"/>
        </w:rPr>
        <w:t xml:space="preserve"> horas del mismo día. Se agrega al apéndice de esta acta, como anexo, la lista de asistencia firmada por los accionistas y certificada por el escrutador.</w:t>
      </w:r>
    </w:p>
    <w:p/>
    <w:p/>
    <w:tbl>
      <w:tblPr>
        <w:tblW w:type="auto" w:w="0"/>
        <w:jc w:val="center"/>
        <w:tblLook w:firstColumn="1" w:firstRow="1" w:lastColumn="0" w:lastRow="0" w:noHBand="0" w:noVBand="1" w:val="04A0"/>
      </w:tblPr>
      <w:tblGrid>
        <w:gridCol w:w="4419"/>
        <w:gridCol w:w="4419"/>
      </w:tblGrid>
      <w:tr>
        <w:tc>
          <w:tcPr>
            <w:tcW w:type="dxa" w:w="4419"/>
          </w:tcPr>
          <w:p>
            <w:pPr>
              <w:jc w:val="center"/>
            </w:pPr>
            <w:r>
              <w:rPr>
                <w:b/>
              </w:rPr>
              <w:t>_______________________</w:t>
              <w:br/>
              <w:t>Juan Alejandro García Trejo</w:t>
            </w:r>
          </w:p>
        </w:tc>
        <w:tc>
          <w:tcPr>
            <w:tcW w:type="dxa" w:w="4419"/>
          </w:tcPr>
          <w:p>
            <w:pPr>
              <w:jc w:val="center"/>
            </w:pPr>
            <w:r>
              <w:rPr>
                <w:b/>
              </w:rPr>
              <w:t>_______________________</w:t>
              <w:br/>
              <w:t>Carlos Edgar García Larqué</w:t>
            </w:r>
          </w:p>
        </w:tc>
      </w:tr>
      <w:tr>
        <w:tc>
          <w:tcPr>
            <w:tcW w:type="dxa" w:w="4419"/>
          </w:tcPr>
          <w:p>
            <w:pPr>
              <w:jc w:val="center"/>
            </w:pPr>
            <w:r>
              <w:t>Presidente</w:t>
            </w:r>
          </w:p>
        </w:tc>
        <w:tc>
          <w:tcPr>
            <w:tcW w:type="dxa" w:w="4419"/>
          </w:tcPr>
          <w:p>
            <w:pPr>
              <w:jc w:val="center"/>
            </w:pPr>
            <w:r>
              <w:t>Secretario y Escrutador</w:t>
            </w:r>
          </w:p>
        </w:tc>
      </w:tr>
    </w:tbl>
    <w:p/>
    <w:p/>
    <w:p>
      <w:pPr>
        <w:jc w:val="center"/>
      </w:pPr>
      <w:r>
        <w:rPr>
          <w:b/>
        </w:rPr>
        <w:t>_______________________</w:t>
        <w:br/>
        <w:t>Abraham Rubio Rosas</w:t>
      </w:r>
    </w:p>
    <w:p>
      <w:pPr>
        <w:jc w:val="center"/>
      </w:pPr>
      <w:r>
        <w:t xml:space="preserve">Comisario </w:t>
      </w:r>
      <w:r>
        <w:rPr>
          <w:highlight w:val="yellow"/>
        </w:rPr>
        <w:t>[firma únicamente en caso de haber concurrido]</w:t>
      </w:r>
    </w:p>
    <w:p>
      <w:r>
        <w:br w:type="page"/>
      </w:r>
    </w:p>
    <w:p>
      <w:pPr>
        <w:spacing w:after="160"/>
        <w:jc w:val="center"/>
      </w:pPr>
      <w:r>
        <w:rPr>
          <w:rFonts w:ascii="Times New Roman" w:hAnsi="Times New Roman"/>
          <w:b/>
          <w:sz w:val="24"/>
        </w:rPr>
        <w:t>ANEXO ÚNICO — LISTA DE ASISTENCIA</w:t>
      </w:r>
    </w:p>
    <w:p>
      <w:pPr>
        <w:spacing w:after="160"/>
        <w:jc w:val="both"/>
      </w:pPr>
      <w:r>
        <w:rPr>
          <w:rFonts w:ascii="Times New Roman" w:hAnsi="Times New Roman"/>
          <w:b w:val="0"/>
          <w:sz w:val="22"/>
        </w:rPr>
        <w:t>Asamblea general ordinaria de accionistas de “Traslados y Arrastres de Carga Terrestres Aéreos y Consolidados”, S.A. de C.V., celebrada el 4 de mayo de 2026.</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r/>
            <w:r>
              <w:rPr>
                <w:b/>
                <w:sz w:val="20"/>
              </w:rPr>
              <w:t>Accionista</w:t>
            </w:r>
          </w:p>
        </w:tc>
        <w:tc>
          <w:tcPr>
            <w:tcW w:type="dxa" w:w="1473"/>
          </w:tcPr>
          <w:p>
            <w:r/>
            <w:r>
              <w:rPr>
                <w:b/>
                <w:sz w:val="20"/>
              </w:rPr>
              <w:t>Comparecencia</w:t>
            </w:r>
          </w:p>
        </w:tc>
        <w:tc>
          <w:tcPr>
            <w:tcW w:type="dxa" w:w="1473"/>
          </w:tcPr>
          <w:p>
            <w:r/>
            <w:r>
              <w:rPr>
                <w:b/>
                <w:sz w:val="20"/>
              </w:rPr>
              <w:t>Acciones</w:t>
            </w:r>
          </w:p>
        </w:tc>
        <w:tc>
          <w:tcPr>
            <w:tcW w:type="dxa" w:w="1473"/>
          </w:tcPr>
          <w:p>
            <w:r/>
            <w:r>
              <w:rPr>
                <w:b/>
                <w:sz w:val="20"/>
              </w:rPr>
              <w:t>Capital</w:t>
            </w:r>
          </w:p>
        </w:tc>
        <w:tc>
          <w:tcPr>
            <w:tcW w:type="dxa" w:w="1473"/>
          </w:tcPr>
          <w:p>
            <w:r/>
            <w:r>
              <w:rPr>
                <w:b/>
                <w:sz w:val="20"/>
              </w:rPr>
              <w:t>%</w:t>
            </w:r>
          </w:p>
        </w:tc>
        <w:tc>
          <w:tcPr>
            <w:tcW w:type="dxa" w:w="1473"/>
          </w:tcPr>
          <w:p>
            <w:r/>
            <w:r>
              <w:rPr>
                <w:b/>
                <w:sz w:val="20"/>
              </w:rPr>
              <w:t>Firma</w:t>
            </w:r>
          </w:p>
        </w:tc>
      </w:tr>
      <w:tr>
        <w:tc>
          <w:tcPr>
            <w:tcW w:type="dxa" w:w="1473"/>
          </w:tcPr>
          <w:p>
            <w:r/>
            <w:r>
              <w:rPr>
                <w:b w:val="0"/>
                <w:sz w:val="20"/>
              </w:rPr>
              <w:t>Juan Alejandro García Trejo</w:t>
            </w:r>
          </w:p>
        </w:tc>
        <w:tc>
          <w:tcPr>
            <w:tcW w:type="dxa" w:w="1473"/>
          </w:tcPr>
          <w:p>
            <w:r/>
            <w:r>
              <w:rPr>
                <w:b w:val="0"/>
                <w:sz w:val="20"/>
              </w:rPr>
              <w:t>Personal</w:t>
            </w:r>
          </w:p>
        </w:tc>
        <w:tc>
          <w:tcPr>
            <w:tcW w:type="dxa" w:w="1473"/>
          </w:tcPr>
          <w:p>
            <w:r/>
            <w:r>
              <w:rPr>
                <w:b w:val="0"/>
                <w:sz w:val="20"/>
              </w:rPr>
              <w:t>80 serie “A”</w:t>
            </w:r>
          </w:p>
        </w:tc>
        <w:tc>
          <w:tcPr>
            <w:tcW w:type="dxa" w:w="1473"/>
          </w:tcPr>
          <w:p>
            <w:r/>
            <w:r>
              <w:rPr>
                <w:b w:val="0"/>
                <w:sz w:val="20"/>
              </w:rPr>
              <w:t>$8,000.00</w:t>
            </w:r>
          </w:p>
        </w:tc>
        <w:tc>
          <w:tcPr>
            <w:tcW w:type="dxa" w:w="1473"/>
          </w:tcPr>
          <w:p>
            <w:r/>
            <w:r>
              <w:rPr>
                <w:b w:val="0"/>
                <w:sz w:val="20"/>
              </w:rPr>
              <w:t>80%</w:t>
            </w:r>
          </w:p>
        </w:tc>
        <w:tc>
          <w:tcPr>
            <w:tcW w:type="dxa" w:w="1473"/>
          </w:tcPr>
          <w:p>
            <w:r/>
            <w:r>
              <w:rPr>
                <w:b w:val="0"/>
                <w:sz w:val="20"/>
              </w:rPr>
            </w:r>
          </w:p>
        </w:tc>
      </w:tr>
      <w:tr>
        <w:tc>
          <w:tcPr>
            <w:tcW w:type="dxa" w:w="1473"/>
          </w:tcPr>
          <w:p>
            <w:r/>
            <w:r>
              <w:rPr>
                <w:b w:val="0"/>
                <w:sz w:val="20"/>
              </w:rPr>
              <w:t>Carlos Edgar García Larqué</w:t>
            </w:r>
          </w:p>
        </w:tc>
        <w:tc>
          <w:tcPr>
            <w:tcW w:type="dxa" w:w="1473"/>
          </w:tcPr>
          <w:p>
            <w:r/>
            <w:r>
              <w:rPr>
                <w:b w:val="0"/>
                <w:sz w:val="20"/>
              </w:rPr>
              <w:t>Personal</w:t>
            </w:r>
          </w:p>
        </w:tc>
        <w:tc>
          <w:tcPr>
            <w:tcW w:type="dxa" w:w="1473"/>
          </w:tcPr>
          <w:p>
            <w:r/>
            <w:r>
              <w:rPr>
                <w:b w:val="0"/>
                <w:sz w:val="20"/>
              </w:rPr>
              <w:t>20 serie “A”</w:t>
            </w:r>
          </w:p>
        </w:tc>
        <w:tc>
          <w:tcPr>
            <w:tcW w:type="dxa" w:w="1473"/>
          </w:tcPr>
          <w:p>
            <w:r/>
            <w:r>
              <w:rPr>
                <w:b w:val="0"/>
                <w:sz w:val="20"/>
              </w:rPr>
              <w:t>$2,000.00</w:t>
            </w:r>
          </w:p>
        </w:tc>
        <w:tc>
          <w:tcPr>
            <w:tcW w:type="dxa" w:w="1473"/>
          </w:tcPr>
          <w:p>
            <w:r/>
            <w:r>
              <w:rPr>
                <w:b w:val="0"/>
                <w:sz w:val="20"/>
              </w:rPr>
              <w:t>20%</w:t>
            </w:r>
          </w:p>
        </w:tc>
        <w:tc>
          <w:tcPr>
            <w:tcW w:type="dxa" w:w="1473"/>
          </w:tcPr>
          <w:p>
            <w:r/>
            <w:r>
              <w:rPr>
                <w:b w:val="0"/>
                <w:sz w:val="20"/>
              </w:rPr>
            </w:r>
          </w:p>
        </w:tc>
      </w:tr>
      <w:tr>
        <w:tc>
          <w:tcPr>
            <w:tcW w:type="dxa" w:w="1473"/>
          </w:tcPr>
          <w:p>
            <w:r/>
            <w:r>
              <w:rPr>
                <w:b/>
                <w:sz w:val="20"/>
              </w:rPr>
              <w:t>Total</w:t>
            </w:r>
          </w:p>
        </w:tc>
        <w:tc>
          <w:tcPr>
            <w:tcW w:type="dxa" w:w="1473"/>
          </w:tcPr>
          <w:p>
            <w:r/>
            <w:r>
              <w:rPr>
                <w:b w:val="0"/>
                <w:sz w:val="20"/>
              </w:rPr>
            </w:r>
          </w:p>
        </w:tc>
        <w:tc>
          <w:tcPr>
            <w:tcW w:type="dxa" w:w="1473"/>
          </w:tcPr>
          <w:p>
            <w:r/>
            <w:r>
              <w:rPr>
                <w:b/>
                <w:sz w:val="20"/>
              </w:rPr>
              <w:t>100</w:t>
            </w:r>
          </w:p>
        </w:tc>
        <w:tc>
          <w:tcPr>
            <w:tcW w:type="dxa" w:w="1473"/>
          </w:tcPr>
          <w:p>
            <w:r/>
            <w:r>
              <w:rPr>
                <w:b/>
                <w:sz w:val="20"/>
              </w:rPr>
              <w:t>$10,000.00</w:t>
            </w:r>
          </w:p>
        </w:tc>
        <w:tc>
          <w:tcPr>
            <w:tcW w:type="dxa" w:w="1473"/>
          </w:tcPr>
          <w:p>
            <w:r/>
            <w:r>
              <w:rPr>
                <w:b/>
                <w:sz w:val="20"/>
              </w:rPr>
              <w:t>100%</w:t>
            </w:r>
          </w:p>
        </w:tc>
        <w:tc>
          <w:tcPr>
            <w:tcW w:type="dxa" w:w="1473"/>
          </w:tcPr>
          <w:p>
            <w:r/>
            <w:r>
              <w:rPr>
                <w:b w:val="0"/>
                <w:sz w:val="20"/>
              </w:rPr>
            </w:r>
          </w:p>
        </w:tc>
      </w:tr>
    </w:tbl>
    <w:p>
      <w:pPr>
        <w:spacing w:after="80"/>
      </w:pPr>
    </w:p>
    <w:p>
      <w:pPr>
        <w:spacing w:after="160"/>
        <w:jc w:val="both"/>
      </w:pPr>
      <w:r>
        <w:rPr>
          <w:rFonts w:ascii="Times New Roman" w:hAnsi="Times New Roman"/>
          <w:b w:val="0"/>
          <w:sz w:val="22"/>
        </w:rPr>
        <w:t>El suscrito escrutador certifica que la presente lista de asistencia comprende la totalidad de las acciones representativas del capital social suscrito y pagado de la Sociedad.</w:t>
      </w:r>
    </w:p>
    <w:p/>
    <w:p>
      <w:pPr>
        <w:jc w:val="center"/>
      </w:pPr>
      <w:r>
        <w:rPr>
          <w:b/>
        </w:rPr>
        <w:t>_______________________</w:t>
        <w:br/>
        <w:t>Carlos Edgar García Larqué — Escrutador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