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E156D" w14:textId="7EDA70F4" w:rsidR="00FE206A" w:rsidRDefault="00FE206A" w:rsidP="00E27DC1">
      <w:pPr>
        <w:spacing w:line="360" w:lineRule="auto"/>
        <w:ind w:left="0"/>
        <w:rPr>
          <w:rFonts w:cs="Times New Roman"/>
          <w:szCs w:val="24"/>
        </w:rPr>
      </w:pPr>
      <w:r>
        <w:rPr>
          <w:rFonts w:cs="Times New Roman"/>
          <w:szCs w:val="24"/>
        </w:rPr>
        <w:t xml:space="preserve">RESUMO </w:t>
      </w:r>
    </w:p>
    <w:p w14:paraId="05DE3CB2" w14:textId="3A90A09A" w:rsidR="00E27DC1" w:rsidRDefault="00E27DC1" w:rsidP="00E27DC1">
      <w:pPr>
        <w:spacing w:line="360" w:lineRule="auto"/>
        <w:ind w:left="0"/>
        <w:rPr>
          <w:rFonts w:cs="Times New Roman"/>
          <w:szCs w:val="24"/>
        </w:rPr>
      </w:pPr>
      <w:r>
        <w:rPr>
          <w:rFonts w:cs="Times New Roman"/>
          <w:szCs w:val="24"/>
        </w:rPr>
        <w:t xml:space="preserve">Partindo do pressuposto que minérios são recursos finitos, se uma empresa de mineração pretende continuar operando ela precisa desenvolver projetos internamente (encontrar uma nova área com potencial para se tornar uma nova mina) ou comprar projetos, já que o material que ela retira da terra irá acabar. Tanto para projetos comprados quanto para projetos desenvolvidos internamente é necessário fazer uma análise de viabilidade econômica para responder uma simples pergunta: esse projeto, quando entrar em operação, vai trazer retorno financeiro? Se a resposta for </w:t>
      </w:r>
      <w:proofErr w:type="gramStart"/>
      <w:r>
        <w:rPr>
          <w:rFonts w:cs="Times New Roman"/>
          <w:szCs w:val="24"/>
        </w:rPr>
        <w:t>positiva</w:t>
      </w:r>
      <w:proofErr w:type="gramEnd"/>
      <w:r>
        <w:rPr>
          <w:rFonts w:cs="Times New Roman"/>
          <w:szCs w:val="24"/>
        </w:rPr>
        <w:t xml:space="preserve"> a empresa investe no desenvolvimento ou compra o projeto.  </w:t>
      </w:r>
    </w:p>
    <w:p w14:paraId="0E670EF7" w14:textId="7D14E391" w:rsidR="00E27DC1" w:rsidRDefault="00E27DC1" w:rsidP="00E27DC1">
      <w:pPr>
        <w:spacing w:line="360" w:lineRule="auto"/>
        <w:ind w:left="0"/>
        <w:rPr>
          <w:rFonts w:cs="Times New Roman"/>
          <w:szCs w:val="24"/>
        </w:rPr>
      </w:pPr>
      <w:r w:rsidRPr="00732D7C">
        <w:rPr>
          <w:rFonts w:cs="Times New Roman"/>
          <w:szCs w:val="24"/>
        </w:rPr>
        <w:t>Ess</w:t>
      </w:r>
      <w:r>
        <w:rPr>
          <w:rFonts w:cs="Times New Roman"/>
          <w:szCs w:val="24"/>
        </w:rPr>
        <w:t>a</w:t>
      </w:r>
      <w:r w:rsidRPr="00732D7C">
        <w:rPr>
          <w:rFonts w:cs="Times New Roman"/>
          <w:szCs w:val="24"/>
        </w:rPr>
        <w:t xml:space="preserve">s </w:t>
      </w:r>
      <w:r>
        <w:rPr>
          <w:rFonts w:cs="Times New Roman"/>
          <w:szCs w:val="24"/>
        </w:rPr>
        <w:t>análises</w:t>
      </w:r>
      <w:r w:rsidRPr="00732D7C">
        <w:rPr>
          <w:rFonts w:cs="Times New Roman"/>
          <w:szCs w:val="24"/>
        </w:rPr>
        <w:t xml:space="preserve"> </w:t>
      </w:r>
      <w:r>
        <w:rPr>
          <w:rFonts w:cs="Times New Roman"/>
          <w:szCs w:val="24"/>
        </w:rPr>
        <w:t xml:space="preserve">de viabilidade econômica </w:t>
      </w:r>
      <w:r w:rsidRPr="00732D7C">
        <w:rPr>
          <w:rFonts w:cs="Times New Roman"/>
          <w:szCs w:val="24"/>
        </w:rPr>
        <w:t>são comumente realizad</w:t>
      </w:r>
      <w:r>
        <w:rPr>
          <w:rFonts w:cs="Times New Roman"/>
          <w:szCs w:val="24"/>
        </w:rPr>
        <w:t>a</w:t>
      </w:r>
      <w:r w:rsidRPr="00732D7C">
        <w:rPr>
          <w:rFonts w:cs="Times New Roman"/>
          <w:szCs w:val="24"/>
        </w:rPr>
        <w:t>s quando o projeto de exploração mineral está em fases mais avançadas e possui todos os dados necessários para o cálculo de sua viabilidade. Para isso, são necessárias informações técnicas, financeiras e econômicas, tais como</w:t>
      </w:r>
      <w:r>
        <w:rPr>
          <w:rFonts w:cs="Times New Roman"/>
          <w:szCs w:val="24"/>
        </w:rPr>
        <w:t>:</w:t>
      </w:r>
    </w:p>
    <w:p w14:paraId="4609E921" w14:textId="77777777" w:rsidR="00E27DC1" w:rsidRPr="00E27DC1" w:rsidRDefault="00E27DC1" w:rsidP="00E27DC1">
      <w:pPr>
        <w:pStyle w:val="PargrafodaLista"/>
        <w:numPr>
          <w:ilvl w:val="0"/>
          <w:numId w:val="3"/>
        </w:numPr>
        <w:spacing w:line="360" w:lineRule="auto"/>
        <w:rPr>
          <w:rFonts w:cs="Times New Roman"/>
          <w:szCs w:val="24"/>
        </w:rPr>
      </w:pPr>
      <w:r w:rsidRPr="00E27DC1">
        <w:rPr>
          <w:rFonts w:cs="Times New Roman"/>
          <w:b/>
          <w:bCs/>
          <w:szCs w:val="24"/>
        </w:rPr>
        <w:t>Localização da mina/projeto</w:t>
      </w:r>
      <w:r w:rsidRPr="00E27DC1">
        <w:rPr>
          <w:rFonts w:cs="Times New Roman"/>
          <w:szCs w:val="24"/>
        </w:rPr>
        <w:t>: determina o contexto geológico, afeta as taxas, encargos e impostos, os custos logísticos e riscos (como políticos, sociais, ambientais e de segurança);</w:t>
      </w:r>
    </w:p>
    <w:p w14:paraId="054173FA" w14:textId="77777777" w:rsidR="00E27DC1" w:rsidRPr="00E27DC1" w:rsidRDefault="00E27DC1" w:rsidP="00E27DC1">
      <w:pPr>
        <w:pStyle w:val="PargrafodaLista"/>
        <w:numPr>
          <w:ilvl w:val="0"/>
          <w:numId w:val="3"/>
        </w:numPr>
        <w:spacing w:line="360" w:lineRule="auto"/>
        <w:rPr>
          <w:rFonts w:cs="Times New Roman"/>
          <w:szCs w:val="24"/>
        </w:rPr>
      </w:pPr>
      <w:r w:rsidRPr="00E27DC1">
        <w:rPr>
          <w:rFonts w:cs="Times New Roman"/>
          <w:b/>
          <w:bCs/>
          <w:szCs w:val="24"/>
        </w:rPr>
        <w:t>Tipo geológico do depósito</w:t>
      </w:r>
      <w:r w:rsidRPr="00E27DC1">
        <w:rPr>
          <w:rFonts w:cs="Times New Roman"/>
          <w:szCs w:val="24"/>
        </w:rPr>
        <w:t>: indica o método de lavra, o tipo e características físicas da rocha e do minério, os métodos de beneficiamento, o tamanho e teores máximos que o depósito poderá ter, perspectivas futuras, investimento inicial necessário;</w:t>
      </w:r>
    </w:p>
    <w:p w14:paraId="3B0B0142" w14:textId="721A61F9" w:rsidR="00E27DC1" w:rsidRPr="00E27DC1" w:rsidRDefault="00E27DC1" w:rsidP="00E27DC1">
      <w:pPr>
        <w:pStyle w:val="PargrafodaLista"/>
        <w:numPr>
          <w:ilvl w:val="0"/>
          <w:numId w:val="3"/>
        </w:numPr>
        <w:spacing w:line="360" w:lineRule="auto"/>
        <w:rPr>
          <w:rFonts w:cs="Times New Roman"/>
          <w:szCs w:val="24"/>
        </w:rPr>
      </w:pPr>
      <w:r w:rsidRPr="00E27DC1">
        <w:rPr>
          <w:rFonts w:cs="Times New Roman"/>
          <w:b/>
          <w:bCs/>
          <w:szCs w:val="24"/>
        </w:rPr>
        <w:t>Recursos e Reservas</w:t>
      </w:r>
      <w:r w:rsidRPr="00E27DC1">
        <w:rPr>
          <w:rFonts w:cs="Times New Roman"/>
          <w:szCs w:val="24"/>
        </w:rPr>
        <w:t>: qualificação e quantificação do material que poderá ser extraído economicamente de uma mina. São reportados em relatórios específicos e</w:t>
      </w:r>
      <w:r>
        <w:rPr>
          <w:rFonts w:cs="Times New Roman"/>
          <w:szCs w:val="24"/>
        </w:rPr>
        <w:t xml:space="preserve"> </w:t>
      </w:r>
      <w:r w:rsidRPr="00E27DC1">
        <w:rPr>
          <w:rFonts w:cs="Times New Roman"/>
          <w:szCs w:val="24"/>
        </w:rPr>
        <w:t>medidos em toneladas e teores (%</w:t>
      </w:r>
      <w:r>
        <w:rPr>
          <w:rFonts w:cs="Times New Roman"/>
          <w:szCs w:val="24"/>
        </w:rPr>
        <w:t xml:space="preserve"> ou g/tons</w:t>
      </w:r>
      <w:r w:rsidRPr="00E27DC1">
        <w:rPr>
          <w:rFonts w:cs="Times New Roman"/>
          <w:szCs w:val="24"/>
        </w:rPr>
        <w:t>).</w:t>
      </w:r>
    </w:p>
    <w:p w14:paraId="303C06BC" w14:textId="77777777" w:rsidR="00E27DC1" w:rsidRPr="00E27DC1" w:rsidRDefault="00E27DC1" w:rsidP="00E27DC1">
      <w:pPr>
        <w:pStyle w:val="PargrafodaLista"/>
        <w:numPr>
          <w:ilvl w:val="0"/>
          <w:numId w:val="3"/>
        </w:numPr>
        <w:spacing w:line="360" w:lineRule="auto"/>
        <w:rPr>
          <w:rFonts w:cs="Times New Roman"/>
          <w:szCs w:val="24"/>
        </w:rPr>
      </w:pPr>
      <w:r w:rsidRPr="00E27DC1">
        <w:rPr>
          <w:rFonts w:cs="Times New Roman"/>
          <w:b/>
          <w:bCs/>
          <w:szCs w:val="24"/>
        </w:rPr>
        <w:t>Tipo de planta:</w:t>
      </w:r>
      <w:r w:rsidRPr="00E27DC1">
        <w:rPr>
          <w:rFonts w:cs="Times New Roman"/>
          <w:szCs w:val="24"/>
        </w:rPr>
        <w:t xml:space="preserve"> mina a céu aberto ou subterrânea. Afeta os métodos de lavra e custos de produção;</w:t>
      </w:r>
    </w:p>
    <w:p w14:paraId="09DB3843" w14:textId="77777777" w:rsidR="00E27DC1" w:rsidRPr="00E27DC1" w:rsidRDefault="00E27DC1" w:rsidP="00E27DC1">
      <w:pPr>
        <w:pStyle w:val="PargrafodaLista"/>
        <w:numPr>
          <w:ilvl w:val="0"/>
          <w:numId w:val="3"/>
        </w:numPr>
        <w:spacing w:line="360" w:lineRule="auto"/>
        <w:rPr>
          <w:rFonts w:cs="Times New Roman"/>
          <w:szCs w:val="24"/>
        </w:rPr>
      </w:pPr>
      <w:r w:rsidRPr="00E27DC1">
        <w:rPr>
          <w:rFonts w:cs="Times New Roman"/>
          <w:b/>
          <w:bCs/>
          <w:szCs w:val="24"/>
        </w:rPr>
        <w:t>Capacidade de processamento da planta mineira</w:t>
      </w:r>
      <w:r w:rsidRPr="00E27DC1">
        <w:rPr>
          <w:rFonts w:cs="Times New Roman"/>
          <w:szCs w:val="24"/>
        </w:rPr>
        <w:t xml:space="preserve">: quantidade técnica máxima de toneladas de minério que poderão ser processadas pela planta por dia. A equipe técnica avalia inúmeras variáveis para essa definição, como a quantidade inicial de recursos e reservas disponíveis, localização e disponibilidade de investimentos pela empresa. Logicamente isso afeta todos os custos;  </w:t>
      </w:r>
    </w:p>
    <w:p w14:paraId="3A0A0D46" w14:textId="6FD4F7BF" w:rsidR="00E27DC1" w:rsidRPr="00E27DC1" w:rsidRDefault="00E27DC1" w:rsidP="00E27DC1">
      <w:pPr>
        <w:pStyle w:val="PargrafodaLista"/>
        <w:numPr>
          <w:ilvl w:val="0"/>
          <w:numId w:val="3"/>
        </w:numPr>
        <w:spacing w:line="360" w:lineRule="auto"/>
        <w:rPr>
          <w:rFonts w:cs="Times New Roman"/>
          <w:szCs w:val="24"/>
        </w:rPr>
      </w:pPr>
      <w:r w:rsidRPr="00E27DC1">
        <w:rPr>
          <w:rFonts w:cs="Times New Roman"/>
          <w:b/>
          <w:bCs/>
          <w:szCs w:val="24"/>
        </w:rPr>
        <w:t>Recuperação do metal</w:t>
      </w:r>
      <w:r w:rsidRPr="00E27DC1">
        <w:rPr>
          <w:rFonts w:cs="Times New Roman"/>
          <w:szCs w:val="24"/>
        </w:rPr>
        <w:t xml:space="preserve">: processo que se refere à extração de metais a partir de minérios. Este procedimento pode envolver diversas etapas, incluindo a fragmentação do minério, a separação da </w:t>
      </w:r>
      <w:r w:rsidRPr="00E27DC1">
        <w:rPr>
          <w:rFonts w:cs="Times New Roman"/>
          <w:i/>
          <w:iCs/>
          <w:szCs w:val="24"/>
        </w:rPr>
        <w:t>commodity</w:t>
      </w:r>
      <w:r w:rsidRPr="00E27DC1">
        <w:rPr>
          <w:rFonts w:cs="Times New Roman"/>
          <w:szCs w:val="24"/>
        </w:rPr>
        <w:t xml:space="preserve"> de interesse dos demais </w:t>
      </w:r>
      <w:r w:rsidRPr="00E27DC1">
        <w:rPr>
          <w:rFonts w:cs="Times New Roman"/>
          <w:szCs w:val="24"/>
        </w:rPr>
        <w:lastRenderedPageBreak/>
        <w:t>minerais e a purificação do metal. Seu número final, dado em percentagem, determina a quantidade de metal que pode ser obtida a partir de um determinado volume de minério;</w:t>
      </w:r>
    </w:p>
    <w:p w14:paraId="2EAC1358" w14:textId="3C5EEAA0" w:rsidR="00E27DC1" w:rsidRPr="00E27DC1" w:rsidRDefault="00E27DC1" w:rsidP="00E27DC1">
      <w:pPr>
        <w:pStyle w:val="PargrafodaLista"/>
        <w:numPr>
          <w:ilvl w:val="0"/>
          <w:numId w:val="3"/>
        </w:numPr>
        <w:spacing w:line="360" w:lineRule="auto"/>
        <w:rPr>
          <w:rFonts w:cs="Times New Roman"/>
          <w:szCs w:val="24"/>
        </w:rPr>
      </w:pPr>
      <w:r w:rsidRPr="00E27DC1">
        <w:rPr>
          <w:rFonts w:cs="Times New Roman"/>
          <w:b/>
          <w:bCs/>
          <w:szCs w:val="24"/>
        </w:rPr>
        <w:t>Teor do concentrado</w:t>
      </w:r>
      <w:r w:rsidRPr="00E27DC1">
        <w:rPr>
          <w:rFonts w:cs="Times New Roman"/>
          <w:szCs w:val="24"/>
        </w:rPr>
        <w:t>: refere-se à quantidade de mineral de interesse presente em uma determinada quantidade de concentrado. O concentrado é o produto resultante do processo de concentração, que tem como objetivo aumentar o teor dos elementos de interesse na amostra. Por exemplo, se um concentrado de cobre tem um teor de 30%, isso significa que 30% do peso total do concentrado é composto por cobre. Geralmente, é o produto vendido por uma mineradora para as refinarias, o restante é chamado de rejeito.</w:t>
      </w:r>
    </w:p>
    <w:p w14:paraId="1A6ED370" w14:textId="77777777" w:rsidR="00E27DC1" w:rsidRPr="00E27DC1" w:rsidRDefault="00E27DC1" w:rsidP="00E27DC1">
      <w:pPr>
        <w:pStyle w:val="PargrafodaLista"/>
        <w:numPr>
          <w:ilvl w:val="0"/>
          <w:numId w:val="3"/>
        </w:numPr>
        <w:spacing w:line="360" w:lineRule="auto"/>
        <w:rPr>
          <w:rFonts w:cs="Times New Roman"/>
          <w:szCs w:val="24"/>
        </w:rPr>
      </w:pPr>
      <w:r w:rsidRPr="00E27DC1">
        <w:rPr>
          <w:rFonts w:cs="Times New Roman"/>
          <w:b/>
          <w:bCs/>
          <w:szCs w:val="24"/>
        </w:rPr>
        <w:t>Vida útil da mina</w:t>
      </w:r>
      <w:r w:rsidRPr="00E27DC1">
        <w:rPr>
          <w:rFonts w:cs="Times New Roman"/>
          <w:szCs w:val="24"/>
        </w:rPr>
        <w:t xml:space="preserve">: definida principalmente a partir da capacidade máxima de processamento e da quantidade de material disponível para a lavra;   </w:t>
      </w:r>
    </w:p>
    <w:p w14:paraId="28B23992" w14:textId="77777777" w:rsidR="00E27DC1" w:rsidRPr="00E27DC1" w:rsidRDefault="00E27DC1" w:rsidP="00E27DC1">
      <w:pPr>
        <w:pStyle w:val="PargrafodaLista"/>
        <w:numPr>
          <w:ilvl w:val="0"/>
          <w:numId w:val="3"/>
        </w:numPr>
        <w:spacing w:line="360" w:lineRule="auto"/>
        <w:rPr>
          <w:rFonts w:eastAsiaTheme="minorEastAsia" w:cs="Times New Roman"/>
          <w:sz w:val="18"/>
          <w:szCs w:val="18"/>
        </w:rPr>
      </w:pPr>
      <w:r w:rsidRPr="00E27DC1">
        <w:rPr>
          <w:rFonts w:cs="Times New Roman"/>
          <w:b/>
          <w:bCs/>
          <w:szCs w:val="24"/>
        </w:rPr>
        <w:t>Investimento inicial</w:t>
      </w:r>
      <w:r w:rsidRPr="00E27DC1">
        <w:rPr>
          <w:rFonts w:cs="Times New Roman"/>
          <w:szCs w:val="24"/>
        </w:rPr>
        <w:t xml:space="preserve">: é o montante total de dinheiro que uma empresa desembolsa no início de um projeto ou negócio. Engloba o chamado de CAPEX inicial, derivado do inglês </w:t>
      </w:r>
      <w:r w:rsidRPr="00E27DC1">
        <w:rPr>
          <w:rFonts w:cs="Times New Roman"/>
          <w:i/>
          <w:iCs/>
          <w:szCs w:val="24"/>
        </w:rPr>
        <w:t xml:space="preserve">Capital </w:t>
      </w:r>
      <w:proofErr w:type="spellStart"/>
      <w:r w:rsidRPr="00E27DC1">
        <w:rPr>
          <w:rFonts w:cs="Times New Roman"/>
          <w:i/>
          <w:iCs/>
          <w:szCs w:val="24"/>
        </w:rPr>
        <w:t>Expenditure</w:t>
      </w:r>
      <w:proofErr w:type="spellEnd"/>
      <w:r w:rsidRPr="00E27DC1">
        <w:rPr>
          <w:rFonts w:cs="Times New Roman"/>
          <w:szCs w:val="24"/>
        </w:rPr>
        <w:t>, que se refere ao investimento inicial realizado por uma empresa para a aquisição, implantação ou melhoria de ativos de longo prazo, como compra de maquinário, tecnologia, veículos, acessos, construções e imóveis. Este investimento é fundamental para a instalação, expansão ou modernização das operações de uma empresa (MCKINSEY,2022);</w:t>
      </w:r>
    </w:p>
    <w:p w14:paraId="58574D43" w14:textId="77777777" w:rsidR="00E27DC1" w:rsidRPr="00E27DC1" w:rsidRDefault="00E27DC1" w:rsidP="00E27DC1">
      <w:pPr>
        <w:pStyle w:val="PargrafodaLista"/>
        <w:numPr>
          <w:ilvl w:val="0"/>
          <w:numId w:val="3"/>
        </w:numPr>
        <w:spacing w:line="360" w:lineRule="auto"/>
        <w:rPr>
          <w:rFonts w:cs="Times New Roman"/>
          <w:szCs w:val="24"/>
        </w:rPr>
      </w:pPr>
      <w:proofErr w:type="spellStart"/>
      <w:r w:rsidRPr="00E27DC1">
        <w:rPr>
          <w:rFonts w:cs="Times New Roman"/>
          <w:b/>
          <w:bCs/>
          <w:i/>
          <w:iCs/>
          <w:szCs w:val="24"/>
        </w:rPr>
        <w:t>Sustaining</w:t>
      </w:r>
      <w:proofErr w:type="spellEnd"/>
      <w:r w:rsidRPr="00E27DC1">
        <w:rPr>
          <w:rFonts w:cs="Times New Roman"/>
          <w:szCs w:val="24"/>
        </w:rPr>
        <w:t>: termo que pode ser traduzido como “sustentação” ou “manutenção” e é frequentemente usado para se referir a ações ou investimentos que permitem a continuidade ou manutenção de operações;</w:t>
      </w:r>
    </w:p>
    <w:p w14:paraId="283BD829" w14:textId="77777777" w:rsidR="00E27DC1" w:rsidRPr="00E27DC1" w:rsidRDefault="00E27DC1" w:rsidP="00E27DC1">
      <w:pPr>
        <w:pStyle w:val="PargrafodaLista"/>
        <w:numPr>
          <w:ilvl w:val="0"/>
          <w:numId w:val="3"/>
        </w:numPr>
        <w:spacing w:line="360" w:lineRule="auto"/>
        <w:rPr>
          <w:rFonts w:cs="Times New Roman"/>
          <w:szCs w:val="24"/>
        </w:rPr>
      </w:pPr>
      <w:r w:rsidRPr="00E27DC1">
        <w:rPr>
          <w:rFonts w:cs="Times New Roman"/>
          <w:b/>
          <w:bCs/>
          <w:szCs w:val="24"/>
        </w:rPr>
        <w:t>Custo de mineração</w:t>
      </w:r>
      <w:r w:rsidRPr="00E27DC1">
        <w:rPr>
          <w:rFonts w:cs="Times New Roman"/>
          <w:szCs w:val="24"/>
        </w:rPr>
        <w:t xml:space="preserve">: são os custos referentes à extração do minério da mina. Podem incluir uma variedade de despesas, como custos de mão-de-obra, equipamentos, energia, manutenção e reparo, e depreciação; </w:t>
      </w:r>
    </w:p>
    <w:p w14:paraId="1AE0680D" w14:textId="77777777" w:rsidR="00E27DC1" w:rsidRPr="00E27DC1" w:rsidRDefault="00E27DC1" w:rsidP="00E27DC1">
      <w:pPr>
        <w:pStyle w:val="PargrafodaLista"/>
        <w:numPr>
          <w:ilvl w:val="0"/>
          <w:numId w:val="3"/>
        </w:numPr>
        <w:spacing w:line="360" w:lineRule="auto"/>
        <w:rPr>
          <w:rFonts w:cs="Times New Roman"/>
          <w:szCs w:val="24"/>
        </w:rPr>
      </w:pPr>
      <w:r w:rsidRPr="00E27DC1">
        <w:rPr>
          <w:rFonts w:cs="Times New Roman"/>
          <w:b/>
          <w:bCs/>
          <w:szCs w:val="24"/>
        </w:rPr>
        <w:t>Custo de processamento</w:t>
      </w:r>
      <w:r w:rsidRPr="00E27DC1">
        <w:rPr>
          <w:rFonts w:cs="Times New Roman"/>
          <w:szCs w:val="24"/>
        </w:rPr>
        <w:t>: são os custos associados ao processamento do minério extraído para transformá-lo em um produto comercializável. Isso pode envolver uma série de etapas, incluindo trituração e moagem, concentração do minério, e fundição para extrair o metal puro. Os custos de processamento podem incluir custos de energia, mão-de-obra, manutenção e reparo dos equipamentos, materiais e reagentes químicos etc.;</w:t>
      </w:r>
    </w:p>
    <w:p w14:paraId="648C67AB" w14:textId="47F56367" w:rsidR="00E27DC1" w:rsidRPr="00FE206A" w:rsidRDefault="00E27DC1" w:rsidP="00FE206A">
      <w:pPr>
        <w:pStyle w:val="PargrafodaLista"/>
        <w:numPr>
          <w:ilvl w:val="0"/>
          <w:numId w:val="3"/>
        </w:numPr>
        <w:spacing w:line="360" w:lineRule="auto"/>
        <w:rPr>
          <w:rFonts w:cs="Times New Roman"/>
          <w:szCs w:val="24"/>
        </w:rPr>
      </w:pPr>
      <w:r w:rsidRPr="00E27DC1">
        <w:rPr>
          <w:rFonts w:cs="Times New Roman"/>
          <w:b/>
          <w:bCs/>
          <w:szCs w:val="24"/>
        </w:rPr>
        <w:t>Projeção de preços para as commodities lavradas</w:t>
      </w:r>
      <w:r w:rsidRPr="00E27DC1">
        <w:rPr>
          <w:rFonts w:cs="Times New Roman"/>
          <w:szCs w:val="24"/>
        </w:rPr>
        <w:t xml:space="preserve">: influencia totalmente a viabilidade de projetos, pois teoricamente quanto mais o preço do metal sobe, </w:t>
      </w:r>
      <w:r w:rsidRPr="00E27DC1">
        <w:rPr>
          <w:rFonts w:cs="Times New Roman"/>
          <w:szCs w:val="24"/>
        </w:rPr>
        <w:lastRenderedPageBreak/>
        <w:t>mais lucro se tem. A base deve conter essa projeção de acordo com as bolsas de valores;</w:t>
      </w:r>
    </w:p>
    <w:p w14:paraId="600D9D70" w14:textId="77777777" w:rsidR="00E27DC1" w:rsidRPr="0017383B" w:rsidRDefault="00E27DC1" w:rsidP="00E27DC1">
      <w:pPr>
        <w:spacing w:line="360" w:lineRule="auto"/>
        <w:ind w:left="0"/>
        <w:rPr>
          <w:rFonts w:cs="Times New Roman"/>
          <w:szCs w:val="24"/>
        </w:rPr>
      </w:pPr>
      <w:r w:rsidRPr="0017383B">
        <w:rPr>
          <w:rFonts w:cs="Times New Roman"/>
          <w:szCs w:val="24"/>
        </w:rPr>
        <w:t>Com essas informações, é possível calcular, de modo geral, a quantidade de metal que será produzida pelo beneficiamento das rochas, bem como seu custo e a projeção das receitas anuais com a venda. Posteriormente, calculam-se os resultados financeiros como fluxo de caixa, EBITDA, VPL e TIR do projeto. Esses dados, para empresas de capital aberto, são publicados em relatórios técnicos e, como as informações são sensíveis, a cada mudança deve ser realizado um novo estudo.</w:t>
      </w:r>
    </w:p>
    <w:p w14:paraId="055DB99F" w14:textId="499C4DAE" w:rsidR="00E27DC1" w:rsidRDefault="00E27DC1" w:rsidP="00E27DC1">
      <w:pPr>
        <w:spacing w:line="360" w:lineRule="auto"/>
        <w:ind w:left="0"/>
        <w:rPr>
          <w:rFonts w:cs="Times New Roman"/>
          <w:szCs w:val="24"/>
        </w:rPr>
      </w:pPr>
      <w:r w:rsidRPr="00CA51F4">
        <w:rPr>
          <w:rFonts w:cs="Times New Roman"/>
          <w:szCs w:val="24"/>
        </w:rPr>
        <w:t>Geralmente, é somente nesta fase, mais de uma década após o início das atividades</w:t>
      </w:r>
      <w:r>
        <w:rPr>
          <w:rFonts w:cs="Times New Roman"/>
          <w:szCs w:val="24"/>
        </w:rPr>
        <w:t xml:space="preserve"> </w:t>
      </w:r>
      <w:r w:rsidR="00FE206A">
        <w:rPr>
          <w:rFonts w:cs="Times New Roman"/>
          <w:szCs w:val="24"/>
        </w:rPr>
        <w:t>de pesquisa mineral</w:t>
      </w:r>
      <w:r>
        <w:rPr>
          <w:rFonts w:cs="Times New Roman"/>
          <w:szCs w:val="24"/>
        </w:rPr>
        <w:t xml:space="preserve"> </w:t>
      </w:r>
      <w:r w:rsidRPr="009B4FBA">
        <w:rPr>
          <w:rFonts w:cs="Times New Roman"/>
          <w:szCs w:val="24"/>
        </w:rPr>
        <w:t>que se determina se o projeto possui potencial econômico real. Neste ponto, iniciam-se as discussões estratégicas e tomam-se decisões relativas ao projeto, principalmente no que diz respeito ao investimento</w:t>
      </w:r>
      <w:r>
        <w:rPr>
          <w:rFonts w:cs="Times New Roman"/>
          <w:szCs w:val="24"/>
        </w:rPr>
        <w:t xml:space="preserve"> para iniciar uma operação</w:t>
      </w:r>
      <w:r w:rsidRPr="009B4FBA">
        <w:rPr>
          <w:rFonts w:cs="Times New Roman"/>
          <w:szCs w:val="24"/>
        </w:rPr>
        <w:t>. Para tal, empregam-se principalmente a Taxa Interna de Retorno (TIR) e a Taxa Mínima de Atratividade (TMA).</w:t>
      </w:r>
    </w:p>
    <w:p w14:paraId="77A6AA67" w14:textId="63BE6936" w:rsidR="00E27DC1" w:rsidRDefault="00E27DC1" w:rsidP="00E27DC1">
      <w:pPr>
        <w:spacing w:line="360" w:lineRule="auto"/>
        <w:ind w:left="0"/>
        <w:rPr>
          <w:rFonts w:cs="Times New Roman"/>
          <w:szCs w:val="24"/>
        </w:rPr>
      </w:pPr>
      <w:r w:rsidRPr="004B32EA">
        <w:rPr>
          <w:rFonts w:cs="Times New Roman"/>
          <w:szCs w:val="24"/>
        </w:rPr>
        <w:t>A Taxa Interna de Retorno (TIR) é uma métrica financeira amplamente empregada na análise de orçamento de capital e representa a taxa de desconto que iguala a zero o Valor Presente Líquido (VPL) de uma série de fluxos de caixa futuros</w:t>
      </w:r>
      <w:r>
        <w:rPr>
          <w:rFonts w:cs="Times New Roman"/>
          <w:szCs w:val="24"/>
        </w:rPr>
        <w:t xml:space="preserve"> (KASSAI </w:t>
      </w:r>
      <w:r w:rsidRPr="000A51A5">
        <w:rPr>
          <w:rFonts w:cs="Times New Roman"/>
          <w:i/>
          <w:iCs/>
          <w:szCs w:val="24"/>
        </w:rPr>
        <w:t xml:space="preserve">et </w:t>
      </w:r>
      <w:proofErr w:type="spellStart"/>
      <w:r w:rsidRPr="000A51A5">
        <w:rPr>
          <w:rFonts w:cs="Times New Roman"/>
          <w:i/>
          <w:iCs/>
          <w:szCs w:val="24"/>
        </w:rPr>
        <w:t>a</w:t>
      </w:r>
      <w:r>
        <w:rPr>
          <w:rFonts w:cs="Times New Roman"/>
          <w:i/>
          <w:iCs/>
          <w:szCs w:val="24"/>
        </w:rPr>
        <w:t>.</w:t>
      </w:r>
      <w:r w:rsidRPr="000A51A5">
        <w:rPr>
          <w:rFonts w:cs="Times New Roman"/>
          <w:i/>
          <w:iCs/>
          <w:szCs w:val="24"/>
        </w:rPr>
        <w:t>l</w:t>
      </w:r>
      <w:proofErr w:type="spellEnd"/>
      <w:r>
        <w:rPr>
          <w:rFonts w:cs="Times New Roman"/>
          <w:szCs w:val="24"/>
        </w:rPr>
        <w:t>, 2005)</w:t>
      </w:r>
      <w:r w:rsidRPr="004B32EA">
        <w:rPr>
          <w:rFonts w:cs="Times New Roman"/>
          <w:szCs w:val="24"/>
        </w:rPr>
        <w:t>. Por outro lado, a Taxa Mínima de Atratividade (TMA), determinada por cada empresa</w:t>
      </w:r>
      <w:r>
        <w:rPr>
          <w:rFonts w:cs="Times New Roman"/>
          <w:szCs w:val="24"/>
        </w:rPr>
        <w:t xml:space="preserve"> de acordo com suas características individuais</w:t>
      </w:r>
      <w:r w:rsidRPr="004B32EA">
        <w:rPr>
          <w:rFonts w:cs="Times New Roman"/>
          <w:szCs w:val="24"/>
        </w:rPr>
        <w:t>, é a menor taxa de retorno aceitável para um investimento, ou seja, a taxa de retorno que um investidor</w:t>
      </w:r>
      <w:r>
        <w:rPr>
          <w:rFonts w:cs="Times New Roman"/>
          <w:szCs w:val="24"/>
        </w:rPr>
        <w:t xml:space="preserve"> – ou mesmo a própria empresa -</w:t>
      </w:r>
      <w:r w:rsidRPr="004B32EA">
        <w:rPr>
          <w:rFonts w:cs="Times New Roman"/>
          <w:szCs w:val="24"/>
        </w:rPr>
        <w:t xml:space="preserve"> está disposto a aceitar para um investimento. A comparação entre a TIR e a TMA</w:t>
      </w:r>
      <w:r>
        <w:rPr>
          <w:rFonts w:cs="Times New Roman"/>
          <w:szCs w:val="24"/>
        </w:rPr>
        <w:t xml:space="preserve"> </w:t>
      </w:r>
      <w:r w:rsidRPr="004B32EA">
        <w:rPr>
          <w:rFonts w:cs="Times New Roman"/>
          <w:szCs w:val="24"/>
        </w:rPr>
        <w:t xml:space="preserve">é o método mais </w:t>
      </w:r>
      <w:r>
        <w:rPr>
          <w:rFonts w:cs="Times New Roman"/>
          <w:szCs w:val="24"/>
        </w:rPr>
        <w:t>usual</w:t>
      </w:r>
      <w:r w:rsidRPr="004B32EA">
        <w:rPr>
          <w:rFonts w:cs="Times New Roman"/>
          <w:szCs w:val="24"/>
        </w:rPr>
        <w:t xml:space="preserve"> utilizado na mineração de metais básicos, incluindo o cobre, para determinar a atratividade de um projeto. Se a TIR de um projeto exceder a TMA, o projeto é considerado economicamente viável. Se a TIR for igual à TMA, o projeto é considerado indiferente. Se a TIR for menor do que a TMA, o projeto é considerado inviável e ocorre seu descarte/</w:t>
      </w:r>
      <w:proofErr w:type="spellStart"/>
      <w:r w:rsidRPr="004B32EA">
        <w:rPr>
          <w:rFonts w:cs="Times New Roman"/>
          <w:szCs w:val="24"/>
        </w:rPr>
        <w:t>despriorização</w:t>
      </w:r>
      <w:proofErr w:type="spellEnd"/>
      <w:r w:rsidRPr="004B32EA">
        <w:rPr>
          <w:rFonts w:cs="Times New Roman"/>
          <w:szCs w:val="24"/>
        </w:rPr>
        <w:t>.</w:t>
      </w:r>
    </w:p>
    <w:p w14:paraId="26A3670F" w14:textId="25483F22" w:rsidR="00FE206A" w:rsidRPr="00773514" w:rsidRDefault="00FE206A" w:rsidP="00FE206A">
      <w:pPr>
        <w:spacing w:line="360" w:lineRule="auto"/>
        <w:ind w:left="0"/>
        <w:rPr>
          <w:rFonts w:cs="Times New Roman"/>
          <w:szCs w:val="24"/>
        </w:rPr>
      </w:pPr>
      <w:r>
        <w:rPr>
          <w:rFonts w:cs="Times New Roman"/>
          <w:szCs w:val="24"/>
        </w:rPr>
        <w:t xml:space="preserve">Ao </w:t>
      </w:r>
      <w:r w:rsidRPr="00773514">
        <w:t xml:space="preserve">se proceder com a análise da viabilidade econômica e financeira de um projeto em estágios avançados de exploração mineral, é imprescindível que todas as informações </w:t>
      </w:r>
      <w:r>
        <w:t xml:space="preserve">reais </w:t>
      </w:r>
      <w:r w:rsidRPr="00773514">
        <w:t>pertinentes a ele estejam disponíveis.</w:t>
      </w:r>
      <w:r>
        <w:t xml:space="preserve"> </w:t>
      </w:r>
      <w:r w:rsidRPr="00773514">
        <w:rPr>
          <w:rFonts w:cs="Times New Roman"/>
          <w:szCs w:val="24"/>
        </w:rPr>
        <w:t xml:space="preserve">Contudo, é prática comum realizar </w:t>
      </w:r>
      <w:r w:rsidRPr="009F306B">
        <w:rPr>
          <w:rFonts w:cs="Times New Roman"/>
          <w:i/>
          <w:iCs/>
          <w:szCs w:val="24"/>
        </w:rPr>
        <w:t>benchmarks</w:t>
      </w:r>
      <w:r w:rsidRPr="00773514">
        <w:rPr>
          <w:rFonts w:cs="Times New Roman"/>
          <w:szCs w:val="24"/>
        </w:rPr>
        <w:t xml:space="preserve"> de dados para aferir essas informações. Este procedimento consiste em comparar os dados do projeto em análise com os de outras empresas do mesmo setor.</w:t>
      </w:r>
    </w:p>
    <w:p w14:paraId="54219023" w14:textId="33B5805C" w:rsidR="00FE206A" w:rsidRDefault="00FE206A" w:rsidP="00FE206A">
      <w:pPr>
        <w:spacing w:line="360" w:lineRule="auto"/>
        <w:ind w:left="0"/>
        <w:rPr>
          <w:rFonts w:cs="Times New Roman"/>
          <w:szCs w:val="24"/>
        </w:rPr>
      </w:pPr>
      <w:r w:rsidRPr="00773514">
        <w:rPr>
          <w:rFonts w:cs="Times New Roman"/>
          <w:szCs w:val="24"/>
        </w:rPr>
        <w:t xml:space="preserve">Um exemplo que pode ser citado é o investimento inicial </w:t>
      </w:r>
      <w:r>
        <w:rPr>
          <w:rFonts w:cs="Times New Roman"/>
          <w:szCs w:val="24"/>
        </w:rPr>
        <w:t>despendido</w:t>
      </w:r>
      <w:r w:rsidRPr="00773514">
        <w:rPr>
          <w:rFonts w:cs="Times New Roman"/>
          <w:szCs w:val="24"/>
        </w:rPr>
        <w:t xml:space="preserve"> para colocar as minas atuais em operação.</w:t>
      </w:r>
      <w:r w:rsidRPr="00FE206A">
        <w:t xml:space="preserve"> </w:t>
      </w:r>
      <w:r w:rsidRPr="00FE206A">
        <w:rPr>
          <w:rFonts w:cs="Times New Roman"/>
          <w:szCs w:val="24"/>
        </w:rPr>
        <w:t xml:space="preserve">Este investimento possui </w:t>
      </w:r>
      <w:r>
        <w:rPr>
          <w:rFonts w:cs="Times New Roman"/>
          <w:szCs w:val="24"/>
        </w:rPr>
        <w:t>um intervalo</w:t>
      </w:r>
      <w:r w:rsidRPr="00FE206A">
        <w:rPr>
          <w:rFonts w:cs="Times New Roman"/>
          <w:szCs w:val="24"/>
        </w:rPr>
        <w:t xml:space="preserve"> de valor</w:t>
      </w:r>
      <w:r>
        <w:rPr>
          <w:rFonts w:cs="Times New Roman"/>
          <w:szCs w:val="24"/>
        </w:rPr>
        <w:t xml:space="preserve">, de </w:t>
      </w:r>
      <w:r>
        <w:rPr>
          <w:rFonts w:cs="Times New Roman"/>
          <w:szCs w:val="24"/>
        </w:rPr>
        <w:lastRenderedPageBreak/>
        <w:t>onde podemos inferir valores máximos, médios e mínimos praticados pelo mercado e utilizá-los como referência.</w:t>
      </w:r>
    </w:p>
    <w:p w14:paraId="625BF7C8" w14:textId="60EAAFBA" w:rsidR="00FE206A" w:rsidRDefault="00FE206A" w:rsidP="00FE206A">
      <w:pPr>
        <w:spacing w:line="360" w:lineRule="auto"/>
        <w:ind w:left="0"/>
        <w:rPr>
          <w:rFonts w:cs="Times New Roman"/>
          <w:szCs w:val="24"/>
        </w:rPr>
      </w:pPr>
      <w:r w:rsidRPr="00FE206A">
        <w:rPr>
          <w:rFonts w:cs="Times New Roman"/>
          <w:szCs w:val="24"/>
        </w:rPr>
        <w:t>De maneira análoga, outras variáveis podem ser correlacionadas, tais como a localização e os custos logísticos, o tipo geológico do depósito em relação à quantidade de recursos e reservas, entre outros aspectos. Em outras palavras, a similaridade entre os projetos implica na semelhança de suas variáveis. Assim, para novos projetos, é possível estimar faixas de valores para a determinação e comparação de seus parâmetros.</w:t>
      </w:r>
    </w:p>
    <w:p w14:paraId="731BAF8F" w14:textId="51A82497" w:rsidR="00FE206A" w:rsidRPr="004B32EA" w:rsidRDefault="00FE206A" w:rsidP="00FE206A">
      <w:pPr>
        <w:spacing w:line="360" w:lineRule="auto"/>
        <w:ind w:left="0"/>
        <w:rPr>
          <w:rFonts w:cs="Times New Roman"/>
          <w:szCs w:val="24"/>
        </w:rPr>
      </w:pPr>
      <w:r>
        <w:rPr>
          <w:rFonts w:cs="Times New Roman"/>
          <w:szCs w:val="24"/>
        </w:rPr>
        <w:t xml:space="preserve">Dessa forma, como temos uma base de dados com todas as informações de projetos analisados e publicados podemos fazer comparações para estimar se o projeto que estamos analisando será viável ou não de acordo com as características comuns entre ele e a base. </w:t>
      </w:r>
    </w:p>
    <w:p w14:paraId="10AED179" w14:textId="77777777" w:rsidR="00E27DC1" w:rsidRDefault="00E27DC1" w:rsidP="00E27DC1">
      <w:pPr>
        <w:spacing w:line="360" w:lineRule="auto"/>
        <w:ind w:left="0" w:firstLine="0"/>
        <w:rPr>
          <w:rFonts w:cs="Times New Roman"/>
          <w:szCs w:val="24"/>
        </w:rPr>
      </w:pPr>
    </w:p>
    <w:sectPr w:rsidR="00E27D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D36D0"/>
    <w:multiLevelType w:val="hybridMultilevel"/>
    <w:tmpl w:val="15A6CE0E"/>
    <w:lvl w:ilvl="0" w:tplc="0416000F">
      <w:start w:val="1"/>
      <w:numFmt w:val="decimal"/>
      <w:lvlText w:val="%1."/>
      <w:lvlJc w:val="left"/>
      <w:pPr>
        <w:ind w:left="1571" w:hanging="360"/>
      </w:pPr>
    </w:lvl>
    <w:lvl w:ilvl="1" w:tplc="04160019">
      <w:start w:val="1"/>
      <w:numFmt w:val="lowerLetter"/>
      <w:lvlText w:val="%2."/>
      <w:lvlJc w:val="left"/>
      <w:pPr>
        <w:ind w:left="2291" w:hanging="360"/>
      </w:pPr>
    </w:lvl>
    <w:lvl w:ilvl="2" w:tplc="0416001B">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15:restartNumberingAfterBreak="0">
    <w:nsid w:val="1D9F2303"/>
    <w:multiLevelType w:val="hybridMultilevel"/>
    <w:tmpl w:val="A76EC0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991961"/>
    <w:multiLevelType w:val="hybridMultilevel"/>
    <w:tmpl w:val="143ED4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1078871151">
    <w:abstractNumId w:val="2"/>
  </w:num>
  <w:num w:numId="2" w16cid:durableId="597257787">
    <w:abstractNumId w:val="0"/>
  </w:num>
  <w:num w:numId="3" w16cid:durableId="1879004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C1"/>
    <w:rsid w:val="008C037F"/>
    <w:rsid w:val="009F196E"/>
    <w:rsid w:val="00C17931"/>
    <w:rsid w:val="00E27DC1"/>
    <w:rsid w:val="00FE20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12DA"/>
  <w15:chartTrackingRefBased/>
  <w15:docId w15:val="{C741517E-A420-46B0-9095-3AA20DB6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DC1"/>
    <w:pPr>
      <w:spacing w:after="0" w:line="276" w:lineRule="auto"/>
      <w:ind w:left="567" w:firstLine="851"/>
      <w:jc w:val="both"/>
    </w:pPr>
    <w:rPr>
      <w:rFonts w:ascii="Times New Roman" w:hAnsi="Times New Roman"/>
      <w:kern w:val="0"/>
      <w:sz w:val="24"/>
      <w14:ligatures w14:val="none"/>
    </w:rPr>
  </w:style>
  <w:style w:type="paragraph" w:styleId="Ttulo1">
    <w:name w:val="heading 1"/>
    <w:basedOn w:val="Normal"/>
    <w:next w:val="Normal"/>
    <w:link w:val="Ttulo1Char"/>
    <w:uiPriority w:val="9"/>
    <w:qFormat/>
    <w:rsid w:val="00E27D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27D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27DC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27DC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27DC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27DC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27DC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27DC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27DC1"/>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27DC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27DC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27DC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27DC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27DC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27DC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27DC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27DC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27DC1"/>
    <w:rPr>
      <w:rFonts w:eastAsiaTheme="majorEastAsia" w:cstheme="majorBidi"/>
      <w:color w:val="272727" w:themeColor="text1" w:themeTint="D8"/>
    </w:rPr>
  </w:style>
  <w:style w:type="paragraph" w:styleId="Ttulo">
    <w:name w:val="Title"/>
    <w:basedOn w:val="Normal"/>
    <w:next w:val="Normal"/>
    <w:link w:val="TtuloChar"/>
    <w:uiPriority w:val="10"/>
    <w:qFormat/>
    <w:rsid w:val="00E27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27D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27DC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27DC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27DC1"/>
    <w:pPr>
      <w:spacing w:before="160"/>
      <w:jc w:val="center"/>
    </w:pPr>
    <w:rPr>
      <w:i/>
      <w:iCs/>
      <w:color w:val="404040" w:themeColor="text1" w:themeTint="BF"/>
    </w:rPr>
  </w:style>
  <w:style w:type="character" w:customStyle="1" w:styleId="CitaoChar">
    <w:name w:val="Citação Char"/>
    <w:basedOn w:val="Fontepargpadro"/>
    <w:link w:val="Citao"/>
    <w:uiPriority w:val="29"/>
    <w:rsid w:val="00E27DC1"/>
    <w:rPr>
      <w:i/>
      <w:iCs/>
      <w:color w:val="404040" w:themeColor="text1" w:themeTint="BF"/>
    </w:rPr>
  </w:style>
  <w:style w:type="paragraph" w:styleId="PargrafodaLista">
    <w:name w:val="List Paragraph"/>
    <w:basedOn w:val="Normal"/>
    <w:uiPriority w:val="34"/>
    <w:qFormat/>
    <w:rsid w:val="00E27DC1"/>
    <w:pPr>
      <w:ind w:left="720"/>
      <w:contextualSpacing/>
    </w:pPr>
  </w:style>
  <w:style w:type="character" w:styleId="nfaseIntensa">
    <w:name w:val="Intense Emphasis"/>
    <w:basedOn w:val="Fontepargpadro"/>
    <w:uiPriority w:val="21"/>
    <w:qFormat/>
    <w:rsid w:val="00E27DC1"/>
    <w:rPr>
      <w:i/>
      <w:iCs/>
      <w:color w:val="2F5496" w:themeColor="accent1" w:themeShade="BF"/>
    </w:rPr>
  </w:style>
  <w:style w:type="paragraph" w:styleId="CitaoIntensa">
    <w:name w:val="Intense Quote"/>
    <w:basedOn w:val="Normal"/>
    <w:next w:val="Normal"/>
    <w:link w:val="CitaoIntensaChar"/>
    <w:uiPriority w:val="30"/>
    <w:qFormat/>
    <w:rsid w:val="00E27D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27DC1"/>
    <w:rPr>
      <w:i/>
      <w:iCs/>
      <w:color w:val="2F5496" w:themeColor="accent1" w:themeShade="BF"/>
    </w:rPr>
  </w:style>
  <w:style w:type="character" w:styleId="RefernciaIntensa">
    <w:name w:val="Intense Reference"/>
    <w:basedOn w:val="Fontepargpadro"/>
    <w:uiPriority w:val="32"/>
    <w:qFormat/>
    <w:rsid w:val="00E27D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1239</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Rocha Pereira</dc:creator>
  <cp:keywords/>
  <dc:description/>
  <cp:lastModifiedBy>Emerson Rocha Pereira</cp:lastModifiedBy>
  <cp:revision>1</cp:revision>
  <dcterms:created xsi:type="dcterms:W3CDTF">2024-09-10T17:00:00Z</dcterms:created>
  <dcterms:modified xsi:type="dcterms:W3CDTF">2024-09-10T17:18:00Z</dcterms:modified>
</cp:coreProperties>
</file>