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A6027F">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A6027F">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A6027F">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pemrograman rekurensi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rPr>
              <w:t>Meng</w:t>
            </w:r>
            <w:r w:rsidR="008B0F97">
              <w:rPr>
                <w:rFonts w:asciiTheme="minorHAnsi" w:hAnsiTheme="minorHAnsi"/>
                <w:sz w:val="22"/>
                <w:szCs w:val="22"/>
              </w:rPr>
              <w:t>aplikasi</w:t>
            </w:r>
            <w:r w:rsidRPr="00321631">
              <w:rPr>
                <w:rFonts w:asciiTheme="minorHAnsi" w:hAnsiTheme="minorHAnsi"/>
                <w:sz w:val="22"/>
                <w:szCs w:val="22"/>
              </w:rPr>
              <w:t xml:space="preserve"> konsep himpunan beserta operasi-operasinya untuk mendesain algoritma (P1, P2, P3) </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FF216F">
            <w:pPr>
              <w:rPr>
                <w:rFonts w:asciiTheme="minorHAnsi" w:hAnsiTheme="minorHAnsi"/>
                <w:sz w:val="22"/>
                <w:szCs w:val="22"/>
              </w:rPr>
            </w:pPr>
            <w:r w:rsidRPr="00321631">
              <w:rPr>
                <w:rFonts w:asciiTheme="minorHAnsi" w:hAnsiTheme="minorHAnsi"/>
                <w:sz w:val="22"/>
                <w:szCs w:val="22"/>
                <w:lang w:val="id-ID"/>
              </w:rPr>
              <w:t>Meng</w:t>
            </w:r>
            <w:r w:rsidR="00FF216F">
              <w:rPr>
                <w:rFonts w:asciiTheme="minorHAnsi" w:hAnsiTheme="minorHAnsi"/>
                <w:sz w:val="22"/>
                <w:szCs w:val="22"/>
              </w:rPr>
              <w:t>aplikasi</w:t>
            </w:r>
            <w:r w:rsidRPr="00321631">
              <w:rPr>
                <w:rFonts w:asciiTheme="minorHAnsi" w:hAnsiTheme="minorHAnsi"/>
                <w:sz w:val="22"/>
                <w:szCs w:val="22"/>
                <w:lang w:val="id-ID"/>
              </w:rPr>
              <w:t xml:space="preserve"> </w:t>
            </w:r>
            <w:r w:rsidR="00FF216F">
              <w:rPr>
                <w:rFonts w:asciiTheme="minorHAnsi" w:hAnsiTheme="minorHAnsi"/>
                <w:sz w:val="22"/>
                <w:szCs w:val="22"/>
              </w:rPr>
              <w:t>teknik</w:t>
            </w:r>
            <w:r w:rsidRPr="00321631">
              <w:rPr>
                <w:rFonts w:asciiTheme="minorHAnsi" w:hAnsiTheme="minorHAnsi"/>
                <w:sz w:val="22"/>
                <w:szCs w:val="22"/>
                <w:lang w:val="id-ID"/>
              </w:rPr>
              <w:t xml:space="preserve"> mencari solusi dari Linear Homogeneous Recursion Relations with Constant Coefficients (LHRRWCC) secara teoritis (S8, P1)</w:t>
            </w: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321631">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A86BAE" w:rsidRDefault="00B83AEE"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w:t>
            </w:r>
            <w:r w:rsidR="008F69DA" w:rsidRPr="00A86BAE">
              <w:rPr>
                <w:rFonts w:asciiTheme="minorHAnsi" w:eastAsia="Calibri" w:hAnsiTheme="minorHAnsi" w:cs="Calibri"/>
                <w:sz w:val="22"/>
                <w:szCs w:val="22"/>
              </w:rPr>
              <w:t>-soal</w:t>
            </w:r>
            <w:r w:rsidRPr="00A86BAE">
              <w:rPr>
                <w:rFonts w:asciiTheme="minorHAnsi" w:eastAsia="Calibri" w:hAnsiTheme="minorHAnsi" w:cs="Calibri"/>
                <w:sz w:val="22"/>
                <w:szCs w:val="22"/>
              </w:rPr>
              <w:t xml:space="preserve"> </w:t>
            </w:r>
            <w:r w:rsidR="008F69DA" w:rsidRPr="00A86BAE">
              <w:rPr>
                <w:rFonts w:asciiTheme="minorHAnsi" w:eastAsia="Calibri" w:hAnsiTheme="minorHAnsi" w:cs="Calibri"/>
                <w:sz w:val="22"/>
                <w:szCs w:val="22"/>
              </w:rPr>
              <w:t>h</w:t>
            </w:r>
            <w:r w:rsidRPr="00A86BAE">
              <w:rPr>
                <w:rFonts w:asciiTheme="minorHAnsi" w:eastAsia="Calibri" w:hAnsiTheme="minorHAnsi" w:cs="Calibri"/>
                <w:sz w:val="22"/>
                <w:szCs w:val="22"/>
              </w:rPr>
              <w:t>impunan</w:t>
            </w:r>
            <w:r w:rsidR="008F69DA" w:rsidRPr="00A86BAE">
              <w:rPr>
                <w:rFonts w:asciiTheme="minorHAnsi" w:eastAsia="Calibri" w:hAnsiTheme="minorHAnsi" w:cs="Calibri"/>
                <w:sz w:val="22"/>
                <w:szCs w:val="22"/>
              </w:rPr>
              <w:t xml:space="preserve"> termasuk soal pembuktian</w:t>
            </w:r>
            <w:r w:rsidR="00654A72" w:rsidRPr="00A86BAE">
              <w:rPr>
                <w:rFonts w:asciiTheme="minorHAnsi" w:eastAsia="Calibri" w:hAnsiTheme="minorHAnsi" w:cs="Calibri"/>
                <w:sz w:val="22"/>
                <w:szCs w:val="22"/>
              </w:rPr>
              <w:t xml:space="preserve"> dengan sistematis dan runut</w:t>
            </w:r>
            <w:r w:rsidR="00906647" w:rsidRPr="00A86BAE">
              <w:rPr>
                <w:rFonts w:asciiTheme="minorHAnsi" w:eastAsia="Calibri" w:hAnsiTheme="minorHAnsi" w:cs="Calibri"/>
                <w:sz w:val="22"/>
                <w:szCs w:val="22"/>
              </w:rPr>
              <w:t xml:space="preserve"> (M5)</w:t>
            </w: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B83AEE">
              <w:rPr>
                <w:rFonts w:ascii="Calibri" w:eastAsia="Calibri" w:hAnsi="Calibri" w:cs="Calibri"/>
                <w:sz w:val="22"/>
                <w:szCs w:val="22"/>
              </w:rPr>
              <w:t>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A86BAE" w:rsidRDefault="008F69DA"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w:t>
            </w:r>
            <w:r w:rsidR="00654A72" w:rsidRPr="00A86BAE">
              <w:rPr>
                <w:rFonts w:asciiTheme="minorHAnsi" w:eastAsia="Calibri" w:hAnsiTheme="minorHAnsi" w:cs="Calibri"/>
                <w:sz w:val="22"/>
                <w:szCs w:val="22"/>
              </w:rPr>
              <w:t xml:space="preserve"> secara sistematis</w:t>
            </w:r>
            <w:r w:rsidR="00906647" w:rsidRPr="00A86BAE">
              <w:rPr>
                <w:rFonts w:asciiTheme="minorHAnsi" w:eastAsia="Calibri" w:hAnsiTheme="minorHAnsi" w:cs="Calibri"/>
                <w:sz w:val="22"/>
                <w:szCs w:val="22"/>
              </w:rPr>
              <w:t xml:space="preserve"> (M4)</w:t>
            </w:r>
            <w:r w:rsidR="005F543B" w:rsidRPr="00A86BAE">
              <w:rPr>
                <w:rFonts w:asciiTheme="minorHAnsi" w:eastAsia="Calibri" w:hAnsiTheme="minorHAnsi" w:cs="Calibri"/>
                <w:sz w:val="22"/>
                <w:szCs w:val="22"/>
              </w:rPr>
              <w:t>; 2 mg</w:t>
            </w:r>
          </w:p>
        </w:tc>
      </w:tr>
      <w:tr w:rsidR="00D5665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5665D" w:rsidRDefault="00D5665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5665D" w:rsidRDefault="00E74D1A" w:rsidP="008F69DA">
            <w:pPr>
              <w:pStyle w:val="LO-normal"/>
              <w:jc w:val="both"/>
              <w:rPr>
                <w:rFonts w:ascii="Calibri" w:eastAsia="Calibri" w:hAnsi="Calibri" w:cs="Calibri"/>
                <w:sz w:val="22"/>
                <w:szCs w:val="22"/>
              </w:rPr>
            </w:pPr>
            <w:r>
              <w:rPr>
                <w:rFonts w:ascii="Calibri" w:eastAsia="Calibri" w:hAnsi="Calibri" w:cs="Calibri"/>
                <w:sz w:val="22"/>
                <w:szCs w:val="22"/>
              </w:rPr>
              <w:t>C</w:t>
            </w:r>
            <w:r w:rsidR="00D5665D">
              <w:rPr>
                <w:rFonts w:ascii="Calibri" w:eastAsia="Calibri" w:hAnsi="Calibri" w:cs="Calibri"/>
                <w:sz w:val="22"/>
                <w:szCs w:val="22"/>
              </w:rPr>
              <w:t>3</w:t>
            </w:r>
          </w:p>
        </w:tc>
        <w:tc>
          <w:tcPr>
            <w:tcW w:w="12047" w:type="dxa"/>
            <w:gridSpan w:val="10"/>
            <w:tcBorders>
              <w:top w:val="single" w:sz="4" w:space="0" w:color="000000"/>
              <w:left w:val="single" w:sz="4" w:space="0" w:color="000000"/>
              <w:bottom w:val="single" w:sz="4" w:space="0" w:color="000000"/>
              <w:right w:val="single" w:sz="4" w:space="0" w:color="000000"/>
            </w:tcBorders>
          </w:tcPr>
          <w:p w:rsidR="00D5665D" w:rsidRPr="00A86BAE" w:rsidRDefault="00A6315E" w:rsidP="00654A72">
            <w:pPr>
              <w:rPr>
                <w:rFonts w:asciiTheme="minorHAnsi" w:hAnsiTheme="minorHAnsi"/>
                <w:sz w:val="22"/>
                <w:szCs w:val="22"/>
              </w:rPr>
            </w:pPr>
            <w:r w:rsidRPr="00A86BAE">
              <w:rPr>
                <w:rFonts w:asciiTheme="minorHAnsi" w:hAnsiTheme="minorHAnsi"/>
                <w:sz w:val="22"/>
                <w:szCs w:val="22"/>
              </w:rPr>
              <w:t>Mengemukakan</w:t>
            </w:r>
            <w:r w:rsidR="00D5665D" w:rsidRPr="00A86BAE">
              <w:rPr>
                <w:rFonts w:asciiTheme="minorHAnsi" w:hAnsiTheme="minorHAnsi"/>
                <w:sz w:val="22"/>
                <w:szCs w:val="22"/>
              </w:rPr>
              <w:t xml:space="preserve"> teknik induksi matematika sehingga mampu </w:t>
            </w:r>
            <w:r w:rsidRPr="00A86BAE">
              <w:rPr>
                <w:rFonts w:asciiTheme="minorHAnsi" w:hAnsiTheme="minorHAnsi"/>
                <w:sz w:val="22"/>
                <w:szCs w:val="22"/>
              </w:rPr>
              <w:t>mendemonstrasikan keterampilan problem solving untuk tiga jenis soal induksi matematika</w:t>
            </w:r>
            <w:r w:rsidR="00654A72" w:rsidRPr="00A86BAE">
              <w:rPr>
                <w:rFonts w:asciiTheme="minorHAnsi" w:hAnsiTheme="minorHAnsi"/>
                <w:sz w:val="22"/>
                <w:szCs w:val="22"/>
              </w:rPr>
              <w:t xml:space="preserve"> secara runut dan sahih</w:t>
            </w:r>
            <w:r w:rsidR="00906647" w:rsidRPr="00A86BAE">
              <w:rPr>
                <w:rFonts w:asciiTheme="minorHAnsi" w:hAnsiTheme="minorHAnsi"/>
                <w:sz w:val="22"/>
                <w:szCs w:val="22"/>
              </w:rPr>
              <w:t xml:space="preserve"> (M1)</w:t>
            </w:r>
            <w:r w:rsidR="005F543B" w:rsidRPr="00A86BAE">
              <w:rPr>
                <w:rFonts w:asciiTheme="minorHAnsi" w:hAnsiTheme="minorHAnsi"/>
                <w:sz w:val="22"/>
                <w:szCs w:val="22"/>
              </w:rPr>
              <w:t>; 2 mg</w:t>
            </w:r>
          </w:p>
        </w:tc>
      </w:tr>
      <w:tr w:rsidR="00A6315E"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A6315E" w:rsidRDefault="00E74D1A" w:rsidP="00A6315E">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4</w:t>
            </w:r>
          </w:p>
        </w:tc>
        <w:tc>
          <w:tcPr>
            <w:tcW w:w="12047" w:type="dxa"/>
            <w:gridSpan w:val="10"/>
            <w:tcBorders>
              <w:top w:val="single" w:sz="4" w:space="0" w:color="000000"/>
              <w:left w:val="single" w:sz="4" w:space="0" w:color="000000"/>
              <w:bottom w:val="single" w:sz="4" w:space="0" w:color="000000"/>
              <w:right w:val="single" w:sz="4" w:space="0" w:color="000000"/>
            </w:tcBorders>
          </w:tcPr>
          <w:p w:rsidR="00A6315E" w:rsidRPr="00A86BAE" w:rsidRDefault="001D3180" w:rsidP="001D3180">
            <w:pPr>
              <w:rPr>
                <w:rFonts w:asciiTheme="minorHAnsi" w:hAnsiTheme="minorHAnsi"/>
                <w:sz w:val="22"/>
                <w:szCs w:val="22"/>
              </w:rPr>
            </w:pPr>
            <w:r w:rsidRPr="00A86BAE">
              <w:rPr>
                <w:rFonts w:asciiTheme="minorHAnsi" w:hAnsiTheme="minorHAnsi"/>
                <w:sz w:val="22"/>
                <w:szCs w:val="22"/>
              </w:rPr>
              <w:t>Menyebutkan suku-suku dari suatu barisan</w:t>
            </w:r>
            <w:r w:rsidR="00906647" w:rsidRPr="00A86BAE">
              <w:rPr>
                <w:rFonts w:asciiTheme="minorHAnsi" w:hAnsiTheme="minorHAnsi"/>
                <w:sz w:val="22"/>
                <w:szCs w:val="22"/>
              </w:rPr>
              <w:t xml:space="preserve"> </w:t>
            </w:r>
          </w:p>
        </w:tc>
      </w:tr>
      <w:tr w:rsidR="00A6315E"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A6315E"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5</w:t>
            </w:r>
          </w:p>
        </w:tc>
        <w:tc>
          <w:tcPr>
            <w:tcW w:w="12047" w:type="dxa"/>
            <w:gridSpan w:val="10"/>
            <w:tcBorders>
              <w:top w:val="single" w:sz="4" w:space="0" w:color="000000"/>
              <w:left w:val="single" w:sz="4" w:space="0" w:color="000000"/>
              <w:bottom w:val="single" w:sz="4" w:space="0" w:color="000000"/>
              <w:right w:val="single" w:sz="4" w:space="0" w:color="000000"/>
            </w:tcBorders>
          </w:tcPr>
          <w:p w:rsidR="00A6315E" w:rsidRPr="00A86BAE" w:rsidRDefault="001D3180" w:rsidP="00152FFD">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Menjelaskan contoh-contoh umum dari relasi rekurensi seperti: Tower of Hanoi, bilangan Fibonacci, Bunga Majemuk, dan n-Bit String</w:t>
            </w:r>
            <w:r w:rsidR="00906647" w:rsidRPr="00A86BAE">
              <w:rPr>
                <w:rFonts w:asciiTheme="minorHAnsi" w:eastAsia="Calibri" w:hAnsiTheme="minorHAnsi" w:cs="Calibri"/>
                <w:sz w:val="22"/>
                <w:szCs w:val="22"/>
              </w:rPr>
              <w:t xml:space="preserve"> secara </w:t>
            </w:r>
            <w:r w:rsidR="00152FFD" w:rsidRPr="00A86BAE">
              <w:rPr>
                <w:rFonts w:asciiTheme="minorHAnsi" w:eastAsia="Calibri" w:hAnsiTheme="minorHAnsi" w:cs="Calibri"/>
                <w:sz w:val="22"/>
                <w:szCs w:val="22"/>
              </w:rPr>
              <w:t>runut</w:t>
            </w:r>
          </w:p>
        </w:tc>
      </w:tr>
      <w:tr w:rsidR="001D318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6</w:t>
            </w: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Pr="00A86BAE" w:rsidRDefault="001D3180" w:rsidP="00E74D1A">
            <w:pPr>
              <w:pStyle w:val="LO-normal"/>
              <w:jc w:val="both"/>
              <w:rPr>
                <w:rFonts w:asciiTheme="minorHAnsi" w:eastAsia="Calibri" w:hAnsiTheme="minorHAnsi" w:cs="Calibri"/>
                <w:sz w:val="22"/>
                <w:szCs w:val="22"/>
              </w:rPr>
            </w:pPr>
            <w:r w:rsidRPr="00A86BAE">
              <w:rPr>
                <w:rFonts w:asciiTheme="minorHAnsi" w:hAnsiTheme="minorHAnsi"/>
                <w:sz w:val="22"/>
                <w:szCs w:val="22"/>
              </w:rPr>
              <w:t xml:space="preserve">Menjabarkan definisi relasi rekurensi sehingga mampu membuat relasi rekurensi dari  suatu </w:t>
            </w:r>
            <w:r w:rsidR="00E74D1A" w:rsidRPr="00A86BAE">
              <w:rPr>
                <w:rFonts w:asciiTheme="minorHAnsi" w:hAnsiTheme="minorHAnsi"/>
                <w:sz w:val="22"/>
                <w:szCs w:val="22"/>
              </w:rPr>
              <w:t>problem yang diberikan</w:t>
            </w:r>
          </w:p>
        </w:tc>
      </w:tr>
      <w:tr w:rsidR="001D318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7</w:t>
            </w: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Pr="00A86BAE" w:rsidRDefault="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relasi re</w:t>
            </w:r>
            <w:r w:rsidR="00DB4FDF" w:rsidRPr="00A86BAE">
              <w:rPr>
                <w:rFonts w:asciiTheme="minorHAnsi" w:eastAsia="Calibri" w:hAnsiTheme="minorHAnsi" w:cs="Calibri"/>
                <w:sz w:val="22"/>
                <w:szCs w:val="22"/>
              </w:rPr>
              <w:t>kurensi dengan teknik iterasi untuk memperoleh bentuk eksplisit dari relasi rekursif tersebut</w:t>
            </w:r>
          </w:p>
        </w:tc>
      </w:tr>
      <w:tr w:rsidR="001D318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8</w:t>
            </w:r>
          </w:p>
          <w:p w:rsidR="001D3180" w:rsidRDefault="001D3180" w:rsidP="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Pr="00A86BAE" w:rsidRDefault="00DB4FDF">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Mengidentifikasi relasi rekurensi </w:t>
            </w:r>
            <w:r w:rsidR="00152FFD" w:rsidRPr="00A86BAE">
              <w:rPr>
                <w:rFonts w:asciiTheme="minorHAnsi" w:eastAsia="Calibri" w:hAnsiTheme="minorHAnsi" w:cs="Calibri"/>
                <w:sz w:val="22"/>
                <w:szCs w:val="22"/>
              </w:rPr>
              <w:t>yang termasuk dalam kategori Linear Homogeneous Recurrence Relations with Constant Coeficients (LHRRwCC)</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5F543B">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relasi rekurensi berbentuk LHRRwCC untuk 2 kasus yang berbeda (2 akar berbeda dan 2 akar sama) sehingga memperoleh bentuk eksplisit dari relasi rekursif tersebut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3D520F" w:rsidP="003D520F">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Membangun pohon kemungkinan untuk kasus aturan perkalian</w:t>
            </w:r>
            <w:r w:rsidR="0019032B" w:rsidRPr="00A86BAE">
              <w:rPr>
                <w:rFonts w:asciiTheme="minorHAnsi" w:eastAsia="Calibri" w:hAnsiTheme="minorHAnsi" w:cs="Calibri"/>
                <w:sz w:val="22"/>
                <w:szCs w:val="22"/>
              </w:rPr>
              <w:t xml:space="preserve"> secara lengkap</w:t>
            </w:r>
            <w:r w:rsidRPr="00A86BAE">
              <w:rPr>
                <w:rFonts w:asciiTheme="minorHAnsi" w:eastAsia="Calibri" w:hAnsiTheme="minorHAnsi" w:cs="Calibri"/>
                <w:sz w:val="22"/>
                <w:szCs w:val="22"/>
              </w:rPr>
              <w:t xml:space="preserve"> </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19032B" w:rsidP="0019032B">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Mengkalkulasi elemen-elemen dari suatu himpunan </w:t>
            </w:r>
            <w:r w:rsidR="008E3C9E" w:rsidRPr="00A86BAE">
              <w:rPr>
                <w:rFonts w:asciiTheme="minorHAnsi" w:eastAsia="Calibri" w:hAnsiTheme="minorHAnsi" w:cs="Calibri"/>
                <w:sz w:val="22"/>
                <w:szCs w:val="22"/>
              </w:rPr>
              <w:t>yang disjoint dengan aturan tambah secara</w:t>
            </w:r>
            <w:r w:rsidRPr="00A86BAE">
              <w:rPr>
                <w:rFonts w:asciiTheme="minorHAnsi" w:eastAsia="Calibri" w:hAnsiTheme="minorHAnsi" w:cs="Calibri"/>
                <w:sz w:val="22"/>
                <w:szCs w:val="22"/>
              </w:rPr>
              <w:t xml:space="preserve"> teliti dan akurat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8E3C9E" w:rsidP="009A1CDD">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Menerapkan prinsip Pigeon Hole untuk menghitung </w:t>
            </w:r>
            <w:r w:rsidR="009A1CDD" w:rsidRPr="00A86BAE">
              <w:rPr>
                <w:rFonts w:asciiTheme="minorHAnsi" w:eastAsia="Calibri" w:hAnsiTheme="minorHAnsi" w:cs="Calibri"/>
                <w:sz w:val="22"/>
                <w:szCs w:val="22"/>
              </w:rPr>
              <w:t xml:space="preserve">berapa kemungkinan minimum (paling sedikit) </w:t>
            </w:r>
            <w:r w:rsidR="00A86BAE" w:rsidRPr="00A86BAE">
              <w:rPr>
                <w:rFonts w:asciiTheme="minorHAnsi" w:eastAsia="Calibri" w:hAnsiTheme="minorHAnsi" w:cs="Calibri"/>
                <w:sz w:val="22"/>
                <w:szCs w:val="22"/>
              </w:rPr>
              <w:t>secara sistematis</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A86BAE" w:rsidP="00A86BAE">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banyak cara/elemen dari suatu masalah/himpunan dengan teknik kombinasi secara runut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A86BAE">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banyak cara/elemen yang dapat berulang dari suatu masalah/himpunan dengan teknik kombinasi berulang secara akurat dan sahih</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AE4B5F" w:rsidP="00E033E2">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w:t>
            </w:r>
            <w:r w:rsidR="00E033E2">
              <w:rPr>
                <w:rFonts w:asciiTheme="minorHAnsi" w:eastAsia="Calibri" w:hAnsiTheme="minorHAnsi" w:cs="Calibri"/>
                <w:sz w:val="22"/>
                <w:szCs w:val="22"/>
              </w:rPr>
              <w:t>kalkulasi kombinasi elemen dengan formula segitiga Pascal secara sistematis</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312C37">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Menerapkan teorema binomial untuk menghitung penjabaran </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5F543B">
            <w:pPr>
              <w:pStyle w:val="LO-normal"/>
              <w:jc w:val="both"/>
              <w:rPr>
                <w:rFonts w:asciiTheme="minorHAnsi" w:eastAsia="Calibri" w:hAnsiTheme="minorHAns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5F543B">
            <w:pPr>
              <w:pStyle w:val="LO-normal"/>
              <w:jc w:val="both"/>
              <w:rPr>
                <w:rFonts w:asciiTheme="minorHAnsi" w:eastAsia="Calibri" w:hAnsiTheme="minorHAns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5F543B">
            <w:pPr>
              <w:pStyle w:val="LO-normal"/>
              <w:jc w:val="both"/>
              <w:rPr>
                <w:rFonts w:asciiTheme="minorHAnsi" w:eastAsia="Calibri" w:hAnsiTheme="minorHAnsi" w:cs="Calibri"/>
                <w:sz w:val="22"/>
                <w:szCs w:val="22"/>
              </w:rPr>
            </w:pP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5F543B">
            <w:pPr>
              <w:pStyle w:val="LO-normal"/>
              <w:jc w:val="both"/>
              <w:rPr>
                <w:rFonts w:asciiTheme="minorHAnsi" w:eastAsia="Calibri" w:hAnsiTheme="minorHAnsi" w:cs="Calibri"/>
                <w:sz w:val="22"/>
                <w:szCs w:val="22"/>
              </w:rPr>
            </w:pPr>
          </w:p>
        </w:tc>
      </w:tr>
      <w:tr w:rsidR="001D318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bl>
            <w:tblPr>
              <w:tblW w:w="10949" w:type="dxa"/>
              <w:tblLook w:val="0400"/>
            </w:tblPr>
            <w:tblGrid>
              <w:gridCol w:w="862"/>
              <w:gridCol w:w="1261"/>
              <w:gridCol w:w="1262"/>
              <w:gridCol w:w="1261"/>
              <w:gridCol w:w="1260"/>
              <w:gridCol w:w="1262"/>
              <w:gridCol w:w="1261"/>
              <w:gridCol w:w="1260"/>
              <w:gridCol w:w="1260"/>
            </w:tblGrid>
            <w:tr w:rsidR="001D3180">
              <w:tc>
                <w:tcPr>
                  <w:tcW w:w="8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Sub-CPMK1</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62"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Sub-CPMK1</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Sub-CPMK3</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Sub-CLO3</w:t>
                  </w: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Sub-CPMK4</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Sub-CLO4</w:t>
                  </w:r>
                </w:p>
              </w:tc>
              <w:tc>
                <w:tcPr>
                  <w:tcW w:w="1262"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Sub-CPMK5</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Sub-CLO5</w:t>
                  </w:r>
                </w:p>
              </w:tc>
              <w:tc>
                <w:tcPr>
                  <w:tcW w:w="12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Sub-CPMK6</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Sub-CLO6</w:t>
                  </w: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Sub-CPMK7</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Sub-CLO7</w:t>
                  </w:r>
                </w:p>
              </w:tc>
              <w:tc>
                <w:tcPr>
                  <w:tcW w:w="1260"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Sub-CPMK8</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Sub-CLO8</w:t>
                  </w:r>
                </w:p>
              </w:tc>
            </w:tr>
            <w:tr w:rsidR="001D3180">
              <w:tc>
                <w:tcPr>
                  <w:tcW w:w="8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CPMK1</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CLO1</w:t>
                  </w: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r>
            <w:tr w:rsidR="001D3180">
              <w:tc>
                <w:tcPr>
                  <w:tcW w:w="861" w:type="dxa"/>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CPMK2</w:t>
                  </w:r>
                </w:p>
                <w:p w:rsidR="001D3180" w:rsidRDefault="001D3180">
                  <w:pPr>
                    <w:pStyle w:val="LO-normal"/>
                    <w:jc w:val="both"/>
                    <w:rPr>
                      <w:rFonts w:ascii="Calibri" w:eastAsia="Calibri" w:hAnsi="Calibri" w:cs="Calibri"/>
                      <w:sz w:val="22"/>
                      <w:szCs w:val="22"/>
                    </w:rPr>
                  </w:pPr>
                  <w:r>
                    <w:rPr>
                      <w:rFonts w:ascii="Calibri" w:eastAsia="Calibri" w:hAnsi="Calibri" w:cs="Calibri"/>
                      <w:sz w:val="22"/>
                      <w:szCs w:val="22"/>
                    </w:rPr>
                    <w:t>CLO2</w:t>
                  </w: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r>
          </w:tbl>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Deskripsi Singkat MK</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tc>
      </w:tr>
      <w:tr w:rsidR="001D3180"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Pustaka</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Utama:</w:t>
            </w:r>
          </w:p>
          <w:p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1D3180" w:rsidRDefault="001D3180">
            <w:pPr>
              <w:pStyle w:val="LO-normal"/>
              <w:ind w:left="26"/>
              <w:rPr>
                <w:rFonts w:ascii="Calibri" w:eastAsia="Calibri" w:hAnsi="Calibri" w:cs="Calibri"/>
                <w:b/>
                <w:sz w:val="22"/>
                <w:szCs w:val="22"/>
              </w:rPr>
            </w:pPr>
          </w:p>
        </w:tc>
      </w:tr>
      <w:tr w:rsidR="001D318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ind w:left="315"/>
              <w:rPr>
                <w:rFonts w:ascii="Calibri" w:eastAsia="Calibri" w:hAnsi="Calibri" w:cs="Calibri"/>
                <w:color w:val="000000"/>
                <w:sz w:val="22"/>
                <w:szCs w:val="22"/>
              </w:rPr>
            </w:pPr>
          </w:p>
        </w:tc>
      </w:tr>
      <w:tr w:rsidR="001D318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1D3180" w:rsidRDefault="001D3180">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sz w:val="22"/>
                <w:szCs w:val="22"/>
              </w:rPr>
            </w:pPr>
          </w:p>
        </w:tc>
      </w:tr>
      <w:tr w:rsidR="001D3180"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tabs>
                <w:tab w:val="left" w:pos="0"/>
              </w:tabs>
              <w:rPr>
                <w:rFonts w:ascii="Calibri" w:eastAsia="Calibri" w:hAnsi="Calibri" w:cs="Calibri"/>
                <w:sz w:val="22"/>
                <w:szCs w:val="22"/>
              </w:rPr>
            </w:pPr>
          </w:p>
        </w:tc>
      </w:tr>
      <w:tr w:rsidR="001D318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lastRenderedPageBreak/>
              <w:t>Dosen Pengampu</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p w:rsidR="001D3180" w:rsidRDefault="001D3180">
            <w:pPr>
              <w:pStyle w:val="LO-normal"/>
              <w:rPr>
                <w:rFonts w:ascii="Calibri" w:eastAsia="Calibri" w:hAnsi="Calibri" w:cs="Calibri"/>
                <w:color w:val="000000"/>
                <w:sz w:val="22"/>
                <w:szCs w:val="22"/>
              </w:rPr>
            </w:pPr>
          </w:p>
        </w:tc>
      </w:tr>
      <w:tr w:rsidR="001D318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Matakuliah syarat</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1D3180">
            <w:pPr>
              <w:pStyle w:val="LO-normal"/>
              <w:rPr>
                <w:rFonts w:ascii="Calibri" w:eastAsia="Calibri" w:hAnsi="Calibri" w:cs="Calibri"/>
                <w:sz w:val="22"/>
                <w:szCs w:val="22"/>
              </w:rPr>
            </w:pP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57"/>
        <w:gridCol w:w="2088"/>
        <w:gridCol w:w="2148"/>
        <w:gridCol w:w="2176"/>
        <w:gridCol w:w="2205"/>
        <w:gridCol w:w="1875"/>
        <w:gridCol w:w="3094"/>
        <w:gridCol w:w="1210"/>
      </w:tblGrid>
      <w:tr w:rsidR="00ED2162">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ED2162">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ED2162">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7</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w:t>
            </w:r>
            <w:r>
              <w:rPr>
                <w:rFonts w:ascii="Calibri" w:eastAsia="Calibri" w:hAnsi="Calibri" w:cs="Calibri"/>
                <w:sz w:val="22"/>
                <w:szCs w:val="22"/>
              </w:rPr>
              <w:lastRenderedPageBreak/>
              <w:t xml:space="preserve">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lastRenderedPageBreak/>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w:t>
            </w:r>
            <w:r>
              <w:rPr>
                <w:rFonts w:ascii="Calibri" w:eastAsia="Calibri" w:hAnsi="Calibri" w:cs="Calibri"/>
                <w:sz w:val="22"/>
                <w:szCs w:val="22"/>
              </w:rPr>
              <w:lastRenderedPageBreak/>
              <w:t>rumusan penilaian keutusan etis berdasarkan etika kontekstual</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kelompok  studi kasus kelompok (3%)</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individu studi kasus (2%)</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ind w:left="72"/>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ED2162">
            <w:pPr>
              <w:pStyle w:val="LO-normal"/>
              <w:rPr>
                <w:rFonts w:ascii="Calibri" w:eastAsia="Calibri" w:hAnsi="Calibri" w:cs="Calibri"/>
                <w:b/>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BM: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 xml:space="preserve">Belajar terstruktur atau </w:t>
            </w:r>
            <w:r>
              <w:rPr>
                <w:rFonts w:ascii="Calibri" w:eastAsia="Calibri" w:hAnsi="Calibri" w:cs="Calibri"/>
                <w:sz w:val="22"/>
                <w:szCs w:val="22"/>
              </w:rPr>
              <w:lastRenderedPageBreak/>
              <w:t>BT dan Mandiri atau BM, karena pengerjaan satu tugas dengan asumsi mengerjakan tugas dengan terlebih dahulu belajar mandiri misal dibawah ini:</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ED2162">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20"/>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ED2162">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ED2162">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Arial Unicode MS"/>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compat/>
  <w:rsids>
    <w:rsidRoot w:val="00ED2162"/>
    <w:rsid w:val="00043B51"/>
    <w:rsid w:val="000E1521"/>
    <w:rsid w:val="00152FFD"/>
    <w:rsid w:val="0019032B"/>
    <w:rsid w:val="001C3DE6"/>
    <w:rsid w:val="001D3180"/>
    <w:rsid w:val="00312C37"/>
    <w:rsid w:val="00321631"/>
    <w:rsid w:val="003A39AF"/>
    <w:rsid w:val="003D520F"/>
    <w:rsid w:val="0041637F"/>
    <w:rsid w:val="005F543B"/>
    <w:rsid w:val="00654A72"/>
    <w:rsid w:val="00660AFE"/>
    <w:rsid w:val="00686A97"/>
    <w:rsid w:val="006C5929"/>
    <w:rsid w:val="007264E9"/>
    <w:rsid w:val="007947DB"/>
    <w:rsid w:val="008B0F97"/>
    <w:rsid w:val="008E3C9E"/>
    <w:rsid w:val="008F69DA"/>
    <w:rsid w:val="00906647"/>
    <w:rsid w:val="0092699C"/>
    <w:rsid w:val="009A1CDD"/>
    <w:rsid w:val="00A6315E"/>
    <w:rsid w:val="00A86BAE"/>
    <w:rsid w:val="00AE4B5F"/>
    <w:rsid w:val="00B565D2"/>
    <w:rsid w:val="00B83AEE"/>
    <w:rsid w:val="00D5665D"/>
    <w:rsid w:val="00D97113"/>
    <w:rsid w:val="00DB4FDF"/>
    <w:rsid w:val="00E033E2"/>
    <w:rsid w:val="00E74D1A"/>
    <w:rsid w:val="00ED2162"/>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219BB4-2416-4DF6-A763-F8F8BE3B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20</cp:revision>
  <dcterms:created xsi:type="dcterms:W3CDTF">2021-09-26T11:40:00Z</dcterms:created>
  <dcterms:modified xsi:type="dcterms:W3CDTF">2021-10-15T10:51:00Z</dcterms:modified>
  <dc:language>en-US</dc:language>
</cp:coreProperties>
</file>