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Service Manifest</w:t>
      </w:r>
    </w:p>
    <w:p>
      <w:pPr>
        <w:spacing w:after="120"/>
        <w:jc w:val="center"/>
      </w:pPr>
      <w:r>
        <w:rPr>
          <w:sz w:val="32"/>
          <w:szCs w:val="32"/>
        </w:rPr>
        <w:t xml:space="preserve">[Service ID] — [Service Name]</w:t>
      </w:r>
    </w:p>
    <w:p>
      <w:pPr>
        <w:spacing w:after="240"/>
        <w:jc w:val="center"/>
      </w:pPr>
      <w:r>
        <w:rPr>
          <w:i/>
          <w:iCs/>
          <w:color w:val="595959"/>
        </w:rPr>
        <w:t xml:space="preserve">Single Source of Truth — Framework v2.6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Document Status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Draft / In Review / Approved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Stage Completed Through</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Stage 0 / 1 / 2 / 3</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Service Archetype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Capability / Composite / Orchestrating</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Service Family</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[Family ID, if applicable]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Last Updated</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[Date]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Owner</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[Service Owner Name]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Version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1.0</w:t>
            </w:r>
          </w:p>
        </w:tc>
      </w:tr>
    </w:tbl>
    <w:p>
      <w:r>
        <w:br w:type="page"/>
      </w:r>
    </w:p>
    <w:p>
      <w:pPr>
        <w:pStyle w:val="Heading1"/>
        <w:spacing w:after="120" w:before="240"/>
      </w:pPr>
      <w:r>
        <w:t xml:space="preserve">How to Use This Manifest</w:t>
      </w:r>
    </w:p>
    <w:p>
      <w:pPr>
        <w:spacing w:after="60" w:before="60"/>
      </w:pPr>
      <w:r>
        <w:t xml:space="preserve">This Service Manifest is the single source of truth for this service. All stage outputs (Service Card, Blueprint, Task Model, BRD) are rendered from this manifest. The manifest grows as the service moves through stages — Stage 0 fills sections 1–7, Stage 1 fills sections 8–13, Stage 2 fills sections 14–22, Stage 3 fills sections 23–27.</w:t>
      </w:r>
    </w:p>
    <w:p>
      <w:pPr>
        <w:spacing w:after="60" w:before="60"/>
      </w:pPr>
      <w:r>
        <w:t xml:space="preserve">Italicised guidance text appears throughout the template. Replace it with content as you complete each section. Once a section is complete, delete the guidance. Sections marked [REQUIRED] must be completed before the relevant stage gate; sections marked [CONDITIONAL] apply only when criteria are met (e.g., Service Family Index applies only to composites and orchestrators).</w:t>
      </w:r>
    </w:p>
    <w:p>
      <w:pPr>
        <w:pStyle w:val="Heading2"/>
        <w:spacing w:after="120" w:before="240"/>
      </w:pPr>
      <w:r>
        <w:t xml:space="preserve">Manifest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Stage</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Sections</w:t>
            </w:r>
          </w:p>
        </w:tc>
        <w:tc>
          <w:tcPr>
            <w:tcW w:type="dxa" w:w="4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Output Rendered From These Sections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Stage 0 — Service Definition</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1–7</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Service Card document</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Stage 1 — Service Design</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8–13</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Service Blueprint document</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Stage 2 — Task Model &amp; Workflow</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14–22</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Task Model document, Workflow CSV, Module/Task Registers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Stage 3 — Build-Ready Requirements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23–27</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BRD document, Acceptance criteria</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Family-level (when applicable)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28–29</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Family Index, Dependency Manifest</w:t>
            </w:r>
          </w:p>
        </w:tc>
      </w:tr>
    </w:tbl>
    <w:p>
      <w:r>
        <w:br w:type="page"/>
      </w:r>
    </w:p>
    <w:p>
      <w:pPr>
        <w:pStyle w:val="Heading1"/>
        <w:spacing w:after="120" w:before="240"/>
      </w:pPr>
      <w:r>
        <w:t xml:space="preserve">Stage 0 — Service Definition</w:t>
      </w:r>
    </w:p>
    <w:p>
      <w:pPr>
        <w:pStyle w:val="Heading2"/>
        <w:spacing w:after="120" w:before="240"/>
      </w:pPr>
      <w:r>
        <w:t xml:space="preserve">Section 1 — Service Identification [REQUIRED]</w:t>
      </w:r>
    </w:p>
    <w:p>
      <w:pPr>
        <w:spacing w:after="120" w:before="60"/>
      </w:pPr>
      <w:r>
        <w:rPr>
          <w:i/>
          <w:iCs/>
          <w:color w:val="595959"/>
        </w:rPr>
        <w:t xml:space="preserve">State who, what, and why. Keep it factual and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Field</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Value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Service ID</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[e.g., VND-ONB001]</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Service Name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[Short, business-friendly]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Domain / Function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[Procurement, Cybersecurity, HR, etc.]</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Service Owner</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[Name and role]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Service Sponsor</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[Senior accountable executive]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Customer Type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[Internal employees / External customers / Vendors / Citizens]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Service Purpose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[1 sentence: what business outcome this service produces]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Service Boundary (in scope)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[What this service does]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Service Boundary (out of scope)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[What this service explicitly does not do]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Trigger</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[What initiates this service]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Outcome (success)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[End state when service succeeds]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Outcome (rejection)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[End state when service rejects/exits early]</w:t>
            </w:r>
          </w:p>
        </w:tc>
      </w:tr>
    </w:tbl>
    <w:p>
      <w:pPr>
        <w:pStyle w:val="Heading2"/>
        <w:spacing w:after="120" w:before="240"/>
      </w:pPr>
      <w:r>
        <w:t xml:space="preserve">Section 2 — Customer Journey Context [REQUIRED]</w:t>
      </w:r>
    </w:p>
    <w:p>
      <w:pPr>
        <w:spacing w:after="120" w:before="60"/>
      </w:pPr>
      <w:r>
        <w:rPr>
          <w:i/>
          <w:iCs/>
          <w:color w:val="595959"/>
        </w:rPr>
        <w:t xml:space="preserve">Where does this service sit in the customer's broader journey? Identify the journey before this service, the journey during, and the journey after. Prevents service-centric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Stage of Journey</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Description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Trigger Event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[What customer experience leads to this service being needed]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Touchpoint Channel</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[How customer interacts: portal, email, in-person, etc.]</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Customer Mindset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[What customer is trying to achieve, feeling, expecting]</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Adjacent Services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[Other services typically used before/after/alongside]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Customer Effort Score Target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[Easy / Medium / Hard]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Journey Map Reference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[Link to formal journey map if available]</w:t>
            </w:r>
          </w:p>
        </w:tc>
      </w:tr>
    </w:tbl>
    <w:p>
      <w:pPr>
        <w:pStyle w:val="Heading2"/>
        <w:spacing w:after="120" w:before="240"/>
      </w:pPr>
      <w:r>
        <w:t xml:space="preserve">Section 3 — Capability Reuse Search [REQUIRED]</w:t>
      </w:r>
    </w:p>
    <w:p>
      <w:pPr>
        <w:spacing w:after="120" w:before="60"/>
      </w:pPr>
      <w:r>
        <w:rPr>
          <w:i/>
          <w:iCs/>
          <w:color w:val="595959"/>
        </w:rPr>
        <w:t xml:space="preserve">Reuse-First Principle: before declaring new capabilities, search the Capability Catalogue Index. Document every search, every match considered, and every reuse decision (consume / fork / new). If you create a new capability, justify why no existing one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800"/>
        <w:gridCol w:w="2860"/>
      </w:tblGrid>
      <w:tr>
        <w:trPr>
          <w:tblHeader/>
        </w:trPr>
        <w:tc>
          <w:tcPr>
            <w:tcW w:type="dxa" w:w="2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Search Term / Function Needed</w:t>
            </w:r>
          </w:p>
        </w:tc>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Existing Capability Found</w:t>
            </w:r>
          </w:p>
        </w:tc>
        <w:tc>
          <w:tcPr>
            <w:tcW w:type="dxa" w:w="1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Decision (Consume/Fork/New)</w:t>
            </w:r>
          </w:p>
        </w:tc>
        <w:tc>
          <w:tcPr>
            <w:tcW w:type="dxa" w:w="28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Rationale</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[e.g., due diligence check]</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[VND-DD001 / None]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[Consume / Fork / New]</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[Why this decision]</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[e.g., notification send]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[CMN-NTF001 / None]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[Consume / Fork / New]</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[Why this decision]</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bl>
    <w:p>
      <w:pPr>
        <w:spacing w:after="60" w:before="60"/>
      </w:pPr>
      <w:r>
        <w:t xml:space="preserve">Reuse Rate Target: ≥60% of capabilities consumed from existing portfolio (Capability Catalogue Index v1.0).</w:t>
      </w:r>
    </w:p>
    <w:p>
      <w:pPr>
        <w:pStyle w:val="Heading2"/>
        <w:spacing w:after="120" w:before="240"/>
      </w:pPr>
      <w:r>
        <w:t xml:space="preserve">Section 4 — Demand &amp; Capacity Profile [REQUIRED]</w:t>
      </w:r>
    </w:p>
    <w:p>
      <w:pPr>
        <w:spacing w:after="120" w:before="60"/>
      </w:pPr>
      <w:r>
        <w:rPr>
          <w:i/>
          <w:iCs/>
          <w:color w:val="595959"/>
        </w:rPr>
        <w:t xml:space="preserve">Volume, peak/average ratios, channel mix, segments. Captured before design — drives sizing and SLA realism.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Field</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Value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Annual Volume (estimate)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[N requests/year]</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Daily Average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[N/day]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Peak Day</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[N/day during peak]</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Peak Period</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[When peaks occur — seasonality, end-of-quarter, etc.]</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Channel Mix</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portal / % email / % in-person / % API]</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Customer Segments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[Segments and rough proportions]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Capacity Constraints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[Roles, systems, or resources that cap throughput]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Seasonality / Variability</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[Predictable spikes or troughs]</w:t>
            </w:r>
          </w:p>
        </w:tc>
      </w:tr>
    </w:tbl>
    <w:p>
      <w:pPr>
        <w:pStyle w:val="Heading2"/>
        <w:spacing w:after="120" w:before="240"/>
      </w:pPr>
      <w:r>
        <w:t xml:space="preserve">Section 5 — As-Is Process Analysis [CONDITIONAL]</w:t>
      </w:r>
    </w:p>
    <w:p>
      <w:pPr>
        <w:spacing w:after="120" w:before="60"/>
      </w:pPr>
      <w:r>
        <w:rPr>
          <w:i/>
          <w:iCs/>
          <w:color w:val="595959"/>
        </w:rPr>
        <w:t xml:space="preserve">Required only when replacing an existing process. Document the current state to prevent designing in a vacuum.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Field</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Value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Current Process Owner</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[Who runs the current version]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Current Volume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[N/year currently]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Current Cycle Time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[Median / 80th percentile]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Current Pain Points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[Top 3]</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Current Tooling</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[Spreadsheets / email / system]</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Current SLA Performance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meeting target]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What Must Be Preserved</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[Essential elements that work today]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What Must Change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[Top 3 fixes]</w:t>
            </w:r>
          </w:p>
        </w:tc>
      </w:tr>
    </w:tbl>
    <w:p>
      <w:pPr>
        <w:pStyle w:val="Heading2"/>
        <w:spacing w:after="120" w:before="240"/>
      </w:pPr>
      <w:r>
        <w:t xml:space="preserve">Section 6 — Data Inventory [REQUIRED]</w:t>
      </w:r>
    </w:p>
    <w:p>
      <w:pPr>
        <w:spacing w:after="120" w:before="60"/>
      </w:pPr>
      <w:r>
        <w:rPr>
          <w:i/>
          <w:iCs/>
          <w:color w:val="595959"/>
        </w:rPr>
        <w:t xml:space="preserve">Data created, consumed, mutated by this service. Drives integration design, data governance, audit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200"/>
        <w:gridCol w:w="1700"/>
        <w:gridCol w:w="1760"/>
      </w:tblGrid>
      <w:tr>
        <w:trPr>
          <w:tblHeader/>
        </w:trP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Data Element</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Action (C/R/U/D)</w:t>
            </w:r>
          </w:p>
        </w:tc>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Source/Sink System</w:t>
            </w:r>
          </w:p>
        </w:tc>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Sensitivity</w:t>
            </w:r>
          </w:p>
        </w:tc>
        <w:tc>
          <w:tcPr>
            <w:tcW w:type="dxa" w:w="1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Retention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[e.g., Vendor Profile]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Create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Vendor Master ERP</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Confidential</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7 years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[e.g., Sanctions Hit Result]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Read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External Bureau API</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Confidential</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Per source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bl>
    <w:p>
      <w:pPr>
        <w:pStyle w:val="Heading2"/>
        <w:spacing w:after="120" w:before="240"/>
      </w:pPr>
      <w:r>
        <w:t xml:space="preserve">Section 7 — Stakeholder &amp; Persona Map [REQUIRED]</w:t>
      </w:r>
    </w:p>
    <w:p>
      <w:pPr>
        <w:spacing w:after="120" w:before="60"/>
      </w:pPr>
      <w:r>
        <w:rPr>
          <w:i/>
          <w:iCs/>
          <w:color w:val="595959"/>
        </w:rPr>
        <w:t xml:space="preserve">Beyond RACI: who reviews, approves, escalates. Drives signoff routing and governance throughout the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rPr>
          <w:tblHeader/>
        </w:trPr>
        <w:tc>
          <w:tcPr>
            <w:tcW w:type="dxa" w:w="2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Persona / Stakeholder</w:t>
            </w:r>
          </w:p>
        </w:tc>
        <w:tc>
          <w:tcPr>
            <w:tcW w:type="dxa" w:w="2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Role in This Service</w:t>
            </w:r>
          </w:p>
        </w:tc>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Engagement Level</w:t>
            </w:r>
          </w:p>
        </w:tc>
        <w:tc>
          <w:tcPr>
            <w:tcW w:type="dxa" w:w="2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Decision Rights</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[e.g., Procurement Officer]</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Initiates request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Daily user</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Submit/withdraw</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[e.g., Procurement Manager]</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Approver</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Per-request</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Approve/reject risk gate</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[e.g., Service Owner]</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Lifecycle owner</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Continuous</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Design, SLA, KPI sign-off</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bl>
    <w:p>
      <w:r>
        <w:br w:type="page"/>
      </w:r>
    </w:p>
    <w:p>
      <w:pPr>
        <w:pStyle w:val="Heading1"/>
        <w:spacing w:after="120" w:before="240"/>
      </w:pPr>
      <w:r>
        <w:t xml:space="preserve">Stage 1 — Service Design</w:t>
      </w:r>
    </w:p>
    <w:p>
      <w:pPr>
        <w:pStyle w:val="Heading2"/>
        <w:spacing w:after="120" w:before="240"/>
      </w:pPr>
      <w:r>
        <w:t xml:space="preserve">Section 8 — Decomposition Decision [REQUIRED]</w:t>
      </w:r>
    </w:p>
    <w:p>
      <w:pPr>
        <w:spacing w:after="120" w:before="60"/>
      </w:pPr>
      <w:r>
        <w:rPr>
          <w:i/>
          <w:iCs/>
          <w:color w:val="595959"/>
        </w:rPr>
        <w:t xml:space="preserve">Explicit declaration of archetype with rationale. Run boundary smell tests before declaring. This is the single most consequential decision in the framework — wrong archetype means weeks of rework downstream.</w:t>
      </w:r>
    </w:p>
    <w:p>
      <w:pPr>
        <w:pStyle w:val="Heading3"/>
        <w:spacing w:after="120" w:before="240"/>
      </w:pPr>
      <w:r>
        <w:t xml:space="preserve">8.1 Archetype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Field</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Value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Declared Archetype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Capability / Composite / Orchestrating</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Decision Date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[Date]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Decision Made By</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[Designer + reviewers]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Rationale (1 paragraph)</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[Why this archetype, not the others]</w:t>
            </w:r>
          </w:p>
        </w:tc>
      </w:tr>
    </w:tbl>
    <w:p>
      <w:pPr>
        <w:pStyle w:val="Heading3"/>
        <w:spacing w:after="120" w:before="240"/>
      </w:pPr>
      <w:r>
        <w:t xml:space="preserve">8.2 Boundary Smell Tests</w:t>
      </w:r>
    </w:p>
    <w:p>
      <w:pPr>
        <w:spacing w:after="120" w:before="60"/>
      </w:pPr>
      <w:r>
        <w:rPr>
          <w:i/>
          <w:iCs/>
          <w:color w:val="595959"/>
        </w:rPr>
        <w:t xml:space="preserve">Apply each test. If any fails, reconsider the archetype.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rPr>
          <w:tblHeader/>
        </w:trPr>
        <w:tc>
          <w:tcPr>
            <w:tcW w:type="dxa" w:w="4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Smell Test</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Pass/Fail/N-A</w:t>
            </w:r>
          </w:p>
        </w:tc>
        <w:tc>
          <w:tcPr>
            <w:tcW w:type="dxa" w:w="3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Notes</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Single trigger and single primary outcome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Owned by one accountability boundary</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If composite/orchestrator: ≥2 explicit service calls to capabilities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If capability: zero embedded service calls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Service can be released, tested, governed independently</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No alternate flow shares &lt;40% of steps with main flow (otherwise split)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No single role owns &gt;70% of work in a composite (otherwise consider capability)</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bl>
    <w:p>
      <w:pPr>
        <w:pStyle w:val="Heading3"/>
        <w:spacing w:after="120" w:before="240"/>
      </w:pPr>
      <w:r>
        <w:t xml:space="preserve">8.3 Decomposition Decision Log Entry</w:t>
      </w:r>
    </w:p>
    <w:p>
      <w:pPr>
        <w:spacing w:after="120" w:before="60"/>
      </w:pPr>
      <w:r>
        <w:rPr>
          <w:i/>
          <w:iCs/>
          <w:color w:val="595959"/>
        </w:rPr>
        <w:t xml:space="preserve">Permanent record. Never edit retroactively — append amendments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3000"/>
        <w:gridCol w:w="1460"/>
      </w:tblGrid>
      <w:tr>
        <w:trPr>
          <w:tblHeader/>
        </w:trP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Decision</w:t>
            </w:r>
          </w:p>
        </w:tc>
        <w:tc>
          <w:tcPr>
            <w:tcW w:type="dxa" w:w="1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Date</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Made By</w:t>
            </w:r>
          </w:p>
        </w:tc>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Rationale</w:t>
            </w:r>
          </w:p>
        </w:tc>
        <w:tc>
          <w:tcPr>
            <w:tcW w:type="dxa" w:w="14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Reviewed By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Declared as [archetype]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[Date]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[Designer]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[1 sentence]</w:t>
            </w:r>
          </w:p>
        </w:tc>
        <w:tc>
          <w:tcPr>
            <w:tcW w:type="dxa" w:w="1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[Reviewer]</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bl>
    <w:p>
      <w:pPr>
        <w:pStyle w:val="Heading2"/>
        <w:spacing w:after="120" w:before="240"/>
      </w:pPr>
      <w:r>
        <w:t xml:space="preserve">Section 9 — Service Boundary &amp; Interfaces [REQUIRED]</w:t>
      </w:r>
    </w:p>
    <w:p>
      <w:pPr>
        <w:spacing w:after="120" w:before="60"/>
      </w:pPr>
      <w:r>
        <w:rPr>
          <w:i/>
          <w:iCs/>
          <w:color w:val="595959"/>
        </w:rPr>
        <w:t xml:space="preserve">Define what crosses the boundary in and out. For composites/orchestrators, list called services. For all archetypes, list external systems and integration points.</w:t>
      </w:r>
    </w:p>
    <w:p>
      <w:pPr>
        <w:pStyle w:val="Heading3"/>
        <w:spacing w:after="120" w:before="240"/>
      </w:pPr>
      <w:r>
        <w:t xml:space="preserve">9.1 Inputs Crossing the Boundary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1700"/>
        <w:gridCol w:w="1960"/>
      </w:tblGrid>
      <w:tr>
        <w:trPr>
          <w:tblHeader/>
        </w:trPr>
        <w:tc>
          <w:tcPr>
            <w:tcW w:type="dxa" w:w="2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Input</w:t>
            </w:r>
          </w:p>
        </w:tc>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From</w:t>
            </w:r>
          </w:p>
        </w:tc>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Format</w:t>
            </w:r>
          </w:p>
        </w:tc>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Frequency</w:t>
            </w:r>
          </w:p>
        </w:tc>
        <w:tc>
          <w:tcPr>
            <w:tcW w:type="dxa" w:w="1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Validation</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[Vendor request package]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Procurement Officer</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Form submission</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On-demand</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Schema check</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bl>
    <w:p>
      <w:pPr>
        <w:pStyle w:val="Heading3"/>
        <w:spacing w:after="120" w:before="240"/>
      </w:pPr>
      <w:r>
        <w:t xml:space="preserve">9.2 Outputs Crossing the Boundary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1700"/>
        <w:gridCol w:w="1960"/>
      </w:tblGrid>
      <w:tr>
        <w:trPr>
          <w:tblHeader/>
        </w:trPr>
        <w:tc>
          <w:tcPr>
            <w:tcW w:type="dxa" w:w="2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Output</w:t>
            </w:r>
          </w:p>
        </w:tc>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To</w:t>
            </w:r>
          </w:p>
        </w:tc>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Format</w:t>
            </w:r>
          </w:p>
        </w:tc>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Trigger</w:t>
            </w:r>
          </w:p>
        </w:tc>
        <w:tc>
          <w:tcPr>
            <w:tcW w:type="dxa" w:w="1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Evidence</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[Vendor activation notice]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Vendor + Procurement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Email + ERP record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On success</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M5 milestone log</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bl>
    <w:p>
      <w:pPr>
        <w:pStyle w:val="Heading3"/>
        <w:spacing w:after="120" w:before="240"/>
      </w:pPr>
      <w:r>
        <w:t xml:space="preserve">9.3 Called Services [CONDITIONAL: Composite/Orchestrator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700"/>
        <w:gridCol w:w="1700"/>
        <w:gridCol w:w="1960"/>
      </w:tblGrid>
      <w:tr>
        <w:trPr>
          <w:tblHeader/>
        </w:trPr>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Called Service ID</w:t>
            </w:r>
          </w:p>
        </w:tc>
        <w:tc>
          <w:tcPr>
            <w:tcW w:type="dxa" w:w="2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Called Service Name</w:t>
            </w:r>
          </w:p>
        </w:tc>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Mode (Sync/Async)</w:t>
            </w:r>
          </w:p>
        </w:tc>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Caller-Side OLA</w:t>
            </w:r>
          </w:p>
        </w:tc>
        <w:tc>
          <w:tcPr>
            <w:tcW w:type="dxa" w:w="1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Cascade Pattern</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VND-DD001</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Vendor Due Diligence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Async</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5d</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Parallel</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bl>
    <w:p>
      <w:pPr>
        <w:pStyle w:val="Heading2"/>
        <w:spacing w:after="120" w:before="240"/>
      </w:pPr>
      <w:r>
        <w:t xml:space="preserve">Section 10 — Value Stream &amp; Customer Journey [REQUIRED]</w:t>
      </w:r>
    </w:p>
    <w:p>
      <w:pPr>
        <w:spacing w:after="120" w:before="60"/>
      </w:pPr>
      <w:r>
        <w:rPr>
          <w:i/>
          <w:iCs/>
          <w:color w:val="595959"/>
        </w:rPr>
        <w:t xml:space="preserve">L0–L1 value stream stages. Each stage is a phase the customer experiences. Avoid task-level detail here (Stage 2 covers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200"/>
        <w:gridCol w:w="2000"/>
        <w:gridCol w:w="1860"/>
      </w:tblGrid>
      <w:tr>
        <w:trPr>
          <w:tblHeader/>
        </w:trPr>
        <w:tc>
          <w:tcPr>
            <w:tcW w:type="dxa" w:w="1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Stage</w:t>
            </w:r>
          </w:p>
        </w:tc>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Customer-visible Activity</w:t>
            </w:r>
          </w:p>
        </w:tc>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Service-side Activity</w:t>
            </w:r>
          </w:p>
        </w:tc>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Stage Outcome</w:t>
            </w:r>
          </w:p>
        </w:tc>
        <w:tc>
          <w:tcPr>
            <w:tcW w:type="dxa" w:w="18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Stage Time Target</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1. Request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Submit request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Receive and acknowledge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Request logged</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Within 15m</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2. Triage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Wait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Validate and classify</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Routed correctly</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Within 4h</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3. Execute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Provide info if asked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Run capability services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Work complete</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Per OLA</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4. Decide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Wait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Approval or rejection</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Decision recorded</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Per OLA</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5. Close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Receive outcome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Notify and archive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Customer informed</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Within 1h of decision</w:t>
            </w:r>
          </w:p>
        </w:tc>
      </w:tr>
    </w:tbl>
    <w:p>
      <w:pPr>
        <w:pStyle w:val="Heading2"/>
        <w:spacing w:after="120" w:before="240"/>
      </w:pPr>
      <w:r>
        <w:t xml:space="preserve">Section 11 — Experience &amp; Outcome Targets [REQUIRED]</w:t>
      </w:r>
    </w:p>
    <w:p>
      <w:pPr>
        <w:spacing w:after="120" w:before="60"/>
      </w:pPr>
      <w:r>
        <w:rPr>
          <w:i/>
          <w:iCs/>
          <w:color w:val="595959"/>
        </w:rPr>
        <w:t xml:space="preserve">SLA targets must reconcile to underlying OLAs. This section is where the SLA Cascade arithmetic is documented.</w:t>
      </w:r>
    </w:p>
    <w:p>
      <w:pPr>
        <w:pStyle w:val="Heading3"/>
        <w:spacing w:after="120" w:before="240"/>
      </w:pPr>
      <w:r>
        <w:t xml:space="preserve">11.1 Service-Level SLA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460"/>
      </w:tblGrid>
      <w:tr>
        <w:trPr>
          <w:tblHeader/>
        </w:trPr>
        <w:tc>
          <w:tcPr>
            <w:tcW w:type="dxa" w:w="2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SLA Tier (if any)</w:t>
            </w:r>
          </w:p>
        </w:tc>
        <w:tc>
          <w:tcPr>
            <w:tcW w:type="dxa" w:w="2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Cycle Time Target</w:t>
            </w:r>
          </w:p>
        </w:tc>
        <w:tc>
          <w:tcPr>
            <w:tcW w:type="dxa" w:w="2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Quality Target</w:t>
            </w:r>
          </w:p>
        </w:tc>
        <w:tc>
          <w:tcPr>
            <w:tcW w:type="dxa" w:w="24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Availability Target</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[Critical / Standard / Default]</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[Nd, Xh, etc.]</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[≥X%]</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[Always / Business hours]</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bl>
    <w:p>
      <w:pPr>
        <w:pStyle w:val="Heading3"/>
        <w:spacing w:after="120" w:before="240"/>
      </w:pPr>
      <w:r>
        <w:t xml:space="preserve">11.2 SLA Cascade Reconciliation [CONDITIONAL: Composite/Orchestrator]</w:t>
      </w:r>
    </w:p>
    <w:p>
      <w:pPr>
        <w:spacing w:after="120" w:before="60"/>
      </w:pPr>
      <w:r>
        <w:rPr>
          <w:i/>
          <w:iCs/>
          <w:color w:val="595959"/>
        </w:rPr>
        <w:t xml:space="preserve">The composite SLA must equal the critical path of capability OLAs plus transitions. Show the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700"/>
        <w:gridCol w:w="2460"/>
      </w:tblGrid>
      <w:tr>
        <w:trPr>
          <w:tblHeader/>
        </w:trP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Component</w:t>
            </w:r>
          </w:p>
        </w:tc>
        <w:tc>
          <w:tcPr>
            <w:tcW w:type="dxa" w:w="1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OLA</w:t>
            </w:r>
          </w:p>
        </w:tc>
        <w:tc>
          <w:tcPr>
            <w:tcW w:type="dxa" w:w="2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Execution Mode (Parallel/Sequential)</w:t>
            </w:r>
          </w:p>
        </w:tc>
        <w:tc>
          <w:tcPr>
            <w:tcW w:type="dxa" w:w="24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Contribution to SLA</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Intake &amp; Validate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15m</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Sequential (initial)</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+15m</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Run Due Diligence (VND-DD001)</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5d</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Parallel (with FIN, SEC)</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5d (max of parallel)</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Run Financial Check (VND-FIN001)</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3d</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Parallel</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(included in 5d)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Run Security Clearance (VND-SEC001)</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4d</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Parallel</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(included in 5d)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Run Contract Review (VND-CON001)</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5d</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Sequential after risk gate</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+5d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Register in ERP (VND-REG001)</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1d</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Sequential at end</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+1d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Computed SLA</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≈11d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Stated SLA</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10d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Variance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+1d (justification required)</w:t>
            </w:r>
          </w:p>
        </w:tc>
      </w:tr>
    </w:tbl>
    <w:p>
      <w:pPr>
        <w:spacing w:after="120" w:before="60"/>
      </w:pPr>
      <w:r>
        <w:rPr>
          <w:i/>
          <w:iCs/>
          <w:color w:val="595959"/>
        </w:rPr>
        <w:t xml:space="preserve">If variance &gt; 0, document why the stated SLA is achievable despite the math (e.g., parallelisation, fast-path optimisations) or revise the stated SLA.</w:t>
      </w:r>
    </w:p>
    <w:p>
      <w:pPr>
        <w:pStyle w:val="Heading2"/>
        <w:spacing w:after="120" w:before="240"/>
      </w:pPr>
      <w:r>
        <w:t xml:space="preserve">Section 12 — Audit &amp; Regulatory Drivers [REQUIRED]</w:t>
      </w:r>
    </w:p>
    <w:p>
      <w:pPr>
        <w:spacing w:after="120" w:before="60"/>
      </w:pPr>
      <w:r>
        <w:rPr>
          <w:i/>
          <w:iCs/>
          <w:color w:val="595959"/>
        </w:rPr>
        <w:t xml:space="preserve">Map controls to regulatory drivers. Audit teams trace from regulation to design through this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2300"/>
        <w:gridCol w:w="1760"/>
      </w:tblGrid>
      <w:tr>
        <w:trPr>
          <w:tblHeader/>
        </w:trP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Control / Step</w:t>
            </w:r>
          </w:p>
        </w:tc>
        <w:tc>
          <w:tcPr>
            <w:tcW w:type="dxa" w:w="2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Regulatory Driver</w:t>
            </w:r>
          </w:p>
        </w:tc>
        <w:tc>
          <w:tcPr>
            <w:tcW w:type="dxa" w:w="2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Evidence Required</w:t>
            </w:r>
          </w:p>
        </w:tc>
        <w:tc>
          <w:tcPr>
            <w:tcW w:type="dxa" w:w="1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Retention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Identity verification at intake</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AML, KYC</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Verified ID record</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7 years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Approval logged</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Internal SoD</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Approver attestation</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7 years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bl>
    <w:p>
      <w:pPr>
        <w:pStyle w:val="Heading2"/>
        <w:spacing w:after="120" w:before="240"/>
      </w:pPr>
      <w:r>
        <w:t xml:space="preserve">Section 13 — Service Lifecycle Stage [REQUIRED]</w:t>
      </w:r>
    </w:p>
    <w:p>
      <w:pPr>
        <w:spacing w:after="120" w:before="60"/>
      </w:pPr>
      <w:r>
        <w:rPr>
          <w:i/>
          <w:iCs/>
          <w:color w:val="595959"/>
        </w:rPr>
        <w:t xml:space="preserve">Where this service is in its lifecycle. Drives portfolio prioritisation and governance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Field</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Value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Current Stage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Designing / Implementing / Operating / Optimizing / Deprecating</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Target Go-Live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[Date]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Stable Operation Date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[Date when service expected to reach steady state]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Deprecation Plan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[N/A or planned sunset]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Annual Review Date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[Date]</w:t>
            </w:r>
          </w:p>
        </w:tc>
      </w:tr>
    </w:tbl>
    <w:p>
      <w:r>
        <w:br w:type="page"/>
      </w:r>
    </w:p>
    <w:p>
      <w:pPr>
        <w:pStyle w:val="Heading1"/>
        <w:spacing w:after="120" w:before="240"/>
      </w:pPr>
      <w:r>
        <w:t xml:space="preserve">Stage 2 — Task Model &amp; Workflow</w:t>
      </w:r>
    </w:p>
    <w:p>
      <w:pPr>
        <w:pStyle w:val="Heading2"/>
        <w:spacing w:after="120" w:before="240"/>
      </w:pPr>
      <w:r>
        <w:t xml:space="preserve">Section 14 — Module Register [REQUIRED]</w:t>
      </w:r>
    </w:p>
    <w:p>
      <w:pPr>
        <w:spacing w:after="120" w:before="60"/>
      </w:pPr>
      <w:r>
        <w:rPr>
          <w:i/>
          <w:iCs/>
          <w:color w:val="595959"/>
        </w:rPr>
        <w:t xml:space="preserve">Modules group related tasks. Each module is checked against the Standard Subflow Library — column 'Aligned Subflow' shows the match (or 'New' if no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100"/>
        <w:gridCol w:w="1100"/>
        <w:gridCol w:w="1400"/>
        <w:gridCol w:w="1100"/>
        <w:gridCol w:w="900"/>
        <w:gridCol w:w="1160"/>
      </w:tblGrid>
      <w:tr>
        <w:trPr>
          <w:tblHeader/>
        </w:trPr>
        <w:tc>
          <w:tcPr>
            <w:tcW w:type="dxa" w:w="11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Module ID</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Module Name</w:t>
            </w:r>
          </w:p>
        </w:tc>
        <w:tc>
          <w:tcPr>
            <w:tcW w:type="dxa" w:w="11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Category</w:t>
            </w:r>
          </w:p>
        </w:tc>
        <w:tc>
          <w:tcPr>
            <w:tcW w:type="dxa" w:w="11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Core/Elective</w:t>
            </w:r>
          </w:p>
        </w:tc>
        <w:tc>
          <w:tcPr>
            <w:tcW w:type="dxa" w:w="1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Aligned Subflow</w:t>
            </w:r>
          </w:p>
        </w:tc>
        <w:tc>
          <w:tcPr>
            <w:tcW w:type="dxa" w:w="11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Subflow Maturity</w:t>
            </w:r>
          </w:p>
        </w:tc>
        <w:tc>
          <w:tcPr>
            <w:tcW w:type="dxa" w:w="9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Module OLA</w:t>
            </w:r>
          </w:p>
        </w:tc>
        <w:tc>
          <w:tcPr>
            <w:tcW w:type="dxa" w:w="11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Digitization Target</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M-INT-01</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Intake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Discovery</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Core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INT-Standard</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Ratified</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15m</w:t>
            </w:r>
          </w:p>
        </w:tc>
        <w:tc>
          <w:tcPr>
            <w:tcW w:type="dxa" w:w="1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Automated</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M-EXE-01</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Risk Screening</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Execute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Core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EXE-Screening-v2</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Provisional</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5d</w:t>
            </w:r>
          </w:p>
        </w:tc>
        <w:tc>
          <w:tcPr>
            <w:tcW w:type="dxa" w:w="1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Assisted</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bl>
    <w:p>
      <w:pPr>
        <w:pStyle w:val="Heading2"/>
        <w:spacing w:after="120" w:before="240"/>
      </w:pPr>
      <w:r>
        <w:t xml:space="preserve">Section 15 — Task Register [REQUIRED]</w:t>
      </w:r>
    </w:p>
    <w:p>
      <w:pPr>
        <w:spacing w:after="120" w:before="60"/>
      </w:pPr>
      <w:r>
        <w:rPr>
          <w:i/>
          <w:iCs/>
          <w:color w:val="595959"/>
        </w:rPr>
        <w:t xml:space="preserve">One row per business task. Full detail. This is the operational specification of the service.</w:t>
      </w:r>
    </w:p>
    <w:p>
      <w:pPr>
        <w:spacing w:after="120" w:before="60"/>
      </w:pPr>
      <w:r>
        <w:rPr>
          <w:i/>
          <w:iCs/>
          <w:color w:val="595959"/>
        </w:rPr>
        <w:t xml:space="preserve">Note: this template shows a vertical layout for readability. In practice, the Task Register may be exported to Excel for tabular review (it renders to .xlsx from this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Field</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Value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Task ID</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[BT-001]</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Task Name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[Verb + Object]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Module ID</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[M-INT-01]</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Task Type Code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[BT-INT]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Purpose / Outcome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[What this task achieves]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Trigger</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[What initiates this task]</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Inputs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[Data/docs needed]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Outputs / Evidence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[What this task produces]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Primary Role (R)</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[Who does the work]</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Approver Role (A)</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[Who approves, if applicable]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Business Rules / Decision Logic</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[High-level]</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OLA (full form)</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[2 Hours, 10 Business Days, etc.]</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OLA (compact for diagram)</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[2h, 10d]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SLA Clock Impact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Start / Stop / None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Capacity Assumption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[Volume baseline this OLA assumes]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Digitization Mode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Manual / Assisted / Automated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Automation Candidate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[Yes / No, prerequisites if Yes]</w:t>
            </w:r>
          </w:p>
        </w:tc>
      </w:tr>
    </w:tbl>
    <w:p>
      <w:pPr>
        <w:spacing w:after="120" w:before="60"/>
      </w:pPr>
      <w:r>
        <w:rPr>
          <w:i/>
          <w:iCs/>
          <w:color w:val="595959"/>
        </w:rPr>
        <w:t xml:space="preserve">Repeat the table above for each task. The Workflow CSV (Section 20) renders one shape per task.</w:t>
      </w:r>
    </w:p>
    <w:p>
      <w:pPr>
        <w:pStyle w:val="Heading2"/>
        <w:spacing w:after="120" w:before="240"/>
      </w:pPr>
      <w:r>
        <w:t xml:space="preserve">Section 16 — Loop Governance [CONDITIONAL: each loop in workflow]</w:t>
      </w:r>
    </w:p>
    <w:p>
      <w:pPr>
        <w:spacing w:after="120" w:before="60"/>
      </w:pPr>
      <w:r>
        <w:rPr>
          <w:i/>
          <w:iCs/>
          <w:color w:val="595959"/>
        </w:rPr>
        <w:t xml:space="preserve">Every loop in the workflow needs governed entry. No loop ships ungoverned.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300"/>
        <w:gridCol w:w="800"/>
        <w:gridCol w:w="800"/>
        <w:gridCol w:w="1700"/>
        <w:gridCol w:w="1300"/>
        <w:gridCol w:w="1460"/>
      </w:tblGrid>
      <w:tr>
        <w:trPr>
          <w:tblHeader/>
        </w:trPr>
        <w:tc>
          <w:tcPr>
            <w:tcW w:type="dxa" w:w="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Loop ID</w:t>
            </w:r>
          </w:p>
        </w:tc>
        <w:tc>
          <w:tcPr>
            <w:tcW w:type="dxa" w:w="1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Loop Type</w:t>
            </w:r>
          </w:p>
        </w:tc>
        <w:tc>
          <w:tcPr>
            <w:tcW w:type="dxa" w:w="1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Re-entry Task ID</w:t>
            </w:r>
          </w:p>
        </w:tc>
        <w:tc>
          <w:tcPr>
            <w:tcW w:type="dxa" w:w="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Max Cycles</w:t>
            </w:r>
          </w:p>
        </w:tc>
        <w:tc>
          <w:tcPr>
            <w:tcW w:type="dxa" w:w="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Timeout</w:t>
            </w:r>
          </w:p>
        </w:tc>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Escalation Path</w:t>
            </w:r>
          </w:p>
        </w:tc>
        <w:tc>
          <w:tcPr>
            <w:tcW w:type="dxa" w:w="1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Clock Policy</w:t>
            </w:r>
          </w:p>
        </w:tc>
        <w:tc>
          <w:tcPr>
            <w:tcW w:type="dxa" w:w="14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Reason Codes</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L-01</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Resubmission</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BT-005</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48h</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Escalate to BT-020</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Stop during wait</w:t>
            </w:r>
          </w:p>
        </w:tc>
        <w:tc>
          <w:tcPr>
            <w:tcW w:type="dxa" w:w="1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[List]</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L-02</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Rework</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BT-012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5d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Reject + close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Continue</w:t>
            </w:r>
          </w:p>
        </w:tc>
        <w:tc>
          <w:tcPr>
            <w:tcW w:type="dxa" w:w="1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[List]</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bl>
    <w:p>
      <w:pPr>
        <w:pStyle w:val="Heading2"/>
        <w:spacing w:after="120" w:before="240"/>
      </w:pPr>
      <w:r>
        <w:t xml:space="preserve">Section 17 — Exception Pathway Audit [REQUIRED]</w:t>
      </w:r>
    </w:p>
    <w:p>
      <w:pPr>
        <w:spacing w:after="120" w:before="60"/>
      </w:pPr>
      <w:r>
        <w:rPr>
          <w:i/>
          <w:iCs/>
          <w:color w:val="595959"/>
        </w:rPr>
        <w:t xml:space="preserve">Every task must declare its exception path or explicitly state 'no exception path'. Catches missing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500"/>
        <w:gridCol w:w="1660"/>
      </w:tblGrid>
      <w:tr>
        <w:trPr>
          <w:tblHeader/>
        </w:trPr>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Task ID</w:t>
            </w:r>
          </w:p>
        </w:tc>
        <w:tc>
          <w:tcPr>
            <w:tcW w:type="dxa" w:w="2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Exception Trigger</w:t>
            </w:r>
          </w:p>
        </w:tc>
        <w:tc>
          <w:tcPr>
            <w:tcW w:type="dxa" w:w="3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Exception Path</w:t>
            </w:r>
          </w:p>
        </w:tc>
        <w:tc>
          <w:tcPr>
            <w:tcW w:type="dxa" w:w="16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Documented?</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BT-001</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Schema validation fails</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Reject and notify</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Yes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BT-005</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External system down</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Retry 3x then escalate</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Yes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BT-010</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[N/A]</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No exception path needed (rationale)</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Yes — no exception</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bl>
    <w:p>
      <w:pPr>
        <w:pStyle w:val="Heading2"/>
        <w:spacing w:after="120" w:before="240"/>
      </w:pPr>
      <w:r>
        <w:t xml:space="preserve">Section 18 — Capacity Assumptions [REQUIRED]</w:t>
      </w:r>
    </w:p>
    <w:p>
      <w:pPr>
        <w:spacing w:after="120" w:before="60"/>
      </w:pPr>
      <w:r>
        <w:rPr>
          <w:i/>
          <w:iCs/>
          <w:color w:val="595959"/>
        </w:rPr>
        <w:t xml:space="preserve">Every OLA's underlying volume / capacity assumption. Documented to prevent OLAs that fail under load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2500"/>
        <w:gridCol w:w="3560"/>
      </w:tblGrid>
      <w:tr>
        <w:trPr>
          <w:tblHeader/>
        </w:trPr>
        <w:tc>
          <w:tcPr>
            <w:tcW w:type="dxa" w:w="2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Task / Module</w:t>
            </w:r>
          </w:p>
        </w:tc>
        <w:tc>
          <w:tcPr>
            <w:tcW w:type="dxa" w:w="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OLA</w:t>
            </w:r>
          </w:p>
        </w:tc>
        <w:tc>
          <w:tcPr>
            <w:tcW w:type="dxa" w:w="2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Capacity Baseline</w:t>
            </w:r>
          </w:p>
        </w:tc>
        <w:tc>
          <w:tcPr>
            <w:tcW w:type="dxa" w:w="35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Behaviour Above Baseline</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Initial Assessment (BT-005)</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4h</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≤200/day per analyst</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Queue elongates; SLA risk above 1.5x baseline</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Auto-validate (BT-002)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15m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Up to 1000/day</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Linear; no degradation up to 5000/day</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bl>
    <w:p>
      <w:pPr>
        <w:pStyle w:val="Heading2"/>
        <w:spacing w:after="120" w:before="240"/>
      </w:pPr>
      <w:r>
        <w:t xml:space="preserve">Section 19 — Severity-Tier Reconciliation [CONDITIONAL: tiered services]</w:t>
      </w:r>
    </w:p>
    <w:p>
      <w:pPr>
        <w:spacing w:after="120" w:before="60"/>
      </w:pPr>
      <w:r>
        <w:rPr>
          <w:i/>
          <w:iCs/>
          <w:color w:val="595959"/>
        </w:rPr>
        <w:t xml:space="preserve">For services with severity tiers (Critical/High/Medium/Low or similar), each tier's OLA cascade must reconcile to its SLA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400"/>
        <w:gridCol w:w="1300"/>
        <w:gridCol w:w="2460"/>
      </w:tblGrid>
      <w:tr>
        <w:trPr>
          <w:tblHeader/>
        </w:trPr>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Variant / Tier</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Stated SLA</w:t>
            </w:r>
          </w:p>
        </w:tc>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Computed SLA (sum of OLAs)</w:t>
            </w:r>
          </w:p>
        </w:tc>
        <w:tc>
          <w:tcPr>
            <w:tcW w:type="dxa" w:w="1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Variance</w:t>
            </w:r>
          </w:p>
        </w:tc>
        <w:tc>
          <w:tcPr>
            <w:tcW w:type="dxa" w:w="24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Justification</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Critical</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24h</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24h</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0</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Aligned</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High</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48h</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52h</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+4h</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Acceptable; parallelisation reduces actual</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Medium</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72h</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72h</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0</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Aligned</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bl>
    <w:p>
      <w:pPr>
        <w:pStyle w:val="Heading2"/>
        <w:spacing w:after="120" w:before="240"/>
      </w:pPr>
      <w:r>
        <w:t xml:space="preserve">Section 20 — Workflow Diagram [REQUIRED]</w:t>
      </w:r>
    </w:p>
    <w:p>
      <w:pPr>
        <w:spacing w:after="120" w:before="60"/>
      </w:pPr>
      <w:r>
        <w:rPr>
          <w:i/>
          <w:iCs/>
          <w:color w:val="595959"/>
        </w:rPr>
        <w:t xml:space="preserve">The Lucidchart-compatible CSV is rendered from the Module + Task Registers above. Reference the CSV file here; do not embed CSV rows in the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Field</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Value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Workflow CSV File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[ServiceID]_Workflow.csv</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Diagram Quality Checklist Status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All 12 rules PASS / Issues: [list]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Lane Order</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Reporter / System / Front-line / Approver / Specialist / Governance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Total Shapes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Total Lines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Diagram Width (columns)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[N — target ≤20]</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Multi-page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Yes / No (orchestrators only)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Imports cleanly to Lucidchart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Yes / No</w:t>
            </w:r>
          </w:p>
        </w:tc>
      </w:tr>
    </w:tbl>
    <w:p>
      <w:pPr>
        <w:pStyle w:val="Heading2"/>
        <w:spacing w:after="120" w:before="240"/>
      </w:pPr>
      <w:r>
        <w:t xml:space="preserve">Section 21 — Subflow Alignment Summary [REQUIRED]</w:t>
      </w:r>
    </w:p>
    <w:p>
      <w:pPr>
        <w:spacing w:after="120" w:before="60"/>
      </w:pPr>
      <w:r>
        <w:rPr>
          <w:i/>
          <w:iCs/>
          <w:color w:val="595959"/>
        </w:rPr>
        <w:t xml:space="preserve">Per-module alignment to the Standard Subflow Library. WCP annotations document control-flow primitives. Replaces the v2.5 separate Stage 2.5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700"/>
        <w:gridCol w:w="1700"/>
        <w:gridCol w:w="2260"/>
      </w:tblGrid>
      <w:tr>
        <w:trPr>
          <w:tblHeader/>
        </w:trPr>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Module ID</w:t>
            </w:r>
          </w:p>
        </w:tc>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Aligned Pattern</w:t>
            </w:r>
          </w:p>
        </w:tc>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Pattern Maturity</w:t>
            </w:r>
          </w:p>
        </w:tc>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WCP Codes</w:t>
            </w:r>
          </w:p>
        </w:tc>
        <w:tc>
          <w:tcPr>
            <w:tcW w:type="dxa" w:w="22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Deviation Notes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M-INT-01</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INT-Standard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Ratified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WCP-1, WCP-2</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None</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M-EXE-01</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EXE-Screening-v2</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Provisional</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WCP-1, WCP-3, WCP-12</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Added beneficial-owner check (proposed library extension)</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bl>
    <w:p>
      <w:pPr>
        <w:pStyle w:val="Heading2"/>
        <w:spacing w:after="120" w:before="240"/>
      </w:pPr>
      <w:r>
        <w:t xml:space="preserve">Section 22 — Pattern Drift Notes [CONDITIONAL]</w:t>
      </w:r>
    </w:p>
    <w:p>
      <w:pPr>
        <w:spacing w:after="120" w:before="60"/>
      </w:pPr>
      <w:r>
        <w:rPr>
          <w:i/>
          <w:iCs/>
          <w:color w:val="595959"/>
        </w:rPr>
        <w:t xml:space="preserve">If any module deviates from a Ratified subflow pattern, document why. Drift signals candidate library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000"/>
        <w:gridCol w:w="2400"/>
        <w:gridCol w:w="1360"/>
      </w:tblGrid>
      <w:tr>
        <w:trPr>
          <w:tblHeader/>
        </w:trPr>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Module</w:t>
            </w:r>
          </w:p>
        </w:tc>
        <w:tc>
          <w:tcPr>
            <w:tcW w:type="dxa" w:w="19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Standard Pattern</w:t>
            </w:r>
          </w:p>
        </w:tc>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Deviation</w:t>
            </w:r>
          </w:p>
        </w:tc>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Justification</w:t>
            </w:r>
          </w:p>
        </w:tc>
        <w:tc>
          <w:tcPr>
            <w:tcW w:type="dxa" w:w="1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Library Update Proposed?</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bl>
    <w:p>
      <w:r>
        <w:br w:type="page"/>
      </w:r>
    </w:p>
    <w:p>
      <w:pPr>
        <w:pStyle w:val="Heading1"/>
        <w:spacing w:after="120" w:before="240"/>
      </w:pPr>
      <w:r>
        <w:t xml:space="preserve">Stage 3 — Build-Ready Requirements</w:t>
      </w:r>
    </w:p>
    <w:p>
      <w:pPr>
        <w:pStyle w:val="Heading2"/>
        <w:spacing w:after="120" w:before="240"/>
      </w:pPr>
      <w:r>
        <w:t xml:space="preserve">Section 23 — Build-Ready Handoff [REQUIRED]</w:t>
      </w:r>
    </w:p>
    <w:p>
      <w:pPr>
        <w:spacing w:after="120" w:before="60"/>
      </w:pPr>
      <w:r>
        <w:rPr>
          <w:i/>
          <w:iCs/>
          <w:color w:val="595959"/>
        </w:rPr>
        <w:t xml:space="preserve">What the build team needs to know. Reduces back-and-forth at implementation. This section replaces most of the v2.5 BRD content.</w:t>
      </w:r>
    </w:p>
    <w:p>
      <w:pPr>
        <w:pStyle w:val="Heading3"/>
        <w:spacing w:after="120" w:before="240"/>
      </w:pPr>
      <w:r>
        <w:t xml:space="preserve">23.1 Data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000"/>
        <w:gridCol w:w="2660"/>
      </w:tblGrid>
      <w:tr>
        <w:trPr>
          <w:tblHeader/>
        </w:trP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Contract Name</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Direction</w:t>
            </w:r>
          </w:p>
        </w:tc>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Schema Reference</w:t>
            </w:r>
          </w:p>
        </w:tc>
        <w:tc>
          <w:tcPr>
            <w:tcW w:type="dxa" w:w="26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Notes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VendorRequestPayload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Inbound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[Schema URI or attachment]</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Mandatory fields: [list]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bl>
    <w:p>
      <w:pPr>
        <w:pStyle w:val="Heading3"/>
        <w:spacing w:after="120" w:before="240"/>
      </w:pPr>
      <w:r>
        <w:t xml:space="preserve">23.2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660"/>
      </w:tblGrid>
      <w:tr>
        <w:trPr>
          <w:tblHeader/>
        </w:trP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External System</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Direction</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Protocol</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Frequency</w:t>
            </w:r>
          </w:p>
        </w:tc>
        <w:tc>
          <w:tcPr>
            <w:tcW w:type="dxa" w:w="26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Auth</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[Credit Bureau API]</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Outbound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REST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Per-request</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OAuth2</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bl>
    <w:p>
      <w:pPr>
        <w:pStyle w:val="Heading3"/>
        <w:spacing w:after="120" w:before="240"/>
      </w:pPr>
      <w:r>
        <w:t xml:space="preserve">23.3 Automation Candidates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2860"/>
      </w:tblGrid>
      <w:tr>
        <w:trPr>
          <w:tblHeader/>
        </w:trPr>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Task ID</w:t>
            </w:r>
          </w:p>
        </w:tc>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Automation Mode</w:t>
            </w:r>
          </w:p>
        </w:tc>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Build Approach</w:t>
            </w:r>
          </w:p>
        </w:tc>
        <w:tc>
          <w:tcPr>
            <w:tcW w:type="dxa" w:w="28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Prerequisites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BT-002</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Automated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Job worker</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Schema published; auth configured</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bl>
    <w:p>
      <w:pPr>
        <w:pStyle w:val="Heading2"/>
        <w:spacing w:after="120" w:before="240"/>
      </w:pPr>
      <w:r>
        <w:t xml:space="preserve">Section 24 — KPI Inheritance [REQUIRED]</w:t>
      </w:r>
    </w:p>
    <w:p>
      <w:pPr>
        <w:spacing w:after="120" w:before="60"/>
      </w:pPr>
      <w:r>
        <w:rPr>
          <w:i/>
          <w:iCs/>
          <w:color w:val="595959"/>
        </w:rPr>
        <w:t xml:space="preserve">KPIs of this service map to parent (composite) KPIs and child (capability) KPIs. Enables coherent platform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rPr>
          <w:tblHeader/>
        </w:trP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KPI Name</w:t>
            </w:r>
          </w:p>
        </w:tc>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Definition</w:t>
            </w:r>
          </w:p>
        </w:tc>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Source Tasks</w:t>
            </w:r>
          </w:p>
        </w:tc>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Parent KPI (if any)</w:t>
            </w:r>
          </w:p>
        </w:tc>
        <w:tc>
          <w:tcPr>
            <w:tcW w:type="dxa" w:w="20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Child KPI (if any)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Time to Acknowledge (KPI-1)</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Submit to M1 sent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BT-001 → BT-003</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(Composite KPI-1)</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First-Pass Approval Rate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approved without rework</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BT-010</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bl>
    <w:p>
      <w:pPr>
        <w:pStyle w:val="Heading2"/>
        <w:spacing w:after="120" w:before="240"/>
      </w:pPr>
      <w:r>
        <w:t xml:space="preserve">Section 25 — Operating Model [REQUIRED]</w:t>
      </w:r>
    </w:p>
    <w:p>
      <w:pPr>
        <w:spacing w:after="120" w:before="60"/>
      </w:pPr>
      <w:r>
        <w:rPr>
          <w:i/>
          <w:iCs/>
          <w:color w:val="595959"/>
        </w:rPr>
        <w:t xml:space="preserve">RACI, governance cadence, escalation. Operational truth for ongoing service management.</w:t>
      </w:r>
    </w:p>
    <w:p>
      <w:pPr>
        <w:pStyle w:val="Heading3"/>
        <w:spacing w:after="120" w:before="240"/>
      </w:pPr>
      <w:r>
        <w:t xml:space="preserve">25.1 RACI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900"/>
        <w:gridCol w:w="1500"/>
        <w:gridCol w:w="1760"/>
      </w:tblGrid>
      <w:tr>
        <w:trPr>
          <w:tblHeader/>
        </w:trPr>
        <w:tc>
          <w:tcPr>
            <w:tcW w:type="dxa" w:w="2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Activity</w:t>
            </w:r>
          </w:p>
        </w:tc>
        <w:tc>
          <w:tcPr>
            <w:tcW w:type="dxa" w:w="19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Responsible</w:t>
            </w:r>
          </w:p>
        </w:tc>
        <w:tc>
          <w:tcPr>
            <w:tcW w:type="dxa" w:w="19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Accountable</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Consulted</w:t>
            </w:r>
          </w:p>
        </w:tc>
        <w:tc>
          <w:tcPr>
            <w:tcW w:type="dxa" w:w="1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Informed</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Submit request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Procurement Officer</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Procurement Manager</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Service Owner</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Risk gate decision</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Procurement Manager</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Procurement Director</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Risk &amp; Legal</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Service Owner</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bl>
    <w:p>
      <w:pPr>
        <w:pStyle w:val="Heading3"/>
        <w:spacing w:after="120" w:before="240"/>
      </w:pPr>
      <w:r>
        <w:t xml:space="preserve">25.2 Governance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860"/>
      </w:tblGrid>
      <w:tr>
        <w:trPr>
          <w:tblHeader/>
        </w:trPr>
        <w:tc>
          <w:tcPr>
            <w:tcW w:type="dxa" w:w="2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Forum</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Frequency</w:t>
            </w:r>
          </w:p>
        </w:tc>
        <w:tc>
          <w:tcPr>
            <w:tcW w:type="dxa" w:w="2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Attendees</w:t>
            </w:r>
          </w:p>
        </w:tc>
        <w:tc>
          <w:tcPr>
            <w:tcW w:type="dxa" w:w="28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Purpose</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Service Operations Review</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Weekly</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Service Owner, Operations Lead</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Volume, breaches, exceptions</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Service Design Review</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Quarterly</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Service Owner + Designers</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Design changes, KPI trends</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bl>
    <w:p>
      <w:pPr>
        <w:pStyle w:val="Heading2"/>
        <w:spacing w:after="120" w:before="240"/>
      </w:pPr>
      <w:r>
        <w:t xml:space="preserve">Section 26 — Acceptance Criteria &amp; Test Approach [REQUIRED]</w:t>
      </w:r>
    </w:p>
    <w:p>
      <w:pPr>
        <w:spacing w:after="120" w:before="60"/>
      </w:pPr>
      <w:r>
        <w:rPr>
          <w:i/>
          <w:iCs/>
          <w:color w:val="595959"/>
        </w:rPr>
        <w:t xml:space="preserve">How the build team and business will know the service is ready to operate.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Acceptance Criterion</w:t>
            </w:r>
          </w:p>
        </w:tc>
        <w:tc>
          <w:tcPr>
            <w:tcW w:type="dxa" w:w="3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Test Approach</w:t>
            </w:r>
          </w:p>
        </w:tc>
        <w:tc>
          <w:tcPr>
            <w:tcW w:type="dxa" w:w="2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Pass Threshold</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Service handles peak day volume</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Load test at 2x average</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No SLA breach at peak</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All loops respect max cycles</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Boundary test</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Loops terminate at cap with correct escalation</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bl>
    <w:p>
      <w:pPr>
        <w:pStyle w:val="Heading2"/>
        <w:spacing w:after="120" w:before="240"/>
      </w:pPr>
      <w:r>
        <w:t xml:space="preserve">Section 27 — Risks &amp; Open Questions [REQUIRED]</w:t>
      </w:r>
    </w:p>
    <w:p>
      <w:pPr>
        <w:spacing w:after="120" w:before="60"/>
      </w:pPr>
      <w:r>
        <w:rPr>
          <w:i/>
          <w:iCs/>
          <w:color w:val="595959"/>
        </w:rPr>
        <w:t xml:space="preserve">Outstanding items at sign-off. Residual risks, known unknowns, parking 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700"/>
        <w:gridCol w:w="1700"/>
        <w:gridCol w:w="1760"/>
      </w:tblGrid>
      <w:tr>
        <w:trPr>
          <w:tblHeader/>
        </w:trP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Item</w:t>
            </w:r>
          </w:p>
        </w:tc>
        <w:tc>
          <w:tcPr>
            <w:tcW w:type="dxa" w:w="1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Type</w:t>
            </w:r>
          </w:p>
        </w:tc>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Owner</w:t>
            </w:r>
          </w:p>
        </w:tc>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Resolution Date</w:t>
            </w:r>
          </w:p>
        </w:tc>
        <w:tc>
          <w:tcPr>
            <w:tcW w:type="dxa" w:w="1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Notes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Capacity assumption for peak season unverified</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Risk</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Service Owner</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Q2</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Plan a load test at peak</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bl>
    <w:p>
      <w:r>
        <w:br w:type="page"/>
      </w:r>
    </w:p>
    <w:p>
      <w:pPr>
        <w:pStyle w:val="Heading1"/>
        <w:spacing w:after="120" w:before="240"/>
      </w:pPr>
      <w:r>
        <w:t xml:space="preserve">Family-Level Sections (Conditional)</w:t>
      </w:r>
    </w:p>
    <w:p>
      <w:pPr>
        <w:spacing w:after="120" w:before="60"/>
      </w:pPr>
      <w:r>
        <w:rPr>
          <w:i/>
          <w:iCs/>
          <w:color w:val="595959"/>
        </w:rPr>
        <w:t xml:space="preserve">These sections apply only when this service is part of a Service Family (i.e., is itself an orchestrator/composite, OR is a capability called by one or more orchestrators/composites).</w:t>
      </w:r>
    </w:p>
    <w:p>
      <w:pPr>
        <w:pStyle w:val="Heading2"/>
        <w:spacing w:after="120" w:before="240"/>
      </w:pPr>
      <w:r>
        <w:t xml:space="preserve">Section 28 — Service Family Index [CONDITIONAL]</w:t>
      </w:r>
    </w:p>
    <w:p>
      <w:pPr>
        <w:spacing w:after="120" w:before="60"/>
      </w:pPr>
      <w:r>
        <w:rPr>
          <w:i/>
          <w:iCs/>
          <w:color w:val="595959"/>
        </w:rPr>
        <w:t xml:space="preserve">Documents the family this service belongs to. Each family has one orchestrator/composite + N capabilities.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2200"/>
        <w:gridCol w:w="1300"/>
        <w:gridCol w:w="900"/>
        <w:gridCol w:w="960"/>
      </w:tblGrid>
      <w:tr>
        <w:trPr>
          <w:tblHeader/>
        </w:trPr>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Service ID</w:t>
            </w:r>
          </w:p>
        </w:tc>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Service Name</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Archetype</w:t>
            </w:r>
          </w:p>
        </w:tc>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Calls</w:t>
            </w:r>
          </w:p>
        </w:tc>
        <w:tc>
          <w:tcPr>
            <w:tcW w:type="dxa" w:w="1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Called By</w:t>
            </w:r>
          </w:p>
        </w:tc>
        <w:tc>
          <w:tcPr>
            <w:tcW w:type="dxa" w:w="9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SLA Target</w:t>
            </w:r>
          </w:p>
        </w:tc>
        <w:tc>
          <w:tcPr>
            <w:tcW w:type="dxa" w:w="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Manifest Reference</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VND-ONB001</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Vendor Onboarding Pkg</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Composite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VND-DD001, VND-FIN001, VND-SEC001, VND-CON001, VND-REG001</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10d</w:t>
            </w:r>
          </w:p>
        </w:tc>
        <w:tc>
          <w:tcPr>
            <w:tcW w:type="dxa" w:w="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VND-ONB001_Manifest.docx</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VND-DD001</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Vendor Due Diligence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Capability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VND-ONB001</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5d</w:t>
            </w:r>
          </w:p>
        </w:tc>
        <w:tc>
          <w:tcPr>
            <w:tcW w:type="dxa" w:w="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VND-DD001_Manifest.docx</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bl>
    <w:p>
      <w:pPr>
        <w:pStyle w:val="Heading2"/>
        <w:spacing w:after="120" w:before="240"/>
      </w:pPr>
      <w:r>
        <w:t xml:space="preserve">Section 29 — Service Dependency Manifest [CONDITIONAL]</w:t>
      </w:r>
    </w:p>
    <w:p>
      <w:pPr>
        <w:spacing w:after="120" w:before="60"/>
      </w:pPr>
      <w:r>
        <w:rPr>
          <w:i/>
          <w:iCs/>
          <w:color w:val="595959"/>
        </w:rPr>
        <w:t xml:space="preserve">Edge list documenting calls relationships. Drives change impact analysis: 'if I change VND-DD001, what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Caller</w:t>
            </w:r>
          </w:p>
        </w:tc>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Called</w:t>
            </w:r>
          </w:p>
        </w:tc>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Cascade Pattern</w:t>
            </w:r>
          </w:p>
        </w:tc>
        <w:tc>
          <w:tcPr>
            <w:tcW w:type="dxa" w:w="2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60" w:before="60"/>
            </w:pPr>
            <w:r>
              <w:t xml:space="preserve">Impact if Called Service Changes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VND-ONB001</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VND-DD001</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Parallel</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Composite SLA likely impacted; verify SLA cascade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VND-ONB001</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VND-FIN001</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Parallel</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Composite SLA likely impacted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60" w:before="60"/>
            </w:pPr>
            <w:r>
              <w:t xml:space="preserve"/>
            </w:r>
          </w:p>
        </w:tc>
      </w:tr>
    </w:tbl>
    <w:p>
      <w:r>
        <w:br w:type="page"/>
      </w:r>
    </w:p>
    <w:p>
      <w:pPr>
        <w:pStyle w:val="Heading1"/>
        <w:spacing w:after="120" w:before="240"/>
      </w:pPr>
      <w:r>
        <w:t xml:space="preserve">Appendices</w:t>
      </w:r>
    </w:p>
    <w:p>
      <w:pPr>
        <w:pStyle w:val="Heading2"/>
        <w:spacing w:after="120" w:before="240"/>
      </w:pPr>
      <w:r>
        <w:t xml:space="preserve">Appendix A — Decomposition Decision Log</w:t>
      </w:r>
    </w:p>
    <w:p>
      <w:pPr>
        <w:spacing w:after="120" w:before="60"/>
      </w:pPr>
      <w:r>
        <w:rPr>
          <w:i/>
          <w:iCs/>
          <w:color w:val="595959"/>
        </w:rPr>
        <w:t xml:space="preserve">Running history. Append-only.</w:t>
      </w:r>
    </w:p>
    <w:p>
      <w:pPr>
        <w:pStyle w:val="Heading2"/>
        <w:spacing w:after="120" w:before="240"/>
      </w:pPr>
      <w:r>
        <w:t xml:space="preserve">Appendix B — Capacity Scenarios</w:t>
      </w:r>
    </w:p>
    <w:p>
      <w:pPr>
        <w:spacing w:after="120" w:before="60"/>
      </w:pPr>
      <w:r>
        <w:rPr>
          <w:i/>
          <w:iCs/>
          <w:color w:val="595959"/>
        </w:rPr>
        <w:t xml:space="preserve">Stress scenarios beyond the baseline capacity in Section 18.</w:t>
      </w:r>
    </w:p>
    <w:p>
      <w:pPr>
        <w:pStyle w:val="Heading2"/>
        <w:spacing w:after="120" w:before="240"/>
      </w:pPr>
      <w:r>
        <w:t xml:space="preserve">Appendix C — Regulatory Mapping Detail</w:t>
      </w:r>
    </w:p>
    <w:p>
      <w:pPr>
        <w:spacing w:after="120" w:before="60"/>
      </w:pPr>
      <w:r>
        <w:rPr>
          <w:i/>
          <w:iCs/>
          <w:color w:val="595959"/>
        </w:rPr>
        <w:t xml:space="preserve">Detailed regulatory citations referenced in Section 12.</w:t>
      </w:r>
    </w:p>
    <w:p>
      <w:pPr>
        <w:pStyle w:val="Heading2"/>
        <w:spacing w:after="120" w:before="240"/>
      </w:pPr>
      <w:r>
        <w:t xml:space="preserve">Appendix D — Change Log</w:t>
      </w:r>
    </w:p>
    <w:p>
      <w:pPr>
        <w:spacing w:after="120" w:before="60"/>
      </w:pPr>
      <w:r>
        <w:rPr>
          <w:i/>
          <w:iCs/>
          <w:color w:val="595959"/>
        </w:rPr>
        <w:t xml:space="preserve">Manifest version history.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Manifest Template</dc:title>
  <dc:creator>Service Design Framework v2.6</dc:creator>
  <dc:description>Single source of truth for service design</dc:description>
  <cp:lastModifiedBy>Un-named</cp:lastModifiedBy>
  <cp:revision>1</cp:revision>
  <dcterms:created xsi:type="dcterms:W3CDTF">2026-05-05T21:25:01.317Z</dcterms:created>
  <dcterms:modified xsi:type="dcterms:W3CDTF">2026-05-05T21:25:01.317Z</dcterms:modified>
</cp:coreProperties>
</file>

<file path=docProps/custom.xml><?xml version="1.0" encoding="utf-8"?>
<Properties xmlns="http://schemas.openxmlformats.org/officeDocument/2006/custom-properties" xmlns:vt="http://schemas.openxmlformats.org/officeDocument/2006/docPropsVTypes"/>
</file>