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27.png" ContentType="image/png"/>
  <Override PartName="/word/media/rId39.png" ContentType="image/png"/>
  <Override PartName="/word/media/rId44.png" ContentType="image/png"/>
  <Override PartName="/word/media/rId21.jpg" ContentType="image/jpeg"/>
  <Override PartName="/word/media/rId52.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 had</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reduced staff capacity, passengers who pre-boarded had access to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w:t>
      </w:r>
      <w:r>
        <w:t xml:space="preserve"> </w:t>
      </w:r>
      <w:r>
        <w:rPr>
          <w:b/>
          <w:bCs/>
        </w:rPr>
        <w:t xml:space="preserve">S. S. Rainbow Cake</w:t>
      </w:r>
      <w:r>
        <w:t xml:space="preserve"> </w:t>
      </w:r>
      <w:r>
        <w:t xml:space="preserve">galley,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available on the evening of February 9th, you ask for a list of menu items,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334000" cy="7085118"/>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334000" cy="7085118"/>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BHETM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
                <w:bCs/>
              </w:rPr>
              <w:t xml:space="preserve">S. S. Rainbow Cake</w:t>
            </w:r>
            <w:r>
              <w:t xml:space="preserve">, have a read through the following resources, and reflect on the menu posted above. Do any food items stand out as likely culprits based on what you’ve read about previously implicated sources of outbreaks? What pathogen are you the most suspicious about?</w:t>
            </w:r>
          </w:p>
          <w:p>
            <w:pPr>
              <w:pStyle w:val="BodyText"/>
            </w:pPr>
            <w:r>
              <w:t xml:space="preserve">If you have experience with cruise ship outbreaks, we encourage you to post on the course discussion boards and share your thoughts and opinions with your classmates. Conversely, if you have questions about cruise ship outbreaks, try asking on the discussion board to leverage the experience within the virtual classroom.</w:t>
            </w:r>
          </w:p>
          <w:p>
            <w:pPr>
              <w:pStyle w:val="BodyText"/>
            </w:pPr>
            <w:r>
              <w:t xml:space="preserve">We’ll leave some resources here all about cruise ship outbreaks for you to check out when you have time:</w:t>
            </w:r>
          </w:p>
          <w:p>
            <w:pPr>
              <w:pStyle w:val="Compact"/>
              <w:numPr>
                <w:ilvl w:val="0"/>
                <w:numId w:val="1003"/>
              </w:numPr>
            </w:pPr>
            <w:hyperlink r:id="rId30">
              <w:r>
                <w:rPr>
                  <w:rStyle w:val="Hyperlink"/>
                </w:rPr>
                <w:t xml:space="preserve">CDC Yellow Book: Cruise Ship Travel 2026</w:t>
              </w:r>
            </w:hyperlink>
          </w:p>
          <w:p>
            <w:pPr>
              <w:pStyle w:val="Compact"/>
              <w:numPr>
                <w:ilvl w:val="0"/>
                <w:numId w:val="1003"/>
              </w:numPr>
            </w:pPr>
            <w:hyperlink r:id="rId31">
              <w:r>
                <w:rPr>
                  <w:rStyle w:val="Hyperlink"/>
                </w:rPr>
                <w:t xml:space="preserve">CDC Vessel Sanitation Program (VSP): Outbreaks on Cruise Ships in VSP’s Jurisdiction (2025)</w:t>
              </w:r>
            </w:hyperlink>
          </w:p>
          <w:p>
            <w:pPr>
              <w:pStyle w:val="Compact"/>
              <w:numPr>
                <w:ilvl w:val="0"/>
                <w:numId w:val="1003"/>
              </w:numPr>
            </w:pPr>
            <w:hyperlink r:id="rId32">
              <w:r>
                <w:rPr>
                  <w:rStyle w:val="Hyperlink"/>
                </w:rPr>
                <w:t xml:space="preserve">Epidemiology of Diarrheal Disease Outbreaks on Cruise Ships, 1986 Through 1993</w:t>
              </w:r>
            </w:hyperlink>
          </w:p>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BodyText"/>
      </w:pPr>
      <w:r>
        <w:t xml:space="preserve">Remember:</w:t>
      </w:r>
      <w:r>
        <w:t xml:space="preserve"> </w:t>
      </w:r>
      <w:r>
        <w:t xml:space="preserve">1. All the datasets are provided in the participant_data folder, within the data folder under the appropriate module</w:t>
      </w:r>
      <w:r>
        <w:t xml:space="preserve"> </w:t>
      </w:r>
      <w:r>
        <w:t xml:space="preserve">2. Start a new script and save it as Module4.R in your</w:t>
      </w:r>
      <w:r>
        <w:t xml:space="preserve"> </w:t>
      </w:r>
      <w:r>
        <w:rPr>
          <w:rStyle w:val="VerbatimChar"/>
        </w:rPr>
        <w:t xml:space="preserve">participant_data/module4/scripts</w:t>
      </w:r>
      <w:r>
        <w:t xml:space="preserve"> </w:t>
      </w:r>
      <w:r>
        <w:t xml:space="preserve">folder (recommended)</w:t>
      </w:r>
      <w:r>
        <w:t xml:space="preserve"> </w:t>
      </w:r>
      <w:r>
        <w:t xml:space="preserve">2. You will need to</w:t>
      </w:r>
      <w:r>
        <w:t xml:space="preserve"> </w:t>
      </w:r>
      <w:r>
        <w:rPr>
          <w:rStyle w:val="VerbatimChar"/>
        </w:rPr>
        <w:t xml:space="preserve">p_load(tidyverse)</w:t>
      </w:r>
      <w:r>
        <w:t xml:space="preserve"> </w:t>
      </w:r>
      <w:r>
        <w:t xml:space="preserve">at the top of your script for Module 4 to reinitialize all the packages that we’ll be working with at the start of the module.</w:t>
      </w:r>
    </w:p>
    <w:p>
      <w:pPr>
        <w:pStyle w:val="SourceCode"/>
      </w:pPr>
      <w:r>
        <w:rPr>
          <w:rStyle w:val="CommentTok"/>
        </w:rPr>
        <w:t xml:space="preserve"># Run as needed</w:t>
      </w:r>
      <w:r>
        <w:br/>
      </w:r>
      <w:r>
        <w:rPr>
          <w:rStyle w:val="CommentTok"/>
        </w:rPr>
        <w:t xml:space="preserve">#pacman::p_load(tidyverse) </w:t>
      </w:r>
      <w:r>
        <w:br/>
      </w:r>
      <w:r>
        <w:br/>
      </w:r>
      <w:r>
        <w:rPr>
          <w:rStyle w:val="CommentTok"/>
        </w:rPr>
        <w:t xml:space="preserve"># Import the food exposures database. </w:t>
      </w:r>
      <w:r>
        <w:br/>
      </w: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"participant_data/module4/data/foodexposures_feb9.txt"</w:t>
      </w:r>
      <w:r>
        <w:rPr>
          <w:rStyle w:val="NormalTok"/>
        </w:rPr>
        <w:t xml:space="preserve">)</w:t>
      </w:r>
      <w:r>
        <w:br/>
      </w:r>
      <w:r>
        <w:br/>
      </w:r>
      <w:r>
        <w:rPr>
          <w:rStyle w:val="CommentTok"/>
        </w:rPr>
        <w:t xml:space="preserve"># Explore the dataset </w:t>
      </w:r>
      <w:r>
        <w:br/>
      </w:r>
      <w:r>
        <w:rPr>
          <w:rStyle w:val="CommentTok"/>
        </w:rPr>
        <w:t xml:space="preserve"># glimpse(foodexp)</w:t>
      </w:r>
      <w:r>
        <w:br/>
      </w:r>
      <w:r>
        <w:rPr>
          <w:rStyle w:val="CommentTok"/>
        </w:rPr>
        <w:t xml:space="preserve"># view(foodexp)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simple dichotomous values? How do you propose to work with these?</w:t>
            </w:r>
          </w:p>
          <w:p>
            <w:pPr>
              <w:pStyle w:val="BodyText"/>
            </w:pPr>
            <w:r>
              <w:t xml:space="preserve">For your reference, the following responses were recorded:</w:t>
            </w:r>
          </w:p>
          <w:p>
            <w:pPr>
              <w:pStyle w:val="Compact"/>
              <w:numPr>
                <w:ilvl w:val="0"/>
                <w:numId w:val="1004"/>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4"/>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4"/>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4"/>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a different approach for your analysis, but for our walk-through of this module, we’ll use the following guidelines to recode these values into something we can use:</w:t>
      </w:r>
    </w:p>
    <w:p>
      <w:pPr>
        <w:pStyle w:val="Compact"/>
        <w:numPr>
          <w:ilvl w:val="0"/>
          <w:numId w:val="1005"/>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w:t>
      </w:r>
      <w:r>
        <w:t xml:space="preserve"> </w:t>
      </w:r>
      <w:r>
        <w:t xml:space="preserve">“P”</w:t>
      </w:r>
      <w:r>
        <w:t xml:space="preserve"> </w:t>
      </w:r>
      <w:r>
        <w:t xml:space="preserve">responses together with those who can confirm that they consumed the item. This approach may be slightly more sensitive than excluding them, but we’ll accept that for now.</w:t>
      </w:r>
    </w:p>
    <w:p>
      <w:pPr>
        <w:pStyle w:val="Compact"/>
        <w:numPr>
          <w:ilvl w:val="0"/>
          <w:numId w:val="1005"/>
        </w:numPr>
      </w:pPr>
      <w:r>
        <w:rPr>
          <w:b/>
          <w:bCs/>
        </w:rPr>
        <w:t xml:space="preserve">0</w:t>
      </w:r>
      <w:r>
        <w:t xml:space="preserve"> </w:t>
      </w:r>
      <w:r>
        <w:t xml:space="preserve">=</w:t>
      </w:r>
      <w:r>
        <w:t xml:space="preserve"> </w:t>
      </w:r>
      <w:r>
        <w:rPr>
          <w:b/>
          <w:bCs/>
        </w:rPr>
        <w:t xml:space="preserve">N</w:t>
      </w:r>
      <w:r>
        <w:t xml:space="preserve">. Only passengers who specifically recall that they did not consume the food item will be treated as a confirmed negative, since those with poor recall may have been exposed and not reported it.</w:t>
      </w:r>
    </w:p>
    <w:p>
      <w:pPr>
        <w:pStyle w:val="Compact"/>
        <w:numPr>
          <w:ilvl w:val="0"/>
          <w:numId w:val="1005"/>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and recode the food exposures, then save the results as a new object. Since we’re performing the exact same operation</w:t>
      </w:r>
      <w:r>
        <w:t xml:space="preserve"> </w:t>
      </w:r>
      <w:r>
        <w:rPr>
          <w:b/>
          <w:bCs/>
        </w:rPr>
        <w:t xml:space="preserve">across</w:t>
      </w:r>
      <w:r>
        <w:t xml:space="preserve"> </w:t>
      </w:r>
      <w:r>
        <w:t xml:space="preserve">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As we’ve already covered this function, take a minute to try to piece together how you would use</w:t>
      </w:r>
      <w:r>
        <w:t xml:space="preserve"> </w:t>
      </w:r>
      <w:r>
        <w:rPr>
          <w:b/>
          <w:bCs/>
        </w:rPr>
        <w:t xml:space="preserve">mutate()</w:t>
      </w:r>
      <w:r>
        <w:t xml:space="preserve">,</w:t>
      </w:r>
      <w:r>
        <w:t xml:space="preserve"> </w:t>
      </w:r>
      <w:r>
        <w:rPr>
          <w:b/>
          <w:bCs/>
        </w:rPr>
        <w:t xml:space="preserve">across()</w:t>
      </w:r>
      <w:r>
        <w:t xml:space="preserve">, and</w:t>
      </w:r>
      <w:r>
        <w:t xml:space="preserve"> </w:t>
      </w:r>
      <w:r>
        <w:rPr>
          <w:b/>
          <w:bCs/>
        </w:rPr>
        <w:t xml:space="preserve">case_when()</w:t>
      </w:r>
      <w:r>
        <w:t xml:space="preserve"> </w:t>
      </w:r>
      <w:r>
        <w:t xml:space="preserve">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  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 may have noticed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50"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
          <w:bCs/>
        </w:rPr>
        <w:t xml:space="preserve">ate the food item of interest and became ill</w:t>
      </w:r>
      <w:r>
        <w:t xml:space="preserve"> </w:t>
      </w:r>
      <w:r>
        <w:t xml:space="preserve">in the</w:t>
      </w:r>
      <w:r>
        <w:t xml:space="preserve"> </w:t>
      </w:r>
      <w:r>
        <w:rPr>
          <w:b/>
          <w:bCs/>
        </w:rPr>
        <w:t xml:space="preserve">numerator</w:t>
      </w:r>
      <w:r>
        <w:t xml:space="preserve">, and the</w:t>
      </w:r>
      <w:r>
        <w:t xml:space="preserve"> </w:t>
      </w:r>
      <w:r>
        <w:rPr>
          <w:b/>
          <w:bCs/>
        </w:rPr>
        <w:t xml:space="preserve">total number of persons who consumed the food item</w:t>
      </w:r>
      <w:r>
        <w:t xml:space="preserve"> </w:t>
      </w:r>
      <w:r>
        <w:t xml:space="preserve">in the</w:t>
      </w:r>
      <w:r>
        <w:t xml:space="preserve"> </w:t>
      </w:r>
      <w:r>
        <w:rPr>
          <w:b/>
          <w:bCs/>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think about our</w:t>
      </w:r>
      <w:r>
        <w:t xml:space="preserve"> </w:t>
      </w:r>
      <w:r>
        <w:rPr>
          <w:b/>
          <w:bCs/>
        </w:rPr>
        <w:t xml:space="preserve">case definitions</w:t>
      </w:r>
      <w:r>
        <w:t xml:space="preserve">. We saw in Module 3 that our symptoms dataset included individuals with dates of illness onset from February 10th up to February 14th, and that some individuals had more severe symptoms than others (e.g., bloody stool and fever). Since we appear to have passengers with symptoms of both general illness, and more severe illness, we should consider creating a case definition for each. For the general illness case definition, we’ll include</w:t>
      </w:r>
      <w:r>
        <w:t xml:space="preserve"> </w:t>
      </w:r>
      <w:r>
        <w:rPr>
          <w:b/>
          <w:bCs/>
        </w:rPr>
        <w:t xml:space="preserve">all individuals that reported to the infirmary between February 10th and 14th</w:t>
      </w:r>
      <w:r>
        <w:t xml:space="preserve">. For the more serious illness, we’ll include</w:t>
      </w:r>
      <w:r>
        <w:t xml:space="preserve"> </w:t>
      </w:r>
      <w:r>
        <w:rPr>
          <w:b/>
          <w:bCs/>
        </w:rPr>
        <w:t xml:space="preserve">all passengers aboard the S. S. Rainbow Cake</w:t>
      </w:r>
      <w:r>
        <w:t xml:space="preserve">, with</w:t>
      </w:r>
      <w:r>
        <w:t xml:space="preserve"> </w:t>
      </w:r>
      <w:r>
        <w:rPr>
          <w:b/>
          <w:bCs/>
        </w:rPr>
        <w:t xml:space="preserve">symptoms of bloody stool OR fever</w:t>
      </w:r>
      <w:r>
        <w:t xml:space="preserve">,and</w:t>
      </w:r>
      <w:r>
        <w:t xml:space="preserve"> </w:t>
      </w:r>
      <w:r>
        <w:rPr>
          <w:b/>
          <w:bCs/>
        </w:rPr>
        <w:t xml:space="preserve">symptom onset dates between February 10th and 14th</w:t>
      </w:r>
      <w:r>
        <w:t xml:space="preserve">.</w:t>
      </w:r>
    </w:p>
    <w:p>
      <w:pPr>
        <w:pStyle w:val="FirstParagraph"/>
      </w:pPr>
      <w:r>
        <w:t xml:space="preserve">Alright, let’s start getting into the data! Since we’ve spent so much time practicing these operations already - we’d like you to try your hand at the R code by yourself first. If you get stuck, or finish and want to compare to how we did things - click the drop-down to see our code.(Note: if you want a good place to start, try copy and pasting some of the code from Module 3).</w:t>
      </w:r>
    </w:p>
    <w:p>
      <w:pPr>
        <w:pStyle w:val="BodyText"/>
      </w:pPr>
      <w:r>
        <w:t xml:space="preserve">Think about the two operations that we just listed above. How, and in what order would you go about doing these? Remember, there’s really no wrong answer to how you decide to code things - over time, everyone develops their own personal style for what works best for them. If you’re not sure whether you’re doing things in a sensible way, or you’re worried someone (i.e., future you) won’t be able to follow your code, use lots of #comments so to make it easier to figure out later!</w:t>
      </w:r>
    </w:p>
    <w:p>
      <w:pPr>
        <w:pStyle w:val="BodyText"/>
      </w:pPr>
      <w:r>
        <w:t xml:space="preserve"> </w:t>
      </w:r>
      <w:r>
        <w:t xml:space="preserve">Click to see how we joined the tables and created a case definition</w:t>
      </w:r>
      <w:r>
        <w:t xml:space="preserve"> </w:t>
      </w:r>
    </w:p>
    <w:p>
      <w:pPr>
        <w:pStyle w:val="BodyText"/>
      </w:pPr>
      <w:r>
        <w:t xml:space="preserve">For our process, we’re actually going to start with the</w:t>
      </w:r>
      <w:r>
        <w:t xml:space="preserve"> </w:t>
      </w:r>
      <w:r>
        <w:rPr>
          <w:b/>
          <w:bCs/>
        </w:rPr>
        <w:t xml:space="preserve">symptoms</w:t>
      </w:r>
      <w:r>
        <w:t xml:space="preserve"> </w:t>
      </w:r>
      <w:r>
        <w:t xml:space="preserve">dataset, and create our case definitions first, then drop the individual symptom variables that we don’t need before joining with the food exposures dataset. Let’s create one case definition for the more serious symptomatic passengers (bloody stool OR fever), and then a general case definition for anyone reporting symptoms. Then we’ll drop the individual symptom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after consuming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
          <w:iCs/>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 Take a minute to review the results of your joined tables and make sure everything looks as expected.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Remember, there were passengers who did not pre-board on February 9th, but who did report to the infirmary with symptoms of illness during the first few days of sailing. If you elected to use a</w:t>
            </w:r>
            <w:r>
              <w:t xml:space="preserve"> </w:t>
            </w:r>
            <w:r>
              <w:rPr>
                <w:b/>
                <w:bCs/>
              </w:rPr>
              <w:t xml:space="preserve">full_join</w:t>
            </w:r>
            <w:r>
              <w:t xml:space="preserve"> </w:t>
            </w:r>
            <w:r>
              <w:t xml:space="preserve">like we did, then the passenger ID of these individuals will still be included in the dataset that you’ll be using for calculating attack rates. However, since these passengers were not included in the</w:t>
            </w:r>
            <w:r>
              <w:t xml:space="preserve"> </w:t>
            </w:r>
            <w:r>
              <w:rPr>
                <w:b/>
                <w:bCs/>
              </w:rPr>
              <w:t xml:space="preserve">food exposures</w:t>
            </w:r>
            <w:r>
              <w:t xml:space="preserve"> </w:t>
            </w:r>
            <w:r>
              <w:t xml:space="preserve">dataset, their responses will be set to</w:t>
            </w:r>
            <w:r>
              <w:t xml:space="preserve"> </w:t>
            </w:r>
            <w:r>
              <w:rPr>
                <w:b/>
                <w:bCs/>
              </w:rPr>
              <w:t xml:space="preserve">NA</w:t>
            </w:r>
            <w:r>
              <w:t xml:space="preserve">, and they will not be included in either the numerator or denominator for calculating attack rates. All this to say - we’re safe to keep those observations in our dataset becuase of the</w:t>
            </w:r>
            <w:r>
              <w:t xml:space="preserve"> </w:t>
            </w:r>
            <w:r>
              <w:rPr>
                <w:b/>
                <w:bCs/>
              </w:rPr>
              <w:t xml:space="preserve">NA</w:t>
            </w:r>
            <w:r>
              <w:t xml:space="preserve"> </w:t>
            </w:r>
            <w:r>
              <w:t xml:space="preserve">values.</w:t>
            </w:r>
          </w:p>
          <w:p>
            <w:pPr>
              <w:pStyle w:val="BodyText"/>
            </w:pPr>
            <w:pPr>
              <w:spacing w:after="16"/>
            </w:pPr>
            <w:r>
              <w:t xml:space="preserve">It is important to always review and think about how your data will be treated in downstream analyses. If in doubt, try a couple calculations by hand, first, and verify using code. A little bit of verification early in your analysis can save a lot of headaches later on!</w:t>
            </w:r>
          </w:p>
          <w:p/>
        </w:tc>
      </w:tr>
    </w:tbl>
    <w:p>
      <w:pPr>
        <w:pStyle w:val="BodyText"/>
      </w:pPr>
      <w:r>
        <w:t xml:space="preserve">In simple terms, a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
          <w:bCs/>
        </w:rPr>
        <w:t xml:space="preserve">two</w:t>
      </w:r>
      <w:r>
        <w:t xml:space="preserve"> </w:t>
      </w:r>
      <w:r>
        <w:t xml:space="preserve">variables we’re working with for each calculation in this instance (i.e., consumed food item, case status) we’ll need to include</w:t>
      </w:r>
      <w:r>
        <w:t xml:space="preserve"> </w:t>
      </w:r>
      <w:r>
        <w:rPr>
          <w:b/>
          <w:bCs/>
        </w:rPr>
        <w:t xml:space="preserve">both</w:t>
      </w:r>
      <w:r>
        <w:t xml:space="preserve"> </w:t>
      </w:r>
      <w:r>
        <w:t xml:space="preserve">inside our sum() function when counting up the cases. We’ll use</w:t>
      </w:r>
      <w:r>
        <w:t xml:space="preserve"> </w:t>
      </w:r>
      <w:r>
        <w:rPr>
          <w:b/>
          <w:bCs/>
        </w:rPr>
        <w:t xml:space="preserve">Boolean logic</w:t>
      </w:r>
      <w:r>
        <w:t xml:space="preserve"> </w:t>
      </w:r>
      <w:r>
        <w:t xml:space="preserve">to do this, and apply the</w:t>
      </w:r>
      <w:r>
        <w:t xml:space="preserve"> </w:t>
      </w:r>
      <w:r>
        <w:rPr>
          <w:b/>
          <w:bCs/>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BHETMAN\AppData\Local\Programs\Quarto\share\formats\docx\note.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jc w:val="center"/>
              <w:tblLook w:firstRow="0" w:lastRow="0" w:firstColumn="0" w:lastColumn="0"/>
            </w:tblPr>
            <w:tblGrid>
              <w:gridCol w:w="7920"/>
            </w:tblGrid>
            <w:tr>
              <w:tc>
                <w:tcPr/>
                <w:p>
                  <w:pPr>
                    <w:pStyle w:val="Compact"/>
                    <w:jc w:val="center"/>
                  </w:pPr>
                  <w:hyperlink r:id="rId47">
                    <w:r>
                      <w:drawing>
                        <wp:inline>
                          <wp:extent cx="4572000" cy="6134100"/>
                          <wp:effectExtent b="0" l="0" r="0" t="0"/>
                          <wp:docPr descr="" title="" id="45" name="Picture"/>
                          <a:graphic>
                            <a:graphicData uri="http://schemas.openxmlformats.org/drawingml/2006/picture">
                              <pic:pic>
                                <pic:nvPicPr>
                                  <pic:cNvPr descr="pics/module04_George_Boole.png" id="46" name="Picture"/>
                                  <pic:cNvPicPr>
                                    <a:picLocks noChangeArrowheads="1" noChangeAspect="1"/>
                                  </pic:cNvPicPr>
                                </pic:nvPicPr>
                                <pic:blipFill>
                                  <a:blip r:embed="rId44"/>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
                <w:bCs/>
              </w:rPr>
              <w:t xml:space="preserve">TRUE</w:t>
            </w:r>
            <w:r>
              <w:t xml:space="preserve"> </w:t>
            </w:r>
            <w:r>
              <w:t xml:space="preserve">or</w:t>
            </w:r>
            <w:r>
              <w:t xml:space="preserve"> </w:t>
            </w:r>
            <w:r>
              <w:rPr>
                <w:b/>
                <w:bCs/>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pStyle w:val="Compact"/>
              <w:numPr>
                <w:ilvl w:val="0"/>
                <w:numId w:val="1007"/>
              </w:numPr>
            </w:pPr>
            <w:r>
              <w:rPr>
                <w:rStyle w:val="VerbatimChar"/>
              </w:rPr>
              <w:t xml:space="preserve">&amp;</w:t>
            </w:r>
            <w:r>
              <w:t xml:space="preserve"> </w:t>
            </w:r>
            <w:r>
              <w:t xml:space="preserve">AND</w:t>
            </w:r>
          </w:p>
          <w:p>
            <w:pPr>
              <w:pStyle w:val="Compact"/>
              <w:numPr>
                <w:ilvl w:val="0"/>
                <w:numId w:val="1007"/>
              </w:numPr>
            </w:pPr>
            <w:r>
              <w:rPr>
                <w:rStyle w:val="VerbatimChar"/>
              </w:rPr>
              <w:t xml:space="preserve">|</w:t>
            </w:r>
            <w:r>
              <w:t xml:space="preserve"> </w:t>
            </w:r>
            <w:r>
              <w:t xml:space="preserve">OR</w:t>
            </w:r>
          </w:p>
          <w:p>
            <w:pPr>
              <w:pStyle w:val="Compact"/>
              <w:numPr>
                <w:ilvl w:val="0"/>
                <w:numId w:val="1007"/>
              </w:numPr>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
                <w:bCs/>
              </w:rPr>
              <w:t xml:space="preserve">comparison operators</w:t>
            </w:r>
            <w:r>
              <w:t xml:space="preserve"> </w:t>
            </w:r>
            <w:r>
              <w:t xml:space="preserve">to chain some complex statements together.</w:t>
            </w:r>
          </w:p>
          <w:p>
            <w:pPr>
              <w:pStyle w:val="Compact"/>
              <w:numPr>
                <w:ilvl w:val="0"/>
                <w:numId w:val="1008"/>
              </w:numPr>
            </w:pPr>
            <w:r>
              <w:rPr>
                <w:rStyle w:val="VerbatimChar"/>
              </w:rPr>
              <w:t xml:space="preserve">==</w:t>
            </w:r>
            <w:r>
              <w:t xml:space="preserve"> </w:t>
            </w:r>
            <w:r>
              <w:t xml:space="preserve">EQUAL (or EQUIVALENT) TO</w:t>
            </w:r>
          </w:p>
          <w:p>
            <w:pPr>
              <w:pStyle w:val="Compact"/>
              <w:numPr>
                <w:ilvl w:val="0"/>
                <w:numId w:val="1008"/>
              </w:numPr>
            </w:pPr>
            <w:r>
              <w:rPr>
                <w:rStyle w:val="VerbatimChar"/>
              </w:rPr>
              <w:t xml:space="preserve">!=</w:t>
            </w:r>
            <w:r>
              <w:t xml:space="preserve"> </w:t>
            </w:r>
            <w:r>
              <w:t xml:space="preserve">NOT EQUAL (or EQUIVALENT) TO</w:t>
            </w:r>
          </w:p>
          <w:p>
            <w:pPr>
              <w:pStyle w:val="Compact"/>
              <w:numPr>
                <w:ilvl w:val="0"/>
                <w:numId w:val="1008"/>
              </w:numPr>
            </w:pPr>
            <w:r>
              <w:rPr>
                <w:rStyle w:val="VerbatimChar"/>
              </w:rPr>
              <w:t xml:space="preserve">&lt;</w:t>
            </w:r>
            <w:r>
              <w:t xml:space="preserve"> </w:t>
            </w:r>
            <w:r>
              <w:t xml:space="preserve">LESS THAN</w:t>
            </w:r>
          </w:p>
          <w:p>
            <w:pPr>
              <w:pStyle w:val="Compact"/>
              <w:numPr>
                <w:ilvl w:val="0"/>
                <w:numId w:val="1008"/>
              </w:numPr>
            </w:pPr>
            <w:r>
              <w:rPr>
                <w:rStyle w:val="VerbatimChar"/>
              </w:rPr>
              <w:t xml:space="preserve">&gt;</w:t>
            </w:r>
            <w:r>
              <w:t xml:space="preserve"> </w:t>
            </w:r>
            <w:r>
              <w:t xml:space="preserve">GREATER THAN</w:t>
            </w:r>
          </w:p>
          <w:p>
            <w:pPr>
              <w:pStyle w:val="Compact"/>
              <w:numPr>
                <w:ilvl w:val="0"/>
                <w:numId w:val="1008"/>
              </w:numPr>
            </w:pPr>
            <w:r>
              <w:rPr>
                <w:rStyle w:val="VerbatimChar"/>
              </w:rPr>
              <w:t xml:space="preserve">&lt;=</w:t>
            </w:r>
            <w:r>
              <w:t xml:space="preserve"> </w:t>
            </w:r>
            <w:r>
              <w:t xml:space="preserve">LESS THAN OR EQUAL TO</w:t>
            </w:r>
          </w:p>
          <w:p>
            <w:pPr>
              <w:pStyle w:val="Compact"/>
              <w:numPr>
                <w:ilvl w:val="0"/>
                <w:numId w:val="1008"/>
              </w:numPr>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
                <w:bCs/>
              </w:rPr>
              <w:t xml:space="preserve">GREATER THAN OR EQUAL TO</w:t>
            </w:r>
            <w:r>
              <w:t xml:space="preserve"> </w:t>
            </w:r>
            <w:r>
              <w:t xml:space="preserve">to 33 years of age,</w:t>
            </w:r>
            <w:r>
              <w:t xml:space="preserve"> </w:t>
            </w:r>
            <w:r>
              <w:rPr>
                <w:b/>
                <w:bCs/>
              </w:rPr>
              <w:t xml:space="preserve">AND</w:t>
            </w:r>
            <w:r>
              <w:t xml:space="preserve"> </w:t>
            </w:r>
            <w:r>
              <w:t xml:space="preserve">has eaten the potato salad,</w:t>
            </w:r>
            <w:r>
              <w:t xml:space="preserve"> </w:t>
            </w:r>
            <w:r>
              <w:rPr>
                <w:b/>
                <w:bCs/>
              </w:rPr>
              <w:t xml:space="preserve">AND</w:t>
            </w:r>
            <w:r>
              <w:t xml:space="preserve"> </w:t>
            </w:r>
            <w:r>
              <w:t xml:space="preserve">has reported fever</w:t>
            </w:r>
            <w:r>
              <w:t xml:space="preserve"> </w:t>
            </w:r>
            <w:r>
              <w:rPr>
                <w:b/>
                <w:bCs/>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8">
              <w:r>
                <w:rPr>
                  <w:rStyle w:val="Hyperlink"/>
                </w:rPr>
                <w:t xml:space="preserve">Logical Vectors from the R for Data online textbook!</w:t>
              </w:r>
            </w:hyperlink>
          </w:p>
          <w:p/>
        </w:tc>
      </w:tr>
    </w:tbl>
    <w:p>
      <w:pPr>
        <w:pStyle w:val="BodyText"/>
      </w:pPr>
      <w:r>
        <w:t xml:space="preserve">Let’s use summarise() to try out our Boolean logic within the sum() function using just the first food item, and the</w:t>
      </w:r>
      <w:r>
        <w:t xml:space="preserve"> </w:t>
      </w:r>
      <w:r>
        <w:rPr>
          <w:b/>
          <w:bCs/>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general symptom outcomes. Let’s take a minute though to stop and double check that the calculations are correct. Sometimes using statements with multiple logic operators can get tricky. Therefore, it is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w:t>
      </w:r>
      <w:r>
        <w:t xml:space="preserve"> </w:t>
      </w:r>
      <w:r>
        <w:rPr>
          <w:b/>
          <w:bCs/>
        </w:rPr>
        <w:t xml:space="preserve">filter()</w:t>
      </w:r>
      <w:r>
        <w:t xml:space="preserve"> </w:t>
      </w:r>
      <w:r>
        <w:t xml:space="preserve">functions, and</w:t>
      </w:r>
      <w:r>
        <w:t xml:space="preserve"> </w:t>
      </w:r>
      <w:r>
        <w:rPr>
          <w:b/>
          <w:bCs/>
        </w:rPr>
        <w:t xml:space="preserve">count()</w:t>
      </w:r>
      <w:r>
        <w:t xml:space="preserve"> </w:t>
      </w:r>
      <w:r>
        <w:t xml:space="preserve">the number of rows left over. We’ll filter for general cases only, then apply a second filter to identify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 for general cases</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
          <w:bCs/>
        </w:rPr>
        <w:t xml:space="preserve">general illnesses</w:t>
      </w:r>
      <w:r>
        <w:t xml:space="preserve">. Feel free to use either long-form, and write out a new line for each food item, or go back and review earlier in this module, as well as</w:t>
      </w:r>
      <w:r>
        <w:t xml:space="preserve"> </w:t>
      </w:r>
      <w:r>
        <w:rPr>
          <w:b/>
          <w:bCs/>
        </w:rPr>
        <w:t xml:space="preserve">Module 3</w:t>
      </w:r>
      <w:r>
        <w:t xml:space="preserve"> </w:t>
      </w:r>
      <w:r>
        <w:t xml:space="preserve">where we practiced with using</w:t>
      </w:r>
      <w:r>
        <w:t xml:space="preserve"> </w:t>
      </w:r>
      <w:r>
        <w:rPr>
          <w:b/>
          <w:bCs/>
        </w:rPr>
        <w:t xml:space="preserve">across()</w:t>
      </w:r>
      <w:r>
        <w:t xml:space="preserve"> </w:t>
      </w:r>
      <w:r>
        <w:t xml:space="preserve">within the</w:t>
      </w:r>
      <w:r>
        <w:t xml:space="preserve"> </w:t>
      </w:r>
      <w:r>
        <w:rPr>
          <w:b/>
          <w:bCs/>
        </w:rPr>
        <w:t xml:space="preserve">summarise()</w:t>
      </w:r>
      <w:r>
        <w:t xml:space="preserve"> </w:t>
      </w:r>
      <w:r>
        <w:t xml:space="preserve">function, and try to work out how to do the calculations all in one go! Note: when we used</w:t>
      </w:r>
      <w:r>
        <w:t xml:space="preserve"> </w:t>
      </w:r>
      <w:r>
        <w:rPr>
          <w:b/>
          <w:bCs/>
        </w:rPr>
        <w:t xml:space="preserve">across()</w:t>
      </w:r>
      <w:r>
        <w:t xml:space="preserve"> </w:t>
      </w:r>
      <w:r>
        <w:t xml:space="preserve">previously, we were calculating based on multiple input variables only, and not outputting multiple variables. You may need to</w:t>
      </w:r>
      <w:r>
        <w:t xml:space="preserve"> </w:t>
      </w:r>
      <w:hyperlink r:id="rId49">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br/>
      </w:r>
      <w:r>
        <w:rPr>
          <w:rStyle w:val="CommentTok"/>
        </w:rPr>
        <w:t xml:space="preserve"># Long format calculations of attack rates for each food item.</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rPr>
          <w:rStyle w:val="CommentTok"/>
        </w:rPr>
        <w:t xml:space="preserve"># Short version of calculating attack rates using the across() function</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w:t>
      </w:r>
    </w:p>
    <w:p>
      <w:pPr>
        <w:pStyle w:val="BodyText"/>
      </w:pPr>
      <w:r>
        <w:t xml:space="preserve">Repeat the analysis using the</w:t>
      </w:r>
      <w:r>
        <w:t xml:space="preserve"> </w:t>
      </w:r>
      <w:r>
        <w:rPr>
          <w:b/>
          <w:bCs/>
        </w:rPr>
        <w:t xml:space="preserve">serious illness case definition</w:t>
      </w:r>
      <w:r>
        <w:t xml:space="preserve"> </w:t>
      </w:r>
      <w:r>
        <w:t xml:space="preserve">and compare your results. What are your best epidemiological recommendations at this time? Are there other analyses that you would want to complete to be more confident in your assertions?</w:t>
      </w:r>
    </w:p>
    <w:bookmarkEnd w:id="50"/>
    <w:bookmarkStart w:id="65"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the film, and would like it if you could pass him something ta make it easy to read and understand all that has been going on.</w:t>
      </w:r>
    </w:p>
    <w:p>
      <w:pPr>
        <w:pStyle w:val="BlockText"/>
      </w:pPr>
      <w:r>
        <w:t xml:space="preserve">Thanks,</w:t>
      </w:r>
    </w:p>
    <w:p>
      <w:pPr>
        <w:pStyle w:val="BlockText"/>
      </w:pPr>
      <w:r>
        <w:t xml:space="preserve">Patrick the Steward</w:t>
      </w:r>
    </w:p>
    <w:p>
      <w:pPr>
        <w:pStyle w:val="FirstParagraph"/>
      </w:pPr>
      <w:r>
        <w:t xml:space="preserve">As if you didn’t have enough to worry about, the captain has requested an epidemiological update from you, in a nicely formatted report. As much as this is extra work on your plate, the captain and his steward have touched on something really important in public health: if you can’t easily translate the information and evidence that you’ve gathered to those who need it, then</w:t>
      </w:r>
      <w:r>
        <w:t xml:space="preserve"> </w:t>
      </w:r>
      <w:r>
        <w:rPr>
          <w:i/>
          <w:iCs/>
        </w:rPr>
        <w:t xml:space="preserve">what was the point in collecting it in the first place</w:t>
      </w:r>
      <w:r>
        <w:t xml:space="preserve">?</w:t>
      </w:r>
    </w:p>
    <w:p>
      <w:pPr>
        <w:pStyle w:val="BodyText"/>
      </w:pPr>
      <w:r>
        <w:t xml:space="preserve">The job of an epidemiologist is only one piece of the larger puzzle that constitutes effective public health practice, and we need to make sure that the information and messaging provided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 method, we should recognize that it is not very accessible for those that haven’t had specialized training in these areas. Therefore, we’ll explore some ways to create custom, easy-to-read tables for our results!</w:t>
      </w:r>
    </w:p>
    <w:bookmarkStart w:id="55"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
          <w:bCs/>
        </w:rPr>
        <w:t xml:space="preserve">S. S. Rainbow Cake</w:t>
      </w:r>
      <w:r>
        <w:t xml:space="preserve">!). While not a</w:t>
      </w:r>
      <w:r>
        <w:t xml:space="preserve"> </w:t>
      </w:r>
      <w:r>
        <w:rPr>
          <w:i/>
          <w:iCs/>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BodyText"/>
      </w:pPr>
      <w:r>
        <w:t xml:space="preserve">Over the next few code chunks we’ll walk through an example of how to employ flextable to make a simple, but attractive table. However, if you want to add more options to your table, or just want a convenient, quick reference, you can find a flextable cheat sheet</w:t>
      </w:r>
      <w:r>
        <w:t xml:space="preserve"> </w:t>
      </w:r>
      <w:hyperlink r:id="rId51">
        <w:r>
          <w:rPr>
            <w:rStyle w:val="Hyperlink"/>
          </w:rPr>
          <w:t xml:space="preserve">here</w:t>
        </w:r>
      </w:hyperlink>
      <w:r>
        <w:t xml:space="preserve">.</w:t>
      </w:r>
    </w:p>
    <w:p>
      <w:pPr>
        <w:pStyle w:val="SourceCode"/>
      </w:pPr>
      <w:r>
        <w:rPr>
          <w:rStyle w:val="CommentTok"/>
        </w:rPr>
        <w:t xml:space="preserve"># Load the flextable package</w:t>
      </w:r>
      <w:r>
        <w:br/>
      </w:r>
      <w:r>
        <w:rPr>
          <w:rStyle w:val="NormalTok"/>
        </w:rPr>
        <w:t xml:space="preserve">pacman</w:t>
      </w:r>
      <w:r>
        <w:rPr>
          <w:rStyle w:val="SpecialCharTok"/>
        </w:rPr>
        <w:t xml:space="preserve">::</w:t>
      </w:r>
      <w:r>
        <w:rPr>
          <w:rStyle w:val="FunctionTok"/>
        </w:rPr>
        <w:t xml:space="preserve">p_load</w:t>
      </w:r>
      <w:r>
        <w:rPr>
          <w:rStyle w:val="NormalTok"/>
        </w:rPr>
        <w:t xml:space="preserve">(flextable)</w:t>
      </w:r>
    </w:p>
    <w:p>
      <w:pPr>
        <w:pStyle w:val="FirstParagraph"/>
      </w:pPr>
      <w:r>
        <w:t xml:space="preserve">The workhorse function from the package:</w:t>
      </w:r>
      <w:r>
        <w:t xml:space="preserve"> </w:t>
      </w:r>
      <w:r>
        <w:rPr>
          <w:b/>
          <w:bCs/>
        </w:rPr>
        <w:t xml:space="preserve">flextable()</w:t>
      </w:r>
      <w:r>
        <w:t xml:space="preserve"> </w:t>
      </w:r>
      <w:r>
        <w:t xml:space="preserve">takes a</w:t>
      </w:r>
      <w:r>
        <w:t xml:space="preserve"> </w:t>
      </w:r>
      <w:r>
        <w:rPr>
          <w:b/>
          <w:bCs/>
        </w:rPr>
        <w:t xml:space="preserve">data frame</w:t>
      </w:r>
      <w:r>
        <w:t xml:space="preserve"> </w:t>
      </w:r>
      <w:r>
        <w:t xml:space="preserve">as input, and returns a</w:t>
      </w:r>
      <w:r>
        <w:t xml:space="preserve"> </w:t>
      </w:r>
      <w:r>
        <w:rPr>
          <w:b/>
          <w:bCs/>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BodyText"/>
      </w:pPr>
      <w:r>
        <w:drawing>
          <wp:inline>
            <wp:extent cx="5334000" cy="2323329"/>
            <wp:effectExtent b="0" l="0" r="0" t="0"/>
            <wp:docPr descr="Example of the default output from flextable" title="" id="53" name="Picture"/>
            <a:graphic>
              <a:graphicData uri="http://schemas.openxmlformats.org/drawingml/2006/picture">
                <pic:pic>
                  <pic:nvPicPr>
                    <pic:cNvPr descr="pics/module04_flextable_example.jpeg" id="54" name="Picture"/>
                    <pic:cNvPicPr>
                      <a:picLocks noChangeArrowheads="1" noChangeAspect="1"/>
                    </pic:cNvPicPr>
                  </pic:nvPicPr>
                  <pic:blipFill>
                    <a:blip r:embed="rId52"/>
                    <a:stretch>
                      <a:fillRect/>
                    </a:stretch>
                  </pic:blipFill>
                  <pic:spPr bwMode="auto">
                    <a:xfrm>
                      <a:off x="0" y="0"/>
                      <a:ext cx="5334000" cy="2323329"/>
                    </a:xfrm>
                    <a:prstGeom prst="rect">
                      <a:avLst/>
                    </a:prstGeom>
                    <a:noFill/>
                    <a:ln w="9525">
                      <a:noFill/>
                      <a:headEnd/>
                      <a:tailEnd/>
                    </a:ln>
                  </pic:spPr>
                </pic:pic>
              </a:graphicData>
            </a:graphic>
          </wp:inline>
        </w:drawing>
      </w:r>
      <w:r>
        <w:t xml:space="preserve"> </w:t>
      </w:r>
      <w:r>
        <w:t xml:space="preserve">See? Just that easy, and we’ve already got defined headers and content in a very clean format.</w:t>
      </w:r>
    </w:p>
    <w:bookmarkEnd w:id="55"/>
    <w:bookmarkStart w:id="63" w:name="building-a-table-of-attack-rates"/>
    <w:p>
      <w:pPr>
        <w:pStyle w:val="Heading3"/>
      </w:pPr>
      <w:r>
        <w:t xml:space="preserve">Building a table of attack rates</w:t>
      </w:r>
    </w:p>
    <w:p>
      <w:pPr>
        <w:pStyle w:val="FirstParagraph"/>
      </w:pPr>
      <w:r>
        <w:t xml:space="preserve">We recently produced an output of attack rates for the different food items from the ship’s menu, but as you saw, the results weren’t very pretty and were poorly formatted for inclusion in any kind of report or email to be shared with others. Instead of going through the painstaking process of drafting a table in a word processing software and manually copying over the values, let’s instead put our efforts into creating a nice flextable that we can then export to use directly in a report.</w:t>
      </w:r>
    </w:p>
    <w:bookmarkStart w:id="59" w:name="formatting-the-data-for-use-in-a-table"/>
    <w:p>
      <w:pPr>
        <w:pStyle w:val="Heading4"/>
      </w:pPr>
      <w:r>
        <w:t xml:space="preserve">Formatting the data for use in a table</w:t>
      </w:r>
    </w:p>
    <w:p>
      <w:pPr>
        <w:pStyle w:val="FirstParagraph"/>
      </w:pPr>
      <w:r>
        <w:t xml:space="preserve">First, we’ll start by revisiting the code we used earlier to create the attack rate table that was based on the general case definition for defining illness among ship’s passengers.</w:t>
      </w:r>
    </w:p>
    <w:p>
      <w:pPr>
        <w:pStyle w:val="SourceCode"/>
      </w:pPr>
      <w:r>
        <w:rPr>
          <w:rStyle w:val="CommentTok"/>
        </w:rPr>
        <w:t xml:space="preserve"># Note: this is the same code used earlier</w:t>
      </w:r>
      <w:r>
        <w:br/>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results produced by the code above are printed in wide-format. This isn’t great for readability, so lets first</w:t>
      </w:r>
      <w:r>
        <w:t xml:space="preserve"> </w:t>
      </w:r>
      <w:r>
        <w:rPr>
          <w:b/>
          <w:bCs/>
        </w:rPr>
        <w:t xml:space="preserve">pivot</w:t>
      </w:r>
      <w:r>
        <w:t xml:space="preserve"> </w:t>
      </w:r>
      <w:r>
        <w:t xml:space="preserve">the results into</w:t>
      </w:r>
      <w:r>
        <w:t xml:space="preserve"> </w:t>
      </w:r>
      <w:r>
        <w:rPr>
          <w:b/>
          <w:bCs/>
        </w:rPr>
        <w:t xml:space="preserve">long format</w:t>
      </w:r>
      <w:r>
        <w:t xml:space="preserve"> </w:t>
      </w:r>
      <w:r>
        <w:t xml:space="preserve">using the</w:t>
      </w:r>
      <w:r>
        <w:t xml:space="preserve"> </w:t>
      </w:r>
      <w:r>
        <w:rPr>
          <w:b/>
          <w:bCs/>
        </w:rPr>
        <w:t xml:space="preserve">pivot_longer()</w:t>
      </w:r>
      <w:r>
        <w:t xml:space="preserve"> </w:t>
      </w:r>
      <w:r>
        <w:t xml:space="preserve">function.</w:t>
      </w:r>
    </w:p>
    <w:p>
      <w:pPr>
        <w:pStyle w:val="SourceCode"/>
      </w:pPr>
      <w:r>
        <w:rPr>
          <w:rStyle w:val="CommentTok"/>
        </w:rPr>
        <w:t xml:space="preserve"># Pivot the attack rate table into long format for readability</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that includes the menu items, and a column of their attack rate for general illness. Let’s save this as an object before moving on to more complex tasks, but first, since attack rates are usually expressed as a percentage, we’ll add a line in to multiply that column by 100.</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rPr>
          <w:rStyle w:val="NormalTok"/>
        </w:rPr>
        <w:t xml:space="preserve"> </w:t>
      </w:r>
      <w:r>
        <w:rPr>
          <w:rStyle w:val="CommentTok"/>
        </w:rPr>
        <w:t xml:space="preserve"># Multiply AR by 100 to attain percentages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rPr>
          <w:rStyle w:val="CommentTok"/>
        </w:rPr>
        <w:t xml:space="preserve"># Save table as a flextable object</w:t>
      </w: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By itself this works very well with documents in MS Word or PDF formats. Additionally, flextable also allows for lots of attractive formatting options!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In a matter of one line of code, we were able to easily create a flextable object.</w:t>
            </w:r>
          </w:p>
          <w:p>
            <w:pPr>
              <w:pStyle w:val="BodyText"/>
            </w:pPr>
            <w:r>
              <w:t xml:space="preserve">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you got to wrap the code into the flextable function.</w:t>
            </w:r>
          </w:p>
          <w:p>
            <w:pPr>
              <w:pStyle w:val="BodyText"/>
            </w:pPr>
            <w:pPr>
              <w:spacing w:after="16"/>
            </w:pPr>
            <w:r>
              <w:t xml:space="preserve">As you continue your R journey, and face more complex R operations in the future, you’ll find that large complex problems can</w:t>
            </w:r>
            <w:r>
              <w:t xml:space="preserve"> </w:t>
            </w:r>
            <w:r>
              <w:rPr>
                <w:b/>
                <w:bCs/>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p/>
        </w:tc>
      </w:tr>
    </w:tbl>
    <w:bookmarkEnd w:id="59"/>
    <w:bookmarkStart w:id="62" w:name="working-with-a-flextable-object"/>
    <w:p>
      <w:pPr>
        <w:pStyle w:val="Heading4"/>
      </w:pPr>
      <w:r>
        <w:t xml:space="preserve">Working with a flextable object</w:t>
      </w:r>
    </w:p>
    <w:p>
      <w:pPr>
        <w:pStyle w:val="FirstParagraph"/>
      </w:pPr>
      <w:r>
        <w:t xml:space="preserve">Now that we have our basic flextable made up, let’s try out some formatting options available within the flextable package to make the table a little nicer.</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
          <w:iCs/>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 =</w:t>
      </w:r>
      <w:r>
        <w:t xml:space="preserve"> </w:t>
      </w:r>
      <w:r>
        <w:t xml:space="preserve">argument.</w:t>
      </w:r>
    </w:p>
    <w:p>
      <w:pPr>
        <w:pStyle w:val="BodyText"/>
      </w:pPr>
      <w:r>
        <w:t xml:space="preserve">Finally,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60">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almost endless applications and extensions to the package. Take a few minutes to explore some further options for formatting your flextable using the documentation</w:t>
      </w:r>
      <w:r>
        <w:t xml:space="preserve"> </w:t>
      </w:r>
      <w:hyperlink r:id="rId61">
        <w:r>
          <w:rPr>
            <w:rStyle w:val="Hyperlink"/>
          </w:rPr>
          <w:t xml:space="preserve">here</w:t>
        </w:r>
      </w:hyperlink>
      <w:r>
        <w:t xml:space="preserve">, as well as leveraging your favorite AI tool for ideas and help.</w:t>
      </w:r>
    </w:p>
    <w:bookmarkEnd w:id="62"/>
    <w:bookmarkEnd w:id="63"/>
    <w:bookmarkStart w:id="64"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
          <w:bCs/>
        </w:rPr>
        <w:t xml:space="preserve">general</w:t>
      </w:r>
      <w:r>
        <w:t xml:space="preserve"> </w:t>
      </w:r>
      <w:r>
        <w:t xml:space="preserve">illness case definition, but did not include the</w:t>
      </w:r>
      <w:r>
        <w:t xml:space="preserve"> </w:t>
      </w:r>
      <w:r>
        <w:rPr>
          <w:b/>
          <w:bCs/>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pStyle w:val="Compact"/>
        <w:numPr>
          <w:ilvl w:val="0"/>
          <w:numId w:val="1009"/>
        </w:numPr>
      </w:pPr>
      <w:r>
        <w:t xml:space="preserve">Menu item</w:t>
      </w:r>
    </w:p>
    <w:p>
      <w:pPr>
        <w:pStyle w:val="Compact"/>
        <w:numPr>
          <w:ilvl w:val="0"/>
          <w:numId w:val="1009"/>
        </w:numPr>
      </w:pPr>
      <w:r>
        <w:t xml:space="preserve">General illness AR</w:t>
      </w:r>
    </w:p>
    <w:p>
      <w:pPr>
        <w:pStyle w:val="Compact"/>
        <w:numPr>
          <w:ilvl w:val="0"/>
          <w:numId w:val="1009"/>
        </w:numPr>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p>
      <w:pPr>
        <w:pStyle w:val="BodyText"/>
      </w:pPr>
      <w:r>
        <w:t xml:space="preserve">Click to show the code, but please try this yourself first!</w:t>
      </w:r>
    </w:p>
    <w:p>
      <w:pPr>
        <w:pStyle w:val="SourceCode"/>
      </w:pPr>
      <w:r>
        <w:rPr>
          <w:rStyle w:val="NormalTok"/>
        </w:rPr>
        <w:t xml:space="preserve">ar_srs_table </w:t>
      </w:r>
      <w:r>
        <w:rPr>
          <w:rStyle w:val="OtherTok"/>
        </w:rPr>
        <w:t xml:space="preserve">&lt;-</w:t>
      </w:r>
      <w:r>
        <w:rPr>
          <w:rStyle w:val="NormalTok"/>
        </w:rPr>
        <w:t xml:space="preserve"> </w:t>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"{.col}_AR_general"</w:t>
      </w:r>
      <w:r>
        <w:br/>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serious.case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"{.col}_AR_serious"</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"menu_item"</w:t>
      </w:r>
      <w:r>
        <w:rPr>
          <w:rStyle w:val="NormalTok"/>
        </w:rPr>
        <w:t xml:space="preserve">, </w:t>
      </w:r>
      <w:r>
        <w:rPr>
          <w:rStyle w:val="StringTok"/>
        </w:rPr>
        <w:t xml:space="preserve">"AR_type"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"(.*)_AR_(.*)"</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"attack_rate"</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AR_type,</w:t>
      </w:r>
      <w:r>
        <w:br/>
      </w:r>
      <w:r>
        <w:rPr>
          <w:rStyle w:val="NormalTok"/>
        </w:rPr>
        <w:t xml:space="preserve">    </w:t>
      </w:r>
      <w:r>
        <w:rPr>
          <w:rStyle w:val="AttributeTok"/>
        </w:rPr>
        <w:t xml:space="preserve">values_from =</w:t>
      </w:r>
      <w:r>
        <w:rPr>
          <w:rStyle w:val="NormalTok"/>
        </w:rPr>
        <w:t xml:space="preserve"> attack_rate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general =</w:t>
      </w:r>
      <w:r>
        <w:rPr>
          <w:rStyle w:val="NormalTok"/>
        </w:rPr>
        <w:t xml:space="preserve"> general</w:t>
      </w:r>
      <w:r>
        <w:rPr>
          <w:rStyle w:val="SpecialCharTok"/>
        </w:rPr>
        <w:t xml:space="preserve">*</w:t>
      </w:r>
      <w:r>
        <w:rPr>
          <w:rStyle w:val="DecValTok"/>
        </w:rPr>
        <w:t xml:space="preserve">100</w:t>
      </w:r>
      <w:r>
        <w:rPr>
          <w:rStyle w:val="NormalTok"/>
        </w:rPr>
        <w:t xml:space="preserve">, </w:t>
      </w:r>
      <w:r>
        <w:br/>
      </w:r>
      <w:r>
        <w:rPr>
          <w:rStyle w:val="NormalTok"/>
        </w:rPr>
        <w:t xml:space="preserve">    </w:t>
      </w:r>
      <w:r>
        <w:rPr>
          <w:rStyle w:val="AttributeTok"/>
        </w:rPr>
        <w:t xml:space="preserve">serious =</w:t>
      </w:r>
      <w:r>
        <w:rPr>
          <w:rStyle w:val="NormalTok"/>
        </w:rPr>
        <w:t xml:space="preserve"> serious</w:t>
      </w:r>
      <w:r>
        <w:rPr>
          <w:rStyle w:val="SpecialCharTok"/>
        </w:rPr>
        <w:t xml:space="preserve">*</w:t>
      </w:r>
      <w:r>
        <w:rPr>
          <w:rStyle w:val="DecValTok"/>
        </w:rPr>
        <w:t xml:space="preserve">100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"menu_item"</w:t>
      </w:r>
      <w:r>
        <w:rPr>
          <w:rStyle w:val="NormalTok"/>
        </w:rPr>
        <w:t xml:space="preserve">, </w:t>
      </w:r>
      <w:r>
        <w:br/>
      </w:r>
      <w:r>
        <w:rPr>
          <w:rStyle w:val="NormalTok"/>
        </w:rPr>
        <w:t xml:space="preserve">    </w:t>
      </w:r>
      <w:r>
        <w:rPr>
          <w:rStyle w:val="StringTok"/>
        </w:rPr>
        <w:t xml:space="preserve">`</w:t>
      </w:r>
      <w:r>
        <w:rPr>
          <w:rStyle w:val="AttributeTok"/>
        </w:rPr>
        <w:t xml:space="preserve">AR General</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"general"</w:t>
      </w:r>
      <w:r>
        <w:rPr>
          <w:rStyle w:val="NormalTok"/>
        </w:rPr>
        <w:t xml:space="preserve">,</w:t>
      </w:r>
      <w:r>
        <w:br/>
      </w:r>
      <w:r>
        <w:rPr>
          <w:rStyle w:val="NormalTok"/>
        </w:rPr>
        <w:t xml:space="preserve">    </w:t>
      </w:r>
      <w:r>
        <w:rPr>
          <w:rStyle w:val="StringTok"/>
        </w:rPr>
        <w:t xml:space="preserve">`</w:t>
      </w:r>
      <w:r>
        <w:rPr>
          <w:rStyle w:val="AttributeTok"/>
        </w:rPr>
        <w:t xml:space="preserve">AR Serious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"serious"</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"AR General"</w:t>
      </w:r>
      <w:r>
        <w:rPr>
          <w:rStyle w:val="NormalTok"/>
        </w:rPr>
        <w:t xml:space="preserve">, </w:t>
      </w:r>
      <w:r>
        <w:rPr>
          <w:rStyle w:val="StringTok"/>
        </w:rPr>
        <w:t xml:space="preserve">"AR Serious"</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r>
        <w:br/>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4"/>
    <w:bookmarkEnd w:id="65"/>
    <w:bookmarkStart w:id="66"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participant_data/module4/scripts</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including general and serious illnesses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
          <w:bCs/>
        </w:rPr>
        <w:t xml:space="preserve">S. S. Rainbow Cake</w:t>
      </w:r>
      <w:r>
        <w:t xml:space="preserve">.</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21" Target="media/rId21.jpg" /><Relationship Type="http://schemas.openxmlformats.org/officeDocument/2006/relationships/image" Id="rId52" Target="media/rId52.jpg" /><Relationship Type="http://schemas.openxmlformats.org/officeDocument/2006/relationships/image" Id="rId24" Target="media/rId24.jpg" /><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2026-01-28T01:23:37Z</dcterms:created>
  <dcterms:modified xsi:type="dcterms:W3CDTF">2026-01-28T01:23:37Z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