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Override PartName="/word/media/rId39.jpg" ContentType="image/jpe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3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22">
        <w:r>
          <w:rPr>
            <w:rStyle w:val="Hyperlink"/>
          </w:rPr>
          <w:t xml:space="preserve">included packages here</w:t>
        </w:r>
      </w:hyperlink>
      <w:r>
        <w:t xml:space="preserve">.</w:t>
      </w:r>
    </w:p>
    <w:p>
      <w:pPr>
        <w:pStyle w:val="BodyText"/>
      </w:pPr>
      <w:r>
        <w:t xml:space="preserve">Let’s take a look inside the folders for</w:t>
      </w:r>
      <w:r>
        <w:t xml:space="preserve"> </w:t>
      </w:r>
      <w:r>
        <w:rPr>
          <w:b/>
          <w:bCs/>
        </w:rPr>
        <w:t xml:space="preserve">Module 1</w:t>
      </w:r>
      <w:r>
        <w:t xml:space="preserve"> </w:t>
      </w:r>
      <w:r>
        <w:t xml:space="preserve">- there should be three:</w:t>
      </w:r>
    </w:p>
    <w:p>
      <w:pPr>
        <w:pStyle w:val="Compact"/>
        <w:numPr>
          <w:ilvl w:val="0"/>
          <w:numId w:val="1002"/>
        </w:numPr>
      </w:pPr>
      <w:r>
        <w:t xml:space="preserve">data/</w:t>
      </w:r>
    </w:p>
    <w:p>
      <w:pPr>
        <w:pStyle w:val="Compact"/>
        <w:numPr>
          <w:ilvl w:val="0"/>
          <w:numId w:val="1002"/>
        </w:numPr>
      </w:pPr>
      <w:r>
        <w:t xml:space="preserve">scripts/</w:t>
      </w:r>
    </w:p>
    <w:p>
      <w:pPr>
        <w:pStyle w:val="Compact"/>
        <w:numPr>
          <w:ilvl w:val="0"/>
          <w:numId w:val="1002"/>
        </w:numPr>
      </w:pPr>
      <w:r>
        <w:t xml:space="preserve">output/</w:t>
      </w:r>
    </w:p>
    <w:p>
      <w:pPr>
        <w:pStyle w:val="FirstParagraph"/>
      </w:pPr>
      <w:r>
        <w:t xml:space="preserve">Inside the data/ 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read the excel file directly into your computers memory without any format changes, we’ll use the</w:t>
      </w:r>
      <w:r>
        <w:t xml:space="preserve"> </w:t>
      </w:r>
      <w:r>
        <w:rPr>
          <w:b/>
          <w:bCs/>
        </w:rPr>
        <w:t xml:space="preserve">readxl</w:t>
      </w:r>
      <w:r>
        <w:t xml:space="preserve"> </w:t>
      </w:r>
      <w:r>
        <w:t xml:space="preserve">package, which, lucky for us, works great with tidyverse. However, the package is</w:t>
      </w:r>
      <w:r>
        <w:t xml:space="preserve"> </w:t>
      </w:r>
      <w:r>
        <w:rPr>
          <w:b/>
          <w:bCs/>
        </w:rPr>
        <w:t xml:space="preserve">not</w:t>
      </w:r>
      <w:r>
        <w:t xml:space="preserve"> </w:t>
      </w:r>
      <w:r>
        <w:t xml:space="preserve">included in tidyverse, so we’ll need to install and load it into memory separately.</w:t>
      </w:r>
    </w:p>
    <w:p>
      <w:pPr>
        <w:pStyle w:val="BodyText"/>
      </w:pPr>
      <w:r>
        <w:t xml:space="preserve">Try installing and loading</w:t>
      </w:r>
      <w:r>
        <w:t xml:space="preserve"> </w:t>
      </w:r>
      <w:r>
        <w:rPr>
          <w:b/>
          <w:bCs/>
        </w:rPr>
        <w:t xml:space="preserve">readxl</w:t>
      </w:r>
      <w:r>
        <w:t xml:space="preserve">, then using the function</w:t>
      </w:r>
      <w:r>
        <w:t xml:space="preserve"> </w:t>
      </w:r>
      <w:r>
        <w:rPr>
          <w:i/>
          <w:iCs/>
        </w:rPr>
        <w:t xml:space="preserve">read_excel()</w:t>
      </w:r>
      <w:r>
        <w:t xml:space="preserve"> </w:t>
      </w:r>
      <w:r>
        <w:t xml:space="preserve">to load the file</w:t>
      </w:r>
      <w:r>
        <w:t xml:space="preserve"> </w:t>
      </w:r>
      <w:r>
        <w:t xml:space="preserve">“ship_manifest.xlsx”</w:t>
      </w:r>
    </w:p>
    <w:p>
      <w:pPr>
        <w:pStyle w:val="SourceCode"/>
      </w:pPr>
      <w:r>
        <w:rPr>
          <w:rStyle w:val="NormalTok"/>
        </w:rPr>
        <w:t xml:space="preserve">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p>
      <w:pPr>
        <w:pStyle w:val="FirstParagraph"/>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BHETMAN\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bookmarkStart w:id="29" w:name="pic_passmanifest"/>
          <w:p>
            <w:pPr>
              <w:pStyle w:val="CaptionedFigure"/>
            </w:pPr>
            <w:r>
              <w:drawing>
                <wp:inline>
                  <wp:extent cx="5334000" cy="1866221"/>
                  <wp:effectExtent b="0" l="0" r="0" t="0"/>
                  <wp:docPr descr="The header section of the passenger manifest" title="" id="27" name="Picture"/>
                  <a:graphic>
                    <a:graphicData uri="http://schemas.openxmlformats.org/drawingml/2006/picture">
                      <pic:pic>
                        <pic:nvPicPr>
                          <pic:cNvPr descr="pics/passengermanifesttop.jpg" id="28" name="Picture"/>
                          <pic:cNvPicPr>
                            <a:picLocks noChangeArrowheads="1" noChangeAspect="1"/>
                          </pic:cNvPicPr>
                        </pic:nvPicPr>
                        <pic:blipFill>
                          <a:blip r:embed="rId2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29"/>
          <w:p/>
        </w:tc>
      </w:tr>
    </w:tbl>
    <w:p>
      <w:pPr>
        <w:pStyle w:val="BodyText"/>
      </w:pPr>
      <w:r>
        <w:t xml:space="preserve">Yikes!</w:t>
      </w:r>
    </w:p>
    <w:p>
      <w:pPr>
        <w:pStyle w:val="BodyText"/>
      </w:pPr>
      <w:r>
        <w:t xml:space="preserve">When will these fictional-nautical-based-tourism-that-definitely-aren’t-pirates-companies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30"/>
    <w:bookmarkStart w:id="31" w:name="tidy-data-and-r"/>
    <w:p>
      <w:pPr>
        <w:pStyle w:val="Heading2"/>
      </w:pPr>
      <w:r>
        <w:t xml:space="preserve">Tidy data and R</w:t>
      </w:r>
    </w:p>
    <w:p>
      <w:pPr>
        <w:pStyle w:val="FirstParagraph"/>
      </w:pPr>
      <w:r>
        <w:t xml:space="preserve">When we interpret tables in R, the software is expecting consistent columns, each containing a unique variable, with the top row of all the columns containing a name for each variable. If we look a little more closely, we can actually see that this is the case for the useful data in the form, however, we first need to tell R to remove, or skip, the rows of the form that do not contain useful information.</w:t>
      </w:r>
    </w:p>
    <w:p>
      <w:pPr>
        <w:pStyle w:val="BodyText"/>
      </w:pPr>
      <w:r>
        <w:t xml:space="preserve">Fortunately, this is pretty easy to do with our</w:t>
      </w:r>
      <w:r>
        <w:t xml:space="preserve"> </w:t>
      </w:r>
      <w:r>
        <w:rPr>
          <w:b/>
          <w:bCs/>
        </w:rPr>
        <w:t xml:space="preserve">read_excel()</w:t>
      </w:r>
      <w:r>
        <w:t xml:space="preserve"> </w:t>
      </w:r>
      <w:r>
        <w:t xml:space="preserve">function. Review the function help using the following line of code.</w:t>
      </w:r>
    </w:p>
    <w:p>
      <w:pPr>
        <w:pStyle w:val="BlockText"/>
      </w:pPr>
      <w: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31"/>
    <w:bookmarkStart w:id="3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3"/>
        </w:numPr>
      </w:pPr>
      <w:r>
        <w:t xml:space="preserve">Are variables named consistently and without spaces or special characters?</w:t>
      </w:r>
    </w:p>
    <w:p>
      <w:pPr>
        <w:numPr>
          <w:ilvl w:val="0"/>
          <w:numId w:val="1003"/>
        </w:numPr>
      </w:pPr>
      <w:r>
        <w:t xml:space="preserve">Are the data contained within each variable consistent? I.e., only one data type per variable?</w:t>
      </w:r>
    </w:p>
    <w:p>
      <w:pPr>
        <w:numPr>
          <w:ilvl w:val="0"/>
          <w:numId w:val="1003"/>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Impossible to know whether a cell was left intentionally blank, or whether it is the result of data entry errors.</w:t>
            </w:r>
          </w:p>
        </w:tc>
      </w:tr>
    </w:tbl>
    <w:p>
      <w:pPr>
        <w:numPr>
          <w:ilvl w:val="0"/>
          <w:numId w:val="1003"/>
        </w:numPr>
      </w:pPr>
      <w:r>
        <w:t xml:space="preserve">How are dates formatted?</w:t>
      </w:r>
    </w:p>
    <w:p>
      <w:pPr>
        <w:numPr>
          <w:ilvl w:val="0"/>
          <w:numId w:val="1003"/>
        </w:numPr>
      </w:pPr>
      <w:r>
        <w:t xml:space="preserve">How do you want place names to be formatted? E.g., should provinces be spelled out in full, or is it easier to replace these with abbreviated versions?</w:t>
      </w:r>
    </w:p>
    <w:p>
      <w:pPr>
        <w:numPr>
          <w:ilvl w:val="0"/>
          <w:numId w:val="1003"/>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compared to ours! Below is a list of issues that we found with the passenger manifest table.</w:t>
      </w:r>
    </w:p>
    <w:p>
      <w:pPr>
        <w:pStyle w:val="BodyText"/>
      </w:pPr>
      <w:r>
        <w:t xml:space="preserve">Click to show the list</w:t>
      </w:r>
    </w:p>
    <w:p>
      <w:pPr>
        <w:numPr>
          <w:ilvl w:val="0"/>
          <w:numId w:val="1004"/>
        </w:numPr>
      </w:pPr>
      <w:r>
        <w:t xml:space="preserve">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4"/>
        </w:numPr>
      </w:pPr>
      <w:r>
        <w:t xml:space="preserve">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4"/>
        </w:numPr>
      </w:pPr>
      <w:r>
        <w:t xml:space="preserve">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4"/>
        </w:numPr>
      </w:pP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4"/>
        </w:numPr>
      </w:pPr>
      <w:r>
        <w:t xml:space="preserve">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4"/>
        </w:numPr>
      </w:pPr>
      <w:r>
        <w:rPr>
          <w:b/>
          <w:bCs/>
        </w:rPr>
        <w:t xml:space="preserve">Boarding Date</w:t>
      </w:r>
      <w:r>
        <w:t xml:space="preserve"> </w:t>
      </w:r>
      <w:r>
        <w:t xml:space="preserve">for some reason has the date written out in a non-date format. We should probably fix this as well.</w:t>
      </w:r>
    </w:p>
    <w:bookmarkEnd w:id="32"/>
    <w:bookmarkStart w:id="51"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3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05"/>
        </w:numPr>
      </w:pPr>
      <w:r>
        <w:t xml:space="preserve">First…1 and Last…2 versus First…11 and Last…12 - we’ll need to fix these so that they make more sense and are easier to work with.</w:t>
      </w:r>
    </w:p>
    <w:p>
      <w:pPr>
        <w:pStyle w:val="Compact"/>
        <w:numPr>
          <w:ilvl w:val="0"/>
          <w:numId w:val="1005"/>
        </w:numPr>
      </w:pPr>
      <w:r>
        <w:t xml:space="preserve">Several variables include spaces in their naming, so we’ll fix that too.</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33"/>
    <w:bookmarkStart w:id="34"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p>
      <w:pPr>
        <w:pStyle w:val="FirstParagraph"/>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06"/>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06"/>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07"/>
        </w:numPr>
      </w:pPr>
      <w:r>
        <w:t xml:space="preserve">Entry 14 - Aug 21, 1992</w:t>
      </w:r>
    </w:p>
    <w:p>
      <w:pPr>
        <w:numPr>
          <w:ilvl w:val="0"/>
          <w:numId w:val="1007"/>
        </w:numPr>
      </w:pPr>
      <w:r>
        <w:t xml:space="preserve">Entry 97 - Aug 30, 1982</w:t>
      </w:r>
    </w:p>
    <w:p>
      <w:pPr>
        <w:numPr>
          <w:ilvl w:val="0"/>
          <w:numId w:val="1007"/>
        </w:numPr>
      </w:pPr>
      <w:r>
        <w:t xml:space="preserve">Entry 127 - Mar 9, 1993</w:t>
      </w:r>
    </w:p>
    <w:p>
      <w:pPr>
        <w:numPr>
          <w:ilvl w:val="0"/>
          <w:numId w:val="1007"/>
        </w:numPr>
      </w:pPr>
      <w:r>
        <w:t xml:space="preserve">Entry 155 - Jan 13, 1959 (let’s assume the order of month and day were mixed)</w:t>
      </w:r>
    </w:p>
    <w:p>
      <w:pPr>
        <w:numPr>
          <w:ilvl w:val="0"/>
          <w:numId w:val="1007"/>
        </w:numPr>
      </w:pPr>
      <w:r>
        <w:t xml:space="preserve">Entry 568 - Jul 18, 1968</w:t>
      </w:r>
    </w:p>
    <w:p>
      <w:pPr>
        <w:pStyle w:val="FirstParagraph"/>
      </w:pPr>
      <w:r>
        <w:t xml:space="preserve">These are all easy to fix if we stick with indices that we learned about in R-basics..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library(lubridate)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34"/>
    <w:bookmarkStart w:id="42"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08"/>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09"/>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0"/>
        </w:numPr>
      </w:pPr>
      <w:r>
        <w:t xml:space="preserve">Round that value down to an integer</w:t>
      </w:r>
    </w:p>
    <w:p>
      <w:pPr>
        <w:pStyle w:val="BlockText"/>
      </w:pPr>
      <w:r>
        <w:t xml:space="preserve">floor(time_length)</w:t>
      </w:r>
    </w:p>
    <w:p>
      <w:pPr>
        <w:pStyle w:val="Compact"/>
        <w:numPr>
          <w:ilvl w:val="0"/>
          <w:numId w:val="1011"/>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BHETMAN\AppData\Local\Programs\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38">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40" name="Picture"/>
                  <a:graphic>
                    <a:graphicData uri="http://schemas.openxmlformats.org/drawingml/2006/picture">
                      <pic:pic>
                        <pic:nvPicPr>
                          <pic:cNvPr descr="pics/LAC_shipmanifest_handwritten.jpg" id="41" name="Picture"/>
                          <pic:cNvPicPr>
                            <a:picLocks noChangeArrowheads="1" noChangeAspect="1"/>
                          </pic:cNvPicPr>
                        </pic:nvPicPr>
                        <pic:blipFill>
                          <a:blip r:embed="rId39"/>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42"/>
    <w:bookmarkStart w:id="44"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43"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43"/>
    <w:bookmarkEnd w:id="44"/>
    <w:bookmarkStart w:id="48"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2"/>
        </w:numPr>
      </w:pPr>
      <w:r>
        <w:t xml:space="preserve">There are several missing and marked as NA (not much we can do about these at the moment).</w:t>
      </w:r>
    </w:p>
    <w:p>
      <w:pPr>
        <w:pStyle w:val="Compact"/>
        <w:numPr>
          <w:ilvl w:val="0"/>
          <w:numId w:val="1012"/>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2"/>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47"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45">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3"/>
        </w:numPr>
      </w:pPr>
      <w:r>
        <w:rPr>
          <w:i/>
          <w:iCs/>
        </w:rPr>
        <w:t xml:space="preserve">string</w:t>
      </w:r>
      <w:r>
        <w:t xml:space="preserve"> </w:t>
      </w:r>
      <w:r>
        <w:t xml:space="preserve">= the variable containing character strings you wish to modify</w:t>
      </w:r>
    </w:p>
    <w:p>
      <w:pPr>
        <w:numPr>
          <w:ilvl w:val="0"/>
          <w:numId w:val="1013"/>
        </w:numPr>
      </w:pPr>
      <w:r>
        <w:rPr>
          <w:i/>
          <w:iCs/>
        </w:rPr>
        <w:t xml:space="preserve">pattern</w:t>
      </w:r>
      <w:r>
        <w:t xml:space="preserve"> </w:t>
      </w:r>
      <w:r>
        <w:t xml:space="preserve">= the pattern you want to replace</w:t>
      </w:r>
    </w:p>
    <w:p>
      <w:pPr>
        <w:numPr>
          <w:ilvl w:val="0"/>
          <w:numId w:val="1013"/>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46">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4"/>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4"/>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47"/>
    <w:bookmarkEnd w:id="48"/>
    <w:bookmarkStart w:id="49"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49"/>
    <w:bookmarkStart w:id="50"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write_csv()</w:t>
      </w:r>
      <w:r>
        <w:t xml:space="preserve"> </w:t>
      </w:r>
      <w:r>
        <w:t xml:space="preserve">function like so:</w:t>
      </w:r>
    </w:p>
    <w:p>
      <w:pPr>
        <w:pStyle w:val="BlockText"/>
      </w:pPr>
      <w:r>
        <w:t xml:space="preserve">write_csv(dataset,</w:t>
      </w:r>
      <w:r>
        <w:t xml:space="preserve"> </w:t>
      </w:r>
      <w:r>
        <w:t xml:space="preserve">“name_to_save_as.csv”</w:t>
      </w:r>
      <w:r>
        <w:t xml:space="preserve">)</w:t>
      </w:r>
    </w:p>
    <w:bookmarkEnd w:id="50"/>
    <w:bookmarkEnd w:id="51"/>
    <w:bookmarkStart w:id="52"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15"/>
        </w:numPr>
      </w:pPr>
      <w:r>
        <w:t xml:space="preserve">Read a complex excel file and store it as a data frame object</w:t>
      </w:r>
    </w:p>
    <w:p>
      <w:pPr>
        <w:pStyle w:val="Compact"/>
        <w:numPr>
          <w:ilvl w:val="0"/>
          <w:numId w:val="1015"/>
        </w:numPr>
      </w:pPr>
      <w:r>
        <w:t xml:space="preserve">Remove egregious excel-formatting from the header of the file</w:t>
      </w:r>
    </w:p>
    <w:p>
      <w:pPr>
        <w:pStyle w:val="Compact"/>
        <w:numPr>
          <w:ilvl w:val="0"/>
          <w:numId w:val="1015"/>
        </w:numPr>
      </w:pPr>
      <w:r>
        <w:t xml:space="preserve">Fix variable names</w:t>
      </w:r>
    </w:p>
    <w:p>
      <w:pPr>
        <w:pStyle w:val="Compact"/>
        <w:numPr>
          <w:ilvl w:val="0"/>
          <w:numId w:val="1015"/>
        </w:numPr>
      </w:pPr>
      <w:r>
        <w:t xml:space="preserve">Fix individual data entries within variables</w:t>
      </w:r>
    </w:p>
    <w:p>
      <w:pPr>
        <w:pStyle w:val="Compact"/>
        <w:numPr>
          <w:ilvl w:val="0"/>
          <w:numId w:val="1015"/>
        </w:numPr>
      </w:pPr>
      <w:r>
        <w:t xml:space="preserve">Fix dates</w:t>
      </w:r>
    </w:p>
    <w:p>
      <w:pPr>
        <w:pStyle w:val="Compact"/>
        <w:numPr>
          <w:ilvl w:val="0"/>
          <w:numId w:val="1015"/>
        </w:numPr>
      </w:pPr>
      <w:r>
        <w:t xml:space="preserve">Fix complex strings</w:t>
      </w:r>
    </w:p>
    <w:p>
      <w:pPr>
        <w:pStyle w:val="Compact"/>
        <w:numPr>
          <w:ilvl w:val="0"/>
          <w:numId w:val="1015"/>
        </w:numPr>
      </w:pPr>
      <w:r>
        <w:t xml:space="preserve">Write a file to disk.</w:t>
      </w:r>
    </w:p>
    <w:p>
      <w:pPr>
        <w:pStyle w:val="FirstParagraph"/>
      </w:pPr>
      <w:r>
        <w:t xml:space="preserve">That’s a lot! We even managed to sneak a small preview of regular expressions in there!</w:t>
      </w:r>
    </w:p>
    <w:bookmarkEnd w:id="52"/>
    <w:bookmarkStart w:id="53"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9" Target="media/rId39.jpg" /><Relationship Type="http://schemas.openxmlformats.org/officeDocument/2006/relationships/image" Id="rId26" Target="media/rId26.jpg" /><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46" Target="https://regexlearn.com/cheatsheet" TargetMode="External" /><Relationship Type="http://schemas.openxmlformats.org/officeDocument/2006/relationships/hyperlink" Id="rId45" Target="https://stringr.tidyverse.org/reference/str_replace.html" TargetMode="External" /><Relationship Type="http://schemas.openxmlformats.org/officeDocument/2006/relationships/hyperlink" Id="rId22" Target="https://tidyverse.org/packages" TargetMode="External" /><Relationship Type="http://schemas.openxmlformats.org/officeDocument/2006/relationships/hyperlink" Id="rId38"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2026-01-09T19:29:18Z</dcterms:created>
  <dcterms:modified xsi:type="dcterms:W3CDTF">2026-01-09T19:29:18Z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