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32.png" ContentType="image/png"/>
  <Override PartName="/word/media/rId40.png" ContentType="image/png"/>
  <Override PartName="/word/media/rId21.jpg" ContentType="image/jpeg"/>
  <Override PartName="/word/media/rId4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Cs/>
          <w:b/>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numPr>
          <w:ilvl w:val="0"/>
          <w:numId w:val="1001"/>
        </w:numPr>
        <w:pStyle w:val="Compact"/>
      </w:pPr>
      <w:r>
        <w:t xml:space="preserve">Calculate common outbreak statistics based on food exposure data</w:t>
      </w:r>
    </w:p>
    <w:p>
      <w:pPr>
        <w:numPr>
          <w:ilvl w:val="0"/>
          <w:numId w:val="1001"/>
        </w:numPr>
        <w:pStyle w:val="Compact"/>
      </w:pPr>
      <w:r>
        <w:t xml:space="preserve">Create attractive tables using the</w:t>
      </w:r>
      <w:r>
        <w:t xml:space="preserve"> </w:t>
      </w:r>
      <w:r>
        <w:rPr>
          <w:bCs/>
          <w:b/>
        </w:rPr>
        <w:t xml:space="preserve">flextable</w:t>
      </w:r>
      <w:r>
        <w:t xml:space="preserve"> </w:t>
      </w:r>
      <w:r>
        <w:t xml:space="preserve">package</w:t>
      </w:r>
    </w:p>
    <w:p>
      <w:pPr>
        <w:numPr>
          <w:ilvl w:val="0"/>
          <w:numId w:val="1001"/>
        </w:numPr>
        <w:pStyle w:val="Compact"/>
      </w:pPr>
      <w:r>
        <w:t xml:space="preserve">Create a convenient report using markdown language</w:t>
      </w:r>
    </w:p>
    <w:bookmarkEnd w:id="20"/>
    <w:bookmarkStart w:id="31" w:name="scenario-update"/>
    <w:p>
      <w:pPr>
        <w:pStyle w:val="Heading2"/>
      </w:pPr>
      <w:r>
        <w:t xml:space="preserve">Scenario update</w:t>
      </w:r>
    </w:p>
    <w:p>
      <w:pPr>
        <w:pStyle w:val="FirstParagraph"/>
      </w:pPr>
      <w:r>
        <w:t xml:space="preserve">At the end of the last module, we saw that symptoms of</w:t>
      </w:r>
      <w:r>
        <w:t xml:space="preserve"> </w:t>
      </w:r>
      <w:r>
        <w:rPr>
          <w:bCs/>
          <w:b/>
        </w:rPr>
        <w:t xml:space="preserve">bloody stool</w:t>
      </w:r>
      <w:r>
        <w:t xml:space="preserve"> </w:t>
      </w:r>
      <w:r>
        <w:t xml:space="preserve">and</w:t>
      </w:r>
      <w:r>
        <w:t xml:space="preserve"> </w:t>
      </w:r>
      <w:r>
        <w:rPr>
          <w:bCs/>
          <w:b/>
        </w:rPr>
        <w:t xml:space="preserve">fever</w:t>
      </w:r>
      <w:r>
        <w:t xml:space="preserve"> </w:t>
      </w:r>
      <w:r>
        <w:t xml:space="preserve">appeared to be specific to passengers that had boarded the ship on February 9th, and primarily</w:t>
      </w:r>
      <w:r>
        <w:t xml:space="preserve"> </w:t>
      </w:r>
      <w:r>
        <w:t xml:space="preserve">“</w:t>
      </w:r>
      <w:r>
        <w:t xml:space="preserve">Silver</w:t>
      </w:r>
      <w:r>
        <w:t xml:space="preserve">”</w:t>
      </w:r>
      <w:r>
        <w:t xml:space="preserve"> </w:t>
      </w:r>
      <w:r>
        <w:t xml:space="preserve">cruise member status. After speaking to a few of the crew members, they let you know the following:</w:t>
      </w:r>
    </w:p>
    <w:p>
      <w:pPr>
        <w:numPr>
          <w:ilvl w:val="0"/>
          <w:numId w:val="1002"/>
        </w:numPr>
        <w:pStyle w:val="Compact"/>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numPr>
          <w:ilvl w:val="0"/>
          <w:numId w:val="1002"/>
        </w:numPr>
        <w:pStyle w:val="Compact"/>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Cs/>
          <w:b/>
        </w:rPr>
        <w:t xml:space="preserve">Sam Stewpot</w:t>
      </w:r>
      <w:r>
        <w:t xml:space="preserve"> </w:t>
      </w:r>
      <w:r>
        <w:t xml:space="preserve">(or</w:t>
      </w:r>
      <w:r>
        <w:t xml:space="preserve"> </w:t>
      </w:r>
      <w:r>
        <w:t xml:space="preserve">‘</w:t>
      </w:r>
      <w:r>
        <w:t xml:space="preserve">Salty Sam</w:t>
      </w:r>
      <w:r>
        <w:t xml:space="preserve">’</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w:t>
      </w:r>
      <w:r>
        <w:t xml:space="preserve">Salty Sam Stewpot</w:t>
      </w:r>
      <w:r>
        <w:t xml:space="preserve">”</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bookmarkStart w:id="30" w:name="cruise-ship-outbreaks"/>
    <w:p>
      <w:pPr>
        <w:pStyle w:val="Heading3"/>
      </w:pPr>
      <w:r>
        <w:t xml:space="preserve">Cruise ship outbreaks</w:t>
      </w:r>
    </w:p>
    <w:p>
      <w:pPr>
        <w:pStyle w:val="FirstParagraph"/>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Cs/>
          <w:b/>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numPr>
          <w:ilvl w:val="0"/>
          <w:numId w:val="1003"/>
        </w:numPr>
        <w:pStyle w:val="Compact"/>
      </w:pPr>
      <w:hyperlink r:id="rId27">
        <w:r>
          <w:rPr>
            <w:rStyle w:val="Hyperlink"/>
          </w:rPr>
          <w:t xml:space="preserve">CDC Yellow Book: Cruise Ship Travel 2026</w:t>
        </w:r>
      </w:hyperlink>
    </w:p>
    <w:p>
      <w:pPr>
        <w:numPr>
          <w:ilvl w:val="0"/>
          <w:numId w:val="1003"/>
        </w:numPr>
        <w:pStyle w:val="Compact"/>
      </w:pPr>
      <w:hyperlink r:id="rId28">
        <w:r>
          <w:rPr>
            <w:rStyle w:val="Hyperlink"/>
          </w:rPr>
          <w:t xml:space="preserve">CDC Vessel Sanitation Program (VSP): Outbreaks on Cruise Ships in VSP’s Jurisdiction (2025)</w:t>
        </w:r>
      </w:hyperlink>
    </w:p>
    <w:p>
      <w:pPr>
        <w:numPr>
          <w:ilvl w:val="0"/>
          <w:numId w:val="1003"/>
        </w:numPr>
        <w:pStyle w:val="Compact"/>
      </w:pPr>
      <w:hyperlink r:id="rId29">
        <w:r>
          <w:rPr>
            <w:rStyle w:val="Hyperlink"/>
          </w:rPr>
          <w:t xml:space="preserve">Epidemiology of Diarrheal Disease Outbreaks on Cruise Ships, 1986 Through 1993</w:t>
        </w:r>
      </w:hyperlink>
    </w:p>
    <w:bookmarkEnd w:id="30"/>
    <w:bookmarkEnd w:id="31"/>
    <w:bookmarkStart w:id="37" w:name="part-a-exploring-and-preparing-the-data"/>
    <w:p>
      <w:pPr>
        <w:pStyle w:val="Heading2"/>
      </w:pPr>
      <w:r>
        <w:t xml:space="preserve">Part A: Exploring and preparing the data</w:t>
      </w:r>
    </w:p>
    <w:bookmarkStart w:id="35"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PROGRA~1\RStudio\RESOUR~1\app\bin\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numPr>
                <w:ilvl w:val="0"/>
                <w:numId w:val="1004"/>
              </w:numPr>
              <w:pStyle w:val="Compact"/>
            </w:pPr>
            <w:r>
              <w:rPr>
                <w:bCs/>
                <w:b/>
              </w:rPr>
              <w:t xml:space="preserve">Y</w:t>
            </w:r>
            <w:r>
              <w:t xml:space="preserve"> </w:t>
            </w:r>
            <w:r>
              <w:t xml:space="preserve">=</w:t>
            </w:r>
            <w:r>
              <w:t xml:space="preserve"> </w:t>
            </w:r>
            <w:r>
              <w:rPr>
                <w:bCs/>
                <w:b/>
              </w:rPr>
              <w:t xml:space="preserve">Yes</w:t>
            </w:r>
            <w:r>
              <w:t xml:space="preserve">, the passenger recalls eating the food item.</w:t>
            </w:r>
          </w:p>
          <w:p>
            <w:pPr>
              <w:numPr>
                <w:ilvl w:val="0"/>
                <w:numId w:val="1004"/>
              </w:numPr>
              <w:pStyle w:val="Compact"/>
            </w:pPr>
            <w:r>
              <w:rPr>
                <w:bCs/>
                <w:b/>
              </w:rPr>
              <w:t xml:space="preserve">N</w:t>
            </w:r>
            <w:r>
              <w:t xml:space="preserve"> </w:t>
            </w:r>
            <w:r>
              <w:t xml:space="preserve">=</w:t>
            </w:r>
            <w:r>
              <w:t xml:space="preserve"> </w:t>
            </w:r>
            <w:r>
              <w:rPr>
                <w:bCs/>
                <w:b/>
              </w:rPr>
              <w:t xml:space="preserve">No</w:t>
            </w:r>
            <w:r>
              <w:t xml:space="preserve">, the passenger recalls specifically NOT eating the food item.</w:t>
            </w:r>
          </w:p>
          <w:p>
            <w:pPr>
              <w:numPr>
                <w:ilvl w:val="0"/>
                <w:numId w:val="1004"/>
              </w:numPr>
              <w:pStyle w:val="Compact"/>
            </w:pPr>
            <w:r>
              <w:rPr>
                <w:bCs/>
                <w:b/>
              </w:rPr>
              <w:t xml:space="preserve">P</w:t>
            </w:r>
            <w:r>
              <w:t xml:space="preserve"> </w:t>
            </w:r>
            <w:r>
              <w:t xml:space="preserve">=</w:t>
            </w:r>
            <w:r>
              <w:t xml:space="preserve"> </w:t>
            </w:r>
            <w:r>
              <w:rPr>
                <w:bCs/>
                <w:b/>
              </w:rPr>
              <w:t xml:space="preserve">Possibly</w:t>
            </w:r>
            <w:r>
              <w:t xml:space="preserve">, the passenger recalls that they may have eaten the food item, either from their own plate or from a spouses or someone at the same table.</w:t>
            </w:r>
          </w:p>
          <w:p>
            <w:pPr>
              <w:numPr>
                <w:ilvl w:val="0"/>
                <w:numId w:val="1004"/>
              </w:numPr>
              <w:pStyle w:val="Compact"/>
            </w:pPr>
            <w:r>
              <w:rPr>
                <w:bCs/>
                <w:b/>
              </w:rPr>
              <w:t xml:space="preserve">DK</w:t>
            </w:r>
            <w:r>
              <w:t xml:space="preserve"> </w:t>
            </w:r>
            <w:r>
              <w:t xml:space="preserve">=</w:t>
            </w:r>
            <w:r>
              <w:t xml:space="preserve"> </w:t>
            </w:r>
            <w:r>
              <w:rPr>
                <w:bCs/>
                <w:b/>
              </w:rPr>
              <w:t xml:space="preserve">Doesn’t know</w:t>
            </w:r>
            <w:r>
              <w:t xml:space="preserve"> </w:t>
            </w:r>
            <w:r>
              <w:t xml:space="preserve">or</w:t>
            </w:r>
            <w:r>
              <w:t xml:space="preserve"> </w:t>
            </w:r>
            <w:r>
              <w:rPr>
                <w:bCs/>
                <w:b/>
              </w:rPr>
              <w:t xml:space="preserve">doesn’t recall</w:t>
            </w:r>
            <w:r>
              <w:t xml:space="preserve">, the passenger does not recall whether they consumed the food item or not.</w:t>
            </w:r>
          </w:p>
        </w:tc>
      </w:tr>
    </w:tbl>
    <w:p>
      <w:pPr>
        <w:pStyle w:val="FirstParagraph"/>
      </w:pPr>
      <w:r>
        <w:t xml:space="preserve">You may choose to do differently for your analysis, but for our walk-through of this module, we’ll use the following guidelines to recode these values into something we can use:</w:t>
      </w:r>
    </w:p>
    <w:p>
      <w:pPr>
        <w:numPr>
          <w:ilvl w:val="0"/>
          <w:numId w:val="1005"/>
        </w:numPr>
        <w:pStyle w:val="Compact"/>
      </w:pPr>
      <w:r>
        <w:rPr>
          <w:bCs/>
          <w:b/>
        </w:rPr>
        <w:t xml:space="preserve">1</w:t>
      </w:r>
      <w:r>
        <w:t xml:space="preserve"> </w:t>
      </w:r>
      <w:r>
        <w:t xml:space="preserve">=</w:t>
      </w:r>
      <w:r>
        <w:t xml:space="preserve"> </w:t>
      </w:r>
      <w:r>
        <w:rPr>
          <w:bCs/>
          <w:b/>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numPr>
          <w:ilvl w:val="0"/>
          <w:numId w:val="1005"/>
        </w:numPr>
        <w:pStyle w:val="Compact"/>
      </w:pPr>
      <w:r>
        <w:rPr>
          <w:bCs/>
          <w:b/>
        </w:rPr>
        <w:t xml:space="preserve">0</w:t>
      </w:r>
      <w:r>
        <w:t xml:space="preserve"> </w:t>
      </w:r>
      <w:r>
        <w:t xml:space="preserve">=</w:t>
      </w:r>
      <w:r>
        <w:t xml:space="preserve"> </w:t>
      </w:r>
      <w:r>
        <w:rPr>
          <w:bCs/>
          <w:b/>
        </w:rPr>
        <w:t xml:space="preserve">N</w:t>
      </w:r>
      <w:r>
        <w:t xml:space="preserve">. Only passengers who recall that they specifically did not consume the food item will be treated as a confirmed negative, since those with poor recall may have been exposed and not reported it.</w:t>
      </w:r>
    </w:p>
    <w:p>
      <w:pPr>
        <w:numPr>
          <w:ilvl w:val="0"/>
          <w:numId w:val="1005"/>
        </w:numPr>
        <w:pStyle w:val="Compact"/>
      </w:pPr>
      <w:r>
        <w:rPr>
          <w:bCs/>
          <w:b/>
        </w:rPr>
        <w:t xml:space="preserve">NA</w:t>
      </w:r>
      <w:r>
        <w:t xml:space="preserve"> </w:t>
      </w:r>
      <w:r>
        <w:t xml:space="preserve">=</w:t>
      </w:r>
      <w:r>
        <w:t xml:space="preserve"> </w:t>
      </w:r>
      <w:r>
        <w:rPr>
          <w:bCs/>
          <w:b/>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Cs/>
          <w:i/>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5"/>
    <w:bookmarkStart w:id="36"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6"/>
    <w:bookmarkEnd w:id="37"/>
    <w:bookmarkStart w:id="46"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Cs/>
          <w:b/>
        </w:rPr>
        <w:t xml:space="preserve">ate the food item of interest and became ill</w:t>
      </w:r>
      <w:r>
        <w:t xml:space="preserve"> </w:t>
      </w:r>
      <w:r>
        <w:t xml:space="preserve">in the</w:t>
      </w:r>
      <w:r>
        <w:t xml:space="preserve"> </w:t>
      </w:r>
      <w:r>
        <w:rPr>
          <w:bCs/>
          <w:b/>
        </w:rPr>
        <w:t xml:space="preserve">numerator</w:t>
      </w:r>
      <w:r>
        <w:t xml:space="preserve">, and the</w:t>
      </w:r>
      <w:r>
        <w:t xml:space="preserve"> </w:t>
      </w:r>
      <w:r>
        <w:rPr>
          <w:bCs/>
          <w:b/>
        </w:rPr>
        <w:t xml:space="preserve">total number of persons who consumed the food item</w:t>
      </w:r>
      <w:r>
        <w:t xml:space="preserve"> </w:t>
      </w:r>
      <w:r>
        <w:t xml:space="preserve">in the</w:t>
      </w:r>
      <w:r>
        <w:t xml:space="preserve"> </w:t>
      </w:r>
      <w:r>
        <w:rPr>
          <w:bCs/>
          <w:b/>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Cs/>
          <w:b/>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Cs/>
          <w:b/>
        </w:rPr>
        <w:t xml:space="preserve">all passengers aboard the S. S. Rainbow Cake</w:t>
      </w:r>
      <w:r>
        <w:t xml:space="preserve">, with</w:t>
      </w:r>
      <w:r>
        <w:t xml:space="preserve"> </w:t>
      </w:r>
      <w:r>
        <w:rPr>
          <w:bCs/>
          <w:b/>
        </w:rPr>
        <w:t xml:space="preserve">symptoms of bloody stool OR fever</w:t>
      </w:r>
      <w:r>
        <w:t xml:space="preserve">,</w:t>
      </w:r>
      <w:r>
        <w:t xml:space="preserve"> </w:t>
      </w:r>
      <w:r>
        <w:rPr>
          <w:bCs/>
          <w:b/>
        </w:rPr>
        <w:t xml:space="preserve">symptom onset dates between February 9th and 14th</w:t>
      </w:r>
      <w:r>
        <w:t xml:space="preserve">, and who</w:t>
      </w:r>
      <w:r>
        <w:t xml:space="preserve"> </w:t>
      </w:r>
      <w:r>
        <w:rPr>
          <w:bCs/>
          <w:b/>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Cs/>
          <w:i/>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Cs/>
          <w:b/>
        </w:rPr>
        <w:t xml:space="preserve">two</w:t>
      </w:r>
      <w:r>
        <w:t xml:space="preserve"> </w:t>
      </w:r>
      <w:r>
        <w:t xml:space="preserve">variables we’re working with for each calculation in this instance (i.e., consumed food item, case status) we’ll need to include</w:t>
      </w:r>
      <w:r>
        <w:t xml:space="preserve"> </w:t>
      </w:r>
      <w:r>
        <w:rPr>
          <w:bCs/>
          <w:b/>
        </w:rPr>
        <w:t xml:space="preserve">both</w:t>
      </w:r>
      <w:r>
        <w:t xml:space="preserve"> </w:t>
      </w:r>
      <w:r>
        <w:t xml:space="preserve">inside our sum() function when counting up the cases. We’ll use</w:t>
      </w:r>
      <w:r>
        <w:t xml:space="preserve"> </w:t>
      </w:r>
      <w:r>
        <w:rPr>
          <w:bCs/>
          <w:b/>
        </w:rPr>
        <w:t xml:space="preserve">Boolean logic</w:t>
      </w:r>
      <w:r>
        <w:t xml:space="preserve"> </w:t>
      </w:r>
      <w:r>
        <w:t xml:space="preserve">to do this, and apply the</w:t>
      </w:r>
      <w:r>
        <w:t xml:space="preserve"> </w:t>
      </w:r>
      <w:r>
        <w:rPr>
          <w:bCs/>
          <w:b/>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PROGRA~1\RStudio\RESOUR~1\app\bin\quarto\share\formats\docx\note.png" id="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tblLook w:firstRow="0" w:lastRow="0" w:firstColumn="0" w:lastColumn="0"/>
              <w:jc w:val="center"/>
            </w:tblPr>
            <w:tblGrid>
              <w:gridCol w:w="7920"/>
            </w:tblGrid>
            <w:tr>
              <w:tc>
                <w:tcPr/>
                <w:p>
                  <w:pPr>
                    <w:pStyle w:val="Compact"/>
                    <w:jc w:val="center"/>
                  </w:pPr>
                  <w:hyperlink r:id="rId43">
                    <w:r>
                      <w:drawing>
                        <wp:inline>
                          <wp:extent cx="4572000" cy="6134100"/>
                          <wp:effectExtent b="0" l="0" r="0" t="0"/>
                          <wp:docPr descr="George Boole (1815-1864). Portrait by unknown artist." title="" id="41" name="Picture"/>
                          <a:graphic>
                            <a:graphicData uri="http://schemas.openxmlformats.org/drawingml/2006/picture">
                              <pic:pic>
                                <pic:nvPicPr>
                                  <pic:cNvPr descr="pics/module04_George_Boole.png" id="42" name="Picture"/>
                                  <pic:cNvPicPr>
                                    <a:picLocks noChangeArrowheads="1" noChangeAspect="1"/>
                                  </pic:cNvPicPr>
                                </pic:nvPicPr>
                                <pic:blipFill>
                                  <a:blip r:embed="rId40"/>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Cs/>
                <w:b/>
              </w:rPr>
              <w:t xml:space="preserve">TRUE</w:t>
            </w:r>
            <w:r>
              <w:t xml:space="preserve"> </w:t>
            </w:r>
            <w:r>
              <w:t xml:space="preserve">or</w:t>
            </w:r>
            <w:r>
              <w:t xml:space="preserve"> </w:t>
            </w:r>
            <w:r>
              <w:rPr>
                <w:bCs/>
                <w:b/>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numPr>
                <w:ilvl w:val="0"/>
                <w:numId w:val="1007"/>
              </w:numPr>
              <w:pStyle w:val="Compact"/>
            </w:pPr>
            <w:r>
              <w:rPr>
                <w:rStyle w:val="VerbatimChar"/>
              </w:rPr>
              <w:t xml:space="preserve">&amp;</w:t>
            </w:r>
            <w:r>
              <w:t xml:space="preserve"> </w:t>
            </w:r>
            <w:r>
              <w:t xml:space="preserve">AND</w:t>
            </w:r>
          </w:p>
          <w:p>
            <w:pPr>
              <w:numPr>
                <w:ilvl w:val="0"/>
                <w:numId w:val="1007"/>
              </w:numPr>
              <w:pStyle w:val="Compact"/>
            </w:pPr>
            <w:r>
              <w:rPr>
                <w:rStyle w:val="VerbatimChar"/>
              </w:rPr>
              <w:t xml:space="preserve">|</w:t>
            </w:r>
            <w:r>
              <w:t xml:space="preserve"> </w:t>
            </w:r>
            <w:r>
              <w:t xml:space="preserve">OR</w:t>
            </w:r>
          </w:p>
          <w:p>
            <w:pPr>
              <w:numPr>
                <w:ilvl w:val="0"/>
                <w:numId w:val="1007"/>
              </w:numPr>
              <w:pStyle w:val="Compact"/>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Cs/>
                <w:b/>
              </w:rPr>
              <w:t xml:space="preserve">comparison operators</w:t>
            </w:r>
            <w:r>
              <w:t xml:space="preserve"> </w:t>
            </w:r>
            <w:r>
              <w:t xml:space="preserve">to chain some complex statements together.</w:t>
            </w:r>
          </w:p>
          <w:p>
            <w:pPr>
              <w:numPr>
                <w:ilvl w:val="0"/>
                <w:numId w:val="1008"/>
              </w:numPr>
              <w:pStyle w:val="Compact"/>
            </w:pPr>
            <w:r>
              <w:rPr>
                <w:rStyle w:val="VerbatimChar"/>
              </w:rPr>
              <w:t xml:space="preserve">==</w:t>
            </w:r>
            <w:r>
              <w:t xml:space="preserve"> </w:t>
            </w:r>
            <w:r>
              <w:t xml:space="preserve">EQUAL (or EQUIVALENT) TO</w:t>
            </w:r>
          </w:p>
          <w:p>
            <w:pPr>
              <w:numPr>
                <w:ilvl w:val="0"/>
                <w:numId w:val="1008"/>
              </w:numPr>
              <w:pStyle w:val="Compact"/>
            </w:pPr>
            <w:r>
              <w:rPr>
                <w:rStyle w:val="VerbatimChar"/>
              </w:rPr>
              <w:t xml:space="preserve">!=</w:t>
            </w:r>
            <w:r>
              <w:t xml:space="preserve"> </w:t>
            </w:r>
            <w:r>
              <w:t xml:space="preserve">NOT EQUAL (or EQUIVALENT) TO</w:t>
            </w:r>
          </w:p>
          <w:p>
            <w:pPr>
              <w:numPr>
                <w:ilvl w:val="0"/>
                <w:numId w:val="1008"/>
              </w:numPr>
              <w:pStyle w:val="Compact"/>
            </w:pPr>
            <w:r>
              <w:rPr>
                <w:rStyle w:val="VerbatimChar"/>
              </w:rPr>
              <w:t xml:space="preserve">&lt;</w:t>
            </w:r>
            <w:r>
              <w:t xml:space="preserve"> </w:t>
            </w:r>
            <w:r>
              <w:t xml:space="preserve">LESS THAN</w:t>
            </w:r>
          </w:p>
          <w:p>
            <w:pPr>
              <w:numPr>
                <w:ilvl w:val="0"/>
                <w:numId w:val="1008"/>
              </w:numPr>
              <w:pStyle w:val="Compact"/>
            </w:pPr>
            <w:r>
              <w:rPr>
                <w:rStyle w:val="VerbatimChar"/>
              </w:rPr>
              <w:t xml:space="preserve">&gt;</w:t>
            </w:r>
            <w:r>
              <w:t xml:space="preserve"> </w:t>
            </w:r>
            <w:r>
              <w:t xml:space="preserve">GREATER THAN</w:t>
            </w:r>
          </w:p>
          <w:p>
            <w:pPr>
              <w:numPr>
                <w:ilvl w:val="0"/>
                <w:numId w:val="1008"/>
              </w:numPr>
              <w:pStyle w:val="Compact"/>
            </w:pPr>
            <w:r>
              <w:rPr>
                <w:rStyle w:val="VerbatimChar"/>
              </w:rPr>
              <w:t xml:space="preserve">&lt;=</w:t>
            </w:r>
            <w:r>
              <w:t xml:space="preserve"> </w:t>
            </w:r>
            <w:r>
              <w:t xml:space="preserve">LESS THAN OR EQUAL TO</w:t>
            </w:r>
          </w:p>
          <w:p>
            <w:pPr>
              <w:numPr>
                <w:ilvl w:val="0"/>
                <w:numId w:val="1008"/>
              </w:numPr>
              <w:pStyle w:val="Compact"/>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Cs/>
                <w:b/>
              </w:rPr>
              <w:t xml:space="preserve">GREATER THAN OR EQUAL TO</w:t>
            </w:r>
            <w:r>
              <w:t xml:space="preserve"> </w:t>
            </w:r>
            <w:r>
              <w:t xml:space="preserve">to 33 years of age,</w:t>
            </w:r>
            <w:r>
              <w:t xml:space="preserve"> </w:t>
            </w:r>
            <w:r>
              <w:rPr>
                <w:bCs/>
                <w:b/>
              </w:rPr>
              <w:t xml:space="preserve">AND</w:t>
            </w:r>
            <w:r>
              <w:t xml:space="preserve"> </w:t>
            </w:r>
            <w:r>
              <w:t xml:space="preserve">has eaten the potato salad,</w:t>
            </w:r>
            <w:r>
              <w:t xml:space="preserve"> </w:t>
            </w:r>
            <w:r>
              <w:rPr>
                <w:bCs/>
                <w:b/>
              </w:rPr>
              <w:t xml:space="preserve">AND</w:t>
            </w:r>
            <w:r>
              <w:t xml:space="preserve"> </w:t>
            </w:r>
            <w:r>
              <w:t xml:space="preserve">has reported fever</w:t>
            </w:r>
            <w:r>
              <w:t xml:space="preserve"> </w:t>
            </w:r>
            <w:r>
              <w:rPr>
                <w:bCs/>
                <w:b/>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4">
              <w:r>
                <w:rPr>
                  <w:rStyle w:val="Hyperlink"/>
                </w:rPr>
                <w:t xml:space="preserve">Logical Vectors from the R for Data online textbook!</w:t>
              </w:r>
            </w:hyperlink>
          </w:p>
        </w:tc>
      </w:tr>
    </w:tbl>
    <w:p>
      <w:pPr>
        <w:pStyle w:val="BodyText"/>
      </w:pPr>
      <w:r>
        <w:t xml:space="preserve">Let’s use summarise() to try out our Boolean logic within the sum() function using just the first food item, and the</w:t>
      </w:r>
      <w:r>
        <w:t xml:space="preserve"> </w:t>
      </w:r>
      <w:r>
        <w:rPr>
          <w:bCs/>
          <w:b/>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Cs/>
          <w:b/>
        </w:rPr>
        <w:t xml:space="preserve">general illnesses</w:t>
      </w:r>
      <w:r>
        <w:t xml:space="preserve">. Feel free to use either long-form, and write out a new line for each food item, or go back and review earlier in this module, as well as</w:t>
      </w:r>
      <w:r>
        <w:t xml:space="preserve"> </w:t>
      </w:r>
      <w:r>
        <w:rPr>
          <w:bCs/>
          <w:b/>
        </w:rPr>
        <w:t xml:space="preserve">Module 3</w:t>
      </w:r>
      <w:r>
        <w:t xml:space="preserve"> </w:t>
      </w:r>
      <w:r>
        <w:t xml:space="preserve">where we practiced with using</w:t>
      </w:r>
      <w:r>
        <w:t xml:space="preserve"> </w:t>
      </w:r>
      <w:r>
        <w:rPr>
          <w:bCs/>
          <w:b/>
        </w:rPr>
        <w:t xml:space="preserve">across()</w:t>
      </w:r>
      <w:r>
        <w:t xml:space="preserve"> </w:t>
      </w:r>
      <w:r>
        <w:t xml:space="preserve">within the</w:t>
      </w:r>
      <w:r>
        <w:t xml:space="preserve"> </w:t>
      </w:r>
      <w:r>
        <w:rPr>
          <w:bCs/>
          <w:b/>
        </w:rPr>
        <w:t xml:space="preserve">summarise()</w:t>
      </w:r>
      <w:r>
        <w:t xml:space="preserve"> </w:t>
      </w:r>
      <w:r>
        <w:t xml:space="preserve">function, and try to work out how to do the calculations all in one go! Note: when we used</w:t>
      </w:r>
      <w:r>
        <w:t xml:space="preserve"> </w:t>
      </w:r>
      <w:r>
        <w:rPr>
          <w:bCs/>
          <w:b/>
        </w:rPr>
        <w:t xml:space="preserve">across()</w:t>
      </w:r>
      <w:r>
        <w:t xml:space="preserve"> </w:t>
      </w:r>
      <w:r>
        <w:t xml:space="preserve">previously, we were calculating based on multiple input variables only, and not outputting multiple variables. You may need to</w:t>
      </w:r>
      <w:r>
        <w:t xml:space="preserve"> </w:t>
      </w:r>
      <w:hyperlink r:id="rId45">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6"/>
    <w:bookmarkStart w:id="61"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0"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Cs/>
          <w:b/>
        </w:rPr>
        <w:t xml:space="preserve">S. S. Rainbow Cake</w:t>
      </w:r>
      <w:r>
        <w:t xml:space="preserve">!). While not a</w:t>
      </w:r>
      <w:r>
        <w:t xml:space="preserve"> </w:t>
      </w:r>
      <w:r>
        <w:rPr>
          <w:iCs/>
          <w:i/>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Cs/>
          <w:b/>
        </w:rPr>
        <w:t xml:space="preserve">data frame</w:t>
      </w:r>
      <w:r>
        <w:t xml:space="preserve"> </w:t>
      </w:r>
      <w:r>
        <w:t xml:space="preserve">as input, and returns a</w:t>
      </w:r>
      <w:r>
        <w:t xml:space="preserve"> </w:t>
      </w:r>
      <w:r>
        <w:rPr>
          <w:bCs/>
          <w:b/>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8" name="Picture"/>
            <a:graphic>
              <a:graphicData uri="http://schemas.openxmlformats.org/drawingml/2006/picture">
                <pic:pic>
                  <pic:nvPicPr>
                    <pic:cNvPr descr="pics/module04_flextable_example.jpeg" id="49" name="Picture"/>
                    <pic:cNvPicPr>
                      <a:picLocks noChangeArrowheads="1" noChangeAspect="1"/>
                    </pic:cNvPicPr>
                  </pic:nvPicPr>
                  <pic:blipFill>
                    <a:blip r:embed="rId47"/>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0"/>
    <w:bookmarkStart w:id="59"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4"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Cs/>
                <w:b/>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tc>
      </w:tr>
    </w:tbl>
    <w:bookmarkEnd w:id="54"/>
    <w:bookmarkStart w:id="58"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Cs/>
          <w:i/>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5">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6">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7">
        <w:r>
          <w:rPr>
            <w:rStyle w:val="Hyperlink"/>
          </w:rPr>
          <w:t xml:space="preserve">here</w:t>
        </w:r>
      </w:hyperlink>
      <w:r>
        <w:t xml:space="preserve">.</w:t>
      </w:r>
    </w:p>
    <w:bookmarkEnd w:id="58"/>
    <w:bookmarkEnd w:id="59"/>
    <w:bookmarkStart w:id="60"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Cs/>
          <w:b/>
        </w:rPr>
        <w:t xml:space="preserve">general</w:t>
      </w:r>
      <w:r>
        <w:t xml:space="preserve"> </w:t>
      </w:r>
      <w:r>
        <w:t xml:space="preserve">illness case definition, but did not include the</w:t>
      </w:r>
      <w:r>
        <w:t xml:space="preserve"> </w:t>
      </w:r>
      <w:r>
        <w:rPr>
          <w:bCs/>
          <w:b/>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numPr>
          <w:ilvl w:val="0"/>
          <w:numId w:val="1009"/>
        </w:numPr>
        <w:pStyle w:val="Compact"/>
      </w:pPr>
      <w:r>
        <w:t xml:space="preserve">Menu item</w:t>
      </w:r>
    </w:p>
    <w:p>
      <w:pPr>
        <w:numPr>
          <w:ilvl w:val="0"/>
          <w:numId w:val="1009"/>
        </w:numPr>
        <w:pStyle w:val="Compact"/>
      </w:pPr>
      <w:r>
        <w:t xml:space="preserve">General illness AR</w:t>
      </w:r>
    </w:p>
    <w:p>
      <w:pPr>
        <w:numPr>
          <w:ilvl w:val="0"/>
          <w:numId w:val="1009"/>
        </w:numPr>
        <w:pStyle w:val="Compact"/>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w:t>
            </w:r>
          </w:p>
        </w:tc>
      </w:tr>
    </w:tbl>
    <w:bookmarkEnd w:id="60"/>
    <w:bookmarkEnd w:id="61"/>
    <w:bookmarkStart w:id="62" w:name="part-d-putting-it-all-together"/>
    <w:p>
      <w:pPr>
        <w:pStyle w:val="Heading2"/>
      </w:pPr>
      <w:r>
        <w:t xml:space="preserve">Part D: Putting it all together</w:t>
      </w:r>
    </w:p>
    <w:p>
      <w:pPr>
        <w:pStyle w:val="FirstParagraph"/>
      </w:pPr>
      <w:r>
        <w:t xml:space="preserve">The captain asked for a nice report - and that’s what we’re going to deliver!</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1" Target="media/rId21.jpg" /><Relationship Type="http://schemas.openxmlformats.org/officeDocument/2006/relationships/image" Id="rId47" Target="media/rId47.jpg" /><Relationship Type="http://schemas.openxmlformats.org/officeDocument/2006/relationships/image" Id="rId24" Target="media/rId24.jpg" /><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6" Target="https://ardata-fr.github.io/flextable-book/index.html" TargetMode="External" /><Relationship Type="http://schemas.openxmlformats.org/officeDocument/2006/relationships/hyperlink" Id="rId57" Target="https://ardata-fr.github.io/flextable-book/static/pdf/cheat_sheet_flextable.pdf" TargetMode="External" /><Relationship Type="http://schemas.openxmlformats.org/officeDocument/2006/relationships/hyperlink" Id="rId55" Target="https://ardata.fr/en/flextable-gallery/" TargetMode="External" /><Relationship Type="http://schemas.openxmlformats.org/officeDocument/2006/relationships/hyperlink" Id="rId45" Target="https://dplyr.tidyverse.org/reference/across.html" TargetMode="External" /><Relationship Type="http://schemas.openxmlformats.org/officeDocument/2006/relationships/hyperlink" Id="rId43" Target="https://en.wikipedia.org/wiki/George_Boole" TargetMode="External" /><Relationship Type="http://schemas.openxmlformats.org/officeDocument/2006/relationships/hyperlink" Id="rId29" Target="https://jamanetwork.com/journals/jama/article-abstract/396811?utm_source=chatgpt.com" TargetMode="External" /><Relationship Type="http://schemas.openxmlformats.org/officeDocument/2006/relationships/hyperlink" Id="rId44" Target="https://r4ds.hadley.nz/logicals.html" TargetMode="External" /><Relationship Type="http://schemas.openxmlformats.org/officeDocument/2006/relationships/hyperlink" Id="rId28" Target="https://www.cdc.gov/vessel-sanitation/cruise-ship-outbreaks/index.html" TargetMode="External" /><Relationship Type="http://schemas.openxmlformats.org/officeDocument/2006/relationships/hyperlink" Id="rId27"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2026-01-21T19:13:49Z</dcterms:created>
  <dcterms:modified xsi:type="dcterms:W3CDTF">2026-01-21T19:13:49Z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