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1.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27"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5334000" cy="6786799"/>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5334000" cy="6786799"/>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see that certain menu items are restricted to the higher tier memberships only. Will this change which food items you decide to include in your analysis? Why or why not?</w:t>
      </w:r>
    </w:p>
    <w:p>
      <w:r>
        <w:pict>
          <v:rect style="width:0;height:1.5pt" o:hralign="center" o:hrstd="t" o:hr="t"/>
        </w:pict>
      </w:r>
    </w:p>
    <w:bookmarkEnd w:id="27"/>
    <w:bookmarkStart w:id="32" w:name="Xc7c71463ec5844cbfed2c5976ce19f5531e66d5"/>
    <w:p>
      <w:pPr>
        <w:pStyle w:val="Heading2"/>
      </w:pPr>
      <w:r>
        <w:t xml:space="preserve">Part A: Exploring the food exposure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BHETMAN\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pStyle w:val="Compact"/>
              <w:numPr>
                <w:ilvl w:val="0"/>
                <w:numId w:val="1003"/>
              </w:numPr>
            </w:pPr>
            <w:r>
              <w:rPr>
                <w:b/>
                <w:bCs/>
              </w:rPr>
              <w:t xml:space="preserve">Y</w:t>
            </w:r>
            <w:r>
              <w:t xml:space="preserve"> </w:t>
            </w:r>
            <w:r>
              <w:t xml:space="preserve">=</w:t>
            </w:r>
            <w:r>
              <w:t xml:space="preserve"> </w:t>
            </w:r>
            <w:r>
              <w:rPr>
                <w:b/>
                <w:bCs/>
              </w:rPr>
              <w:t xml:space="preserve">Yes</w:t>
            </w:r>
            <w:r>
              <w:t xml:space="preserve">, the passenger recalls eating the food item.</w:t>
            </w:r>
          </w:p>
          <w:p>
            <w:pPr>
              <w:pStyle w:val="Compact"/>
              <w:numPr>
                <w:ilvl w:val="0"/>
                <w:numId w:val="1003"/>
              </w:numPr>
            </w:pPr>
            <w:r>
              <w:rPr>
                <w:b/>
                <w:bCs/>
              </w:rPr>
              <w:t xml:space="preserve">N</w:t>
            </w:r>
            <w:r>
              <w:t xml:space="preserve"> </w:t>
            </w:r>
            <w:r>
              <w:t xml:space="preserve">=</w:t>
            </w:r>
            <w:r>
              <w:t xml:space="preserve"> </w:t>
            </w:r>
            <w:r>
              <w:rPr>
                <w:b/>
                <w:bCs/>
              </w:rPr>
              <w:t xml:space="preserve">No</w:t>
            </w:r>
            <w:r>
              <w:t xml:space="preserve">, the passenger recalls specifically NOT eating the food item.</w:t>
            </w:r>
          </w:p>
          <w:p>
            <w:pPr>
              <w:pStyle w:val="Compact"/>
              <w:numPr>
                <w:ilvl w:val="0"/>
                <w:numId w:val="1003"/>
              </w:numPr>
            </w:pPr>
            <w:r>
              <w:rPr>
                <w:b/>
                <w:bCs/>
              </w:rPr>
              <w:t xml:space="preserve">P</w:t>
            </w:r>
            <w:r>
              <w:t xml:space="preserve"> </w:t>
            </w:r>
            <w:r>
              <w:t xml:space="preserve">=</w:t>
            </w:r>
            <w:r>
              <w:t xml:space="preserve"> </w:t>
            </w:r>
            <w:r>
              <w:rPr>
                <w:b/>
                <w:bCs/>
              </w:rPr>
              <w:t xml:space="preserve">Possibly</w:t>
            </w:r>
            <w:r>
              <w:t xml:space="preserve">, the passenger recalls that they may have eaten the food item, either from their own plate or from a spouses or someone at the same table.</w:t>
            </w:r>
          </w:p>
          <w:p>
            <w:pPr>
              <w:pStyle w:val="Compact"/>
              <w:numPr>
                <w:ilvl w:val="0"/>
                <w:numId w:val="1003"/>
              </w:numPr>
            </w:pPr>
            <w:r>
              <w:rPr>
                <w:b/>
                <w:bCs/>
              </w:rPr>
              <w:t xml:space="preserve">DK</w:t>
            </w:r>
            <w:r>
              <w:t xml:space="preserve"> </w:t>
            </w:r>
            <w:r>
              <w:t xml:space="preserve">=</w:t>
            </w:r>
            <w:r>
              <w:t xml:space="preserve"> </w:t>
            </w:r>
            <w:r>
              <w:rPr>
                <w:b/>
                <w:bCs/>
              </w:rPr>
              <w:t xml:space="preserve">Doesn’t know</w:t>
            </w:r>
            <w:r>
              <w:t xml:space="preserve"> </w:t>
            </w:r>
            <w:r>
              <w:t xml:space="preserve">or</w:t>
            </w:r>
            <w:r>
              <w:t xml:space="preserve"> </w:t>
            </w:r>
            <w:r>
              <w:rPr>
                <w:b/>
                <w:bCs/>
              </w:rPr>
              <w:t xml:space="preserve">doesn’t recall</w:t>
            </w:r>
            <w:r>
              <w:t xml:space="preserve">, the passenger does not recall whether they consumed the food item or not.</w:t>
            </w:r>
          </w:p>
          <w:p/>
        </w:tc>
      </w:tr>
    </w:tbl>
    <w:p>
      <w:pPr>
        <w:pStyle w:val="FirstParagraph"/>
      </w:pPr>
      <w:r>
        <w:t xml:space="preserve">You may choose to do differently for your analysis, but for our walkthrough of this module, we’ll use the following guidelines to recode these values into something we can use:</w:t>
      </w:r>
    </w:p>
    <w:p>
      <w:pPr>
        <w:pStyle w:val="Compact"/>
        <w:numPr>
          <w:ilvl w:val="0"/>
          <w:numId w:val="1004"/>
        </w:numPr>
      </w:pPr>
      <w:r>
        <w:rPr>
          <w:b/>
          <w:bCs/>
        </w:rPr>
        <w:t xml:space="preserve">1</w:t>
      </w:r>
      <w:r>
        <w:t xml:space="preserve"> </w:t>
      </w:r>
      <w:r>
        <w:t xml:space="preserve">=</w:t>
      </w:r>
      <w:r>
        <w:t xml:space="preserve"> </w:t>
      </w:r>
      <w:r>
        <w:rPr>
          <w:b/>
          <w:bCs/>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pStyle w:val="Compact"/>
        <w:numPr>
          <w:ilvl w:val="0"/>
          <w:numId w:val="1004"/>
        </w:numPr>
      </w:pPr>
      <w:r>
        <w:rPr>
          <w:b/>
          <w:bCs/>
        </w:rPr>
        <w:t xml:space="preserve">0</w:t>
      </w:r>
      <w:r>
        <w:t xml:space="preserve"> </w:t>
      </w:r>
      <w:r>
        <w:t xml:space="preserve">=</w:t>
      </w:r>
      <w:r>
        <w:t xml:space="preserve"> </w:t>
      </w:r>
      <w:r>
        <w:rPr>
          <w:b/>
          <w:bCs/>
        </w:rPr>
        <w:t xml:space="preserve">N</w:t>
      </w:r>
      <w:r>
        <w:t xml:space="preserve">. Only passengers who recall that they specifically did not consume the food item will be treated as a confirmed negative, since those with poor recall may have been exposed and not reported it.</w:t>
      </w:r>
    </w:p>
    <w:p>
      <w:pPr>
        <w:pStyle w:val="Compact"/>
        <w:numPr>
          <w:ilvl w:val="0"/>
          <w:numId w:val="1004"/>
        </w:numPr>
      </w:pPr>
      <w:r>
        <w:rPr>
          <w:b/>
          <w:bCs/>
        </w:rPr>
        <w:t xml:space="preserve">NA</w:t>
      </w:r>
      <w:r>
        <w:t xml:space="preserve"> </w:t>
      </w:r>
      <w:r>
        <w:t xml:space="preserve">=</w:t>
      </w:r>
      <w:r>
        <w:t xml:space="preserve"> </w:t>
      </w:r>
      <w:r>
        <w:rPr>
          <w:b/>
          <w:bCs/>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
          <w:iCs/>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Click to see the R code</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bookmarkStart w:id="31"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"participant_data/module4/symptoms_feb14.txt"</w:t>
      </w:r>
      <w:r>
        <w:rPr>
          <w:rStyle w:val="NormalTok"/>
        </w:rPr>
        <w:t xml:space="preserve">)</w:t>
      </w:r>
    </w:p>
    <w:p>
      <w:pPr>
        <w:pStyle w:val="FirstParagraph"/>
      </w:pPr>
      <w:r>
        <w:t xml:space="preserve">You’ll notice that the food exposures dataset includes all passengers who dined onboard the ship on February 9th and doesn’t differentiate between ill and healthy passengers, and the symptoms dataset doesn’t include any of the food exposures information. It looks like you’re going to have to join these two datasets together using the skills you practiced in Module 3!</w:t>
      </w:r>
    </w:p>
    <w:bookmarkEnd w:id="31"/>
    <w:bookmarkEnd w:id="32"/>
    <w:bookmarkStart w:id="33" w:name="part-b-flextable"/>
    <w:p>
      <w:pPr>
        <w:pStyle w:val="Heading2"/>
      </w:pPr>
      <w:r>
        <w:t xml:space="preserve">Part B: Flextable</w:t>
      </w:r>
    </w:p>
    <w:p>
      <w:pPr>
        <w:pStyle w:val="FirstParagraph"/>
      </w:pPr>
      <w:r>
        <w:t xml:space="preserve">After working through your calculations for the food exposures, you receive the following email from the ship’s steward:</w:t>
      </w:r>
    </w:p>
    <w:p>
      <w:pPr>
        <w:pStyle w:val="BodyText"/>
      </w:pPr>
      <w:r>
        <w:rPr>
          <w:rStyle w:val="VerbatimChar"/>
        </w:rPr>
        <w:t xml:space="preserve">Dear [ship's epidemiologist],</w:t>
      </w:r>
    </w:p>
    <w:p>
      <w:pPr>
        <w:pStyle w:val="BodyText"/>
      </w:pPr>
      <w:r>
        <w:rPr>
          <w:rStyle w:val="VerbatimChar"/>
        </w:rPr>
        <w:t xml:space="preserve">Please find attached the results of the interrogation, err, I mean interviewin' o' the passengers, as per yer request.</w:t>
      </w:r>
    </w:p>
    <w:p>
      <w:pPr>
        <w:pStyle w:val="BodyText"/>
      </w:pPr>
      <w:r>
        <w:rPr>
          <w:rStyle w:val="VerbatimChar"/>
        </w:rPr>
        <w:t xml:space="preserve">I'll be notin as well, the cap'n is a reel Kate Winslet fan, and was watchin' a film called Contaygeon last night. He says they had some real nice looking tables and reports that were getting passed around in that film, and would like it if you could pass him something ta make it easy to read and understand whats been going on.</w:t>
      </w:r>
    </w:p>
    <w:p>
      <w:pPr>
        <w:pStyle w:val="BodyText"/>
      </w:pPr>
      <w:r>
        <w:rPr>
          <w:rStyle w:val="VerbatimChar"/>
        </w:rPr>
        <w:t xml:space="preserve">Thanks,</w:t>
      </w:r>
    </w:p>
    <w:p>
      <w:pPr>
        <w:pStyle w:val="BodyText"/>
      </w:pPr>
      <w:r>
        <w:rPr>
          <w:rStyle w:val="VerbatimChar"/>
        </w:rPr>
        <w:t xml:space="preserve">Patrick the Steward</w:t>
      </w:r>
    </w:p>
    <w:p>
      <w:pPr>
        <w:pStyle w:val="BodyText"/>
      </w:pPr>
      <w:r>
        <w:t xml:space="preserve">Another busy day ahead of you! Let’s recap on what we need to do:</w:t>
      </w:r>
    </w:p>
    <w:p>
      <w:pPr>
        <w:pStyle w:val="Compact"/>
        <w:numPr>
          <w:ilvl w:val="0"/>
          <w:numId w:val="1005"/>
        </w:numPr>
      </w:pPr>
      <w:r>
        <w:t xml:space="preserve">First and foremost - we should check out this dataset provided to us containing food item exposures of the passengers who dined aboard the ship on February 9th. Given our strong clues that the ship experienced a point-source outbreak, we want to be sure that any implicated food items don’t wind up on the menu again!</w:t>
      </w:r>
    </w:p>
    <w:p>
      <w:pPr>
        <w:pStyle w:val="Compact"/>
        <w:numPr>
          <w:ilvl w:val="0"/>
          <w:numId w:val="1005"/>
        </w:numPr>
      </w:pPr>
      <w:r>
        <w:t xml:space="preserve">The captain has requested an epidemiological update from you, in a nicely formatted report. Up until now, we’ve just been reading off the outputs provided in R, and while this is fine for us as a working-method, we should recognize that it is important to make sure our results and recommendations are as easy to interpret as possible. Therefore, we’ll explore some ways to create custom, easy-to-read tables.</w:t>
      </w:r>
    </w:p>
    <w:p>
      <w:pPr>
        <w:pStyle w:val="Compact"/>
        <w:numPr>
          <w:ilvl w:val="0"/>
          <w:numId w:val="1005"/>
        </w:numPr>
      </w:pPr>
      <w:r>
        <w:t xml:space="preserve">(If we have time for it). We’ll introduce R markdown documents - which can be used in a variety of ways to create nice, convenient reports that combine your code, outputs, and notes, all in one place!</w:t>
      </w:r>
    </w:p>
    <w:p>
      <w:pPr>
        <w:numPr>
          <w:ilvl w:val="0"/>
          <w:numId w:val="1006"/>
        </w:numPr>
      </w:pPr>
      <w:r>
        <w:t xml:space="preserve">Decide on nice tabular format</w:t>
      </w:r>
    </w:p>
    <w:p>
      <w:pPr>
        <w:numPr>
          <w:ilvl w:val="0"/>
          <w:numId w:val="1006"/>
        </w:numPr>
      </w:pPr>
      <w:r>
        <w:t xml:space="preserve">implement in flextable using calculations directly in the table</w:t>
      </w:r>
    </w:p>
    <w:p>
      <w:pPr>
        <w:numPr>
          <w:ilvl w:val="0"/>
          <w:numId w:val="1006"/>
        </w:numPr>
      </w:pPr>
      <w:r>
        <w:t xml:space="preserve">Rmd documents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1" Target="media/rId21.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2026-01-14T15:30:19Z</dcterms:created>
  <dcterms:modified xsi:type="dcterms:W3CDTF">2026-01-14T15:30:19Z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