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7.png" ContentType="image/png"/>
  <Override PartName="/word/media/rId41.png" ContentType="image/png"/>
  <Override PartName="/word/media/rId21.jpg" ContentType="image/jpeg"/>
  <Override PartName="/word/media/rId48.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334000" cy="7085118"/>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334000" cy="7085118"/>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BHETM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
                <w:bCs/>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pStyle w:val="Compact"/>
              <w:numPr>
                <w:ilvl w:val="0"/>
                <w:numId w:val="1003"/>
              </w:numPr>
            </w:pPr>
            <w:hyperlink r:id="rId30">
              <w:r>
                <w:rPr>
                  <w:rStyle w:val="Hyperlink"/>
                </w:rPr>
                <w:t xml:space="preserve">CDC Yellow Book: Cruise Ship Travel 2026</w:t>
              </w:r>
            </w:hyperlink>
          </w:p>
          <w:p>
            <w:pPr>
              <w:pStyle w:val="Compact"/>
              <w:numPr>
                <w:ilvl w:val="0"/>
                <w:numId w:val="1003"/>
              </w:numPr>
            </w:pPr>
            <w:hyperlink r:id="rId31">
              <w:r>
                <w:rPr>
                  <w:rStyle w:val="Hyperlink"/>
                </w:rPr>
                <w:t xml:space="preserve">CDC Vessel Sanitation Program (VSP): Outbreaks on Cruise Ships in VSP’s Jurisdiction (2025)</w:t>
              </w:r>
            </w:hyperlink>
          </w:p>
          <w:p>
            <w:pPr>
              <w:pStyle w:val="Compact"/>
              <w:numPr>
                <w:ilvl w:val="0"/>
                <w:numId w:val="1003"/>
              </w:numPr>
            </w:pPr>
            <w:hyperlink r:id="rId32">
              <w:r>
                <w:rPr>
                  <w:rStyle w:val="Hyperlink"/>
                </w:rPr>
                <w:t xml:space="preserve">Epidemiology of Diarrheal Disease Outbreaks on Cruise Ships, 1986 Through 1993</w:t>
              </w:r>
            </w:hyperlink>
          </w:p>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"participant_data/module4/data/foodexposures_feb9.txt"</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pStyle w:val="Compact"/>
              <w:numPr>
                <w:ilvl w:val="0"/>
                <w:numId w:val="1004"/>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4"/>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4"/>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4"/>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to do differently for your analysis, but for our walk-through of this module, we’ll use the following guidelines to recode these values into something we can use:</w:t>
      </w:r>
    </w:p>
    <w:p>
      <w:pPr>
        <w:pStyle w:val="Compact"/>
        <w:numPr>
          <w:ilvl w:val="0"/>
          <w:numId w:val="1005"/>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pStyle w:val="Compact"/>
        <w:numPr>
          <w:ilvl w:val="0"/>
          <w:numId w:val="1005"/>
        </w:numPr>
      </w:pPr>
      <w:r>
        <w:rPr>
          <w:b/>
          <w:bCs/>
        </w:rPr>
        <w:t xml:space="preserve">0</w:t>
      </w:r>
      <w:r>
        <w:t xml:space="preserve"> </w:t>
      </w:r>
      <w:r>
        <w:t xml:space="preserve">=</w:t>
      </w:r>
      <w:r>
        <w:t xml:space="preserve"> </w:t>
      </w:r>
      <w:r>
        <w:rPr>
          <w:b/>
          <w:bCs/>
        </w:rPr>
        <w:t xml:space="preserve">N</w:t>
      </w:r>
      <w:r>
        <w:t xml:space="preserve">. Only passengers who recall that they specifically did not consume the food item will be treated as a confirmed negative, since those with poor recall may have been exposed and not reported it.</w:t>
      </w:r>
    </w:p>
    <w:p>
      <w:pPr>
        <w:pStyle w:val="Compact"/>
        <w:numPr>
          <w:ilvl w:val="0"/>
          <w:numId w:val="1005"/>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
          <w:iCs/>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47"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
          <w:bCs/>
        </w:rPr>
        <w:t xml:space="preserve">ate the food item of interest and became ill</w:t>
      </w:r>
      <w:r>
        <w:t xml:space="preserve"> </w:t>
      </w:r>
      <w:r>
        <w:t xml:space="preserve">in the</w:t>
      </w:r>
      <w:r>
        <w:t xml:space="preserve"> </w:t>
      </w:r>
      <w:r>
        <w:rPr>
          <w:b/>
          <w:bCs/>
        </w:rPr>
        <w:t xml:space="preserve">numerator</w:t>
      </w:r>
      <w:r>
        <w:t xml:space="preserve">, and the</w:t>
      </w:r>
      <w:r>
        <w:t xml:space="preserve"> </w:t>
      </w:r>
      <w:r>
        <w:rPr>
          <w:b/>
          <w:bCs/>
        </w:rPr>
        <w:t xml:space="preserve">total number of persons who consumed the food item</w:t>
      </w:r>
      <w:r>
        <w:t xml:space="preserve"> </w:t>
      </w:r>
      <w:r>
        <w:t xml:space="preserve">in the</w:t>
      </w:r>
      <w:r>
        <w:t xml:space="preserve"> </w:t>
      </w:r>
      <w:r>
        <w:rPr>
          <w:b/>
          <w:bCs/>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
          <w:bCs/>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
          <w:bCs/>
        </w:rPr>
        <w:t xml:space="preserve">all passengers aboard the S. S. Rainbow Cake</w:t>
      </w:r>
      <w:r>
        <w:t xml:space="preserve">, with</w:t>
      </w:r>
      <w:r>
        <w:t xml:space="preserve"> </w:t>
      </w:r>
      <w:r>
        <w:rPr>
          <w:b/>
          <w:bCs/>
        </w:rPr>
        <w:t xml:space="preserve">symptoms of bloody stool OR fever</w:t>
      </w:r>
      <w:r>
        <w:t xml:space="preserve">,</w:t>
      </w:r>
      <w:r>
        <w:t xml:space="preserve"> </w:t>
      </w:r>
      <w:r>
        <w:rPr>
          <w:b/>
          <w:bCs/>
        </w:rPr>
        <w:t xml:space="preserve">symptom onset dates between February 9th and 14th</w:t>
      </w:r>
      <w:r>
        <w:t xml:space="preserve">, and who</w:t>
      </w:r>
      <w:r>
        <w:t xml:space="preserve"> </w:t>
      </w:r>
      <w:r>
        <w:rPr>
          <w:b/>
          <w:bCs/>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
          <w:iCs/>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
          <w:bCs/>
        </w:rPr>
        <w:t xml:space="preserve">two</w:t>
      </w:r>
      <w:r>
        <w:t xml:space="preserve"> </w:t>
      </w:r>
      <w:r>
        <w:t xml:space="preserve">variables we’re working with for each calculation in this instance (i.e., consumed food item, case status) we’ll need to include</w:t>
      </w:r>
      <w:r>
        <w:t xml:space="preserve"> </w:t>
      </w:r>
      <w:r>
        <w:rPr>
          <w:b/>
          <w:bCs/>
        </w:rPr>
        <w:t xml:space="preserve">both</w:t>
      </w:r>
      <w:r>
        <w:t xml:space="preserve"> </w:t>
      </w:r>
      <w:r>
        <w:t xml:space="preserve">inside our sum() function when counting up the cases. We’ll use</w:t>
      </w:r>
      <w:r>
        <w:t xml:space="preserve"> </w:t>
      </w:r>
      <w:r>
        <w:rPr>
          <w:b/>
          <w:bCs/>
        </w:rPr>
        <w:t xml:space="preserve">Boolean logic</w:t>
      </w:r>
      <w:r>
        <w:t xml:space="preserve"> </w:t>
      </w:r>
      <w:r>
        <w:t xml:space="preserve">to do this, and apply the</w:t>
      </w:r>
      <w:r>
        <w:t xml:space="preserve"> </w:t>
      </w:r>
      <w:r>
        <w:rPr>
          <w:b/>
          <w:bCs/>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jc w:val="center"/>
              <w:tblLook w:firstRow="0" w:lastRow="0" w:firstColumn="0" w:lastColumn="0"/>
            </w:tblPr>
            <w:tblGrid>
              <w:gridCol w:w="7920"/>
            </w:tblGrid>
            <w:tr>
              <w:tc>
                <w:tcPr/>
                <w:p>
                  <w:pPr>
                    <w:pStyle w:val="Compact"/>
                    <w:jc w:val="center"/>
                  </w:pPr>
                  <w:hyperlink r:id="rId44">
                    <w:r>
                      <w:drawing>
                        <wp:inline>
                          <wp:extent cx="4572000" cy="6134100"/>
                          <wp:effectExtent b="0" l="0" r="0" t="0"/>
                          <wp:docPr descr="" title="" id="42" name="Picture"/>
                          <a:graphic>
                            <a:graphicData uri="http://schemas.openxmlformats.org/drawingml/2006/picture">
                              <pic:pic>
                                <pic:nvPicPr>
                                  <pic:cNvPr descr="pics/module04_George_Boole.png" id="43" name="Picture"/>
                                  <pic:cNvPicPr>
                                    <a:picLocks noChangeArrowheads="1" noChangeAspect="1"/>
                                  </pic:cNvPicPr>
                                </pic:nvPicPr>
                                <pic:blipFill>
                                  <a:blip r:embed="rId41"/>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
                <w:bCs/>
              </w:rPr>
              <w:t xml:space="preserve">TRUE</w:t>
            </w:r>
            <w:r>
              <w:t xml:space="preserve"> </w:t>
            </w:r>
            <w:r>
              <w:t xml:space="preserve">or</w:t>
            </w:r>
            <w:r>
              <w:t xml:space="preserve"> </w:t>
            </w:r>
            <w:r>
              <w:rPr>
                <w:b/>
                <w:bCs/>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pStyle w:val="Compact"/>
              <w:numPr>
                <w:ilvl w:val="0"/>
                <w:numId w:val="1007"/>
              </w:numPr>
            </w:pPr>
            <w:r>
              <w:rPr>
                <w:rStyle w:val="VerbatimChar"/>
              </w:rPr>
              <w:t xml:space="preserve">&amp;</w:t>
            </w:r>
            <w:r>
              <w:t xml:space="preserve"> </w:t>
            </w:r>
            <w:r>
              <w:t xml:space="preserve">AND</w:t>
            </w:r>
          </w:p>
          <w:p>
            <w:pPr>
              <w:pStyle w:val="Compact"/>
              <w:numPr>
                <w:ilvl w:val="0"/>
                <w:numId w:val="1007"/>
              </w:numPr>
            </w:pPr>
            <w:r>
              <w:rPr>
                <w:rStyle w:val="VerbatimChar"/>
              </w:rPr>
              <w:t xml:space="preserve">|</w:t>
            </w:r>
            <w:r>
              <w:t xml:space="preserve"> </w:t>
            </w:r>
            <w:r>
              <w:t xml:space="preserve">OR</w:t>
            </w:r>
          </w:p>
          <w:p>
            <w:pPr>
              <w:pStyle w:val="Compact"/>
              <w:numPr>
                <w:ilvl w:val="0"/>
                <w:numId w:val="1007"/>
              </w:numPr>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
                <w:bCs/>
              </w:rPr>
              <w:t xml:space="preserve">comparison operators</w:t>
            </w:r>
            <w:r>
              <w:t xml:space="preserve"> </w:t>
            </w:r>
            <w:r>
              <w:t xml:space="preserve">to chain some complex statements together.</w:t>
            </w:r>
          </w:p>
          <w:p>
            <w:pPr>
              <w:pStyle w:val="Compact"/>
              <w:numPr>
                <w:ilvl w:val="0"/>
                <w:numId w:val="1008"/>
              </w:numPr>
            </w:pPr>
            <w:r>
              <w:rPr>
                <w:rStyle w:val="VerbatimChar"/>
              </w:rPr>
              <w:t xml:space="preserve">==</w:t>
            </w:r>
            <w:r>
              <w:t xml:space="preserve"> </w:t>
            </w:r>
            <w:r>
              <w:t xml:space="preserve">EQUAL (or EQUIVALENT) TO</w:t>
            </w:r>
          </w:p>
          <w:p>
            <w:pPr>
              <w:pStyle w:val="Compact"/>
              <w:numPr>
                <w:ilvl w:val="0"/>
                <w:numId w:val="1008"/>
              </w:numPr>
            </w:pPr>
            <w:r>
              <w:rPr>
                <w:rStyle w:val="VerbatimChar"/>
              </w:rPr>
              <w:t xml:space="preserve">!=</w:t>
            </w:r>
            <w:r>
              <w:t xml:space="preserve"> </w:t>
            </w:r>
            <w:r>
              <w:t xml:space="preserve">NOT EQUAL (or EQUIVALENT) TO</w:t>
            </w:r>
          </w:p>
          <w:p>
            <w:pPr>
              <w:pStyle w:val="Compact"/>
              <w:numPr>
                <w:ilvl w:val="0"/>
                <w:numId w:val="1008"/>
              </w:numPr>
            </w:pPr>
            <w:r>
              <w:rPr>
                <w:rStyle w:val="VerbatimChar"/>
              </w:rPr>
              <w:t xml:space="preserve">&lt;</w:t>
            </w:r>
            <w:r>
              <w:t xml:space="preserve"> </w:t>
            </w:r>
            <w:r>
              <w:t xml:space="preserve">LESS THAN</w:t>
            </w:r>
          </w:p>
          <w:p>
            <w:pPr>
              <w:pStyle w:val="Compact"/>
              <w:numPr>
                <w:ilvl w:val="0"/>
                <w:numId w:val="1008"/>
              </w:numPr>
            </w:pPr>
            <w:r>
              <w:rPr>
                <w:rStyle w:val="VerbatimChar"/>
              </w:rPr>
              <w:t xml:space="preserve">&gt;</w:t>
            </w:r>
            <w:r>
              <w:t xml:space="preserve"> </w:t>
            </w:r>
            <w:r>
              <w:t xml:space="preserve">GREATER THAN</w:t>
            </w:r>
          </w:p>
          <w:p>
            <w:pPr>
              <w:pStyle w:val="Compact"/>
              <w:numPr>
                <w:ilvl w:val="0"/>
                <w:numId w:val="1008"/>
              </w:numPr>
            </w:pPr>
            <w:r>
              <w:rPr>
                <w:rStyle w:val="VerbatimChar"/>
              </w:rPr>
              <w:t xml:space="preserve">&lt;=</w:t>
            </w:r>
            <w:r>
              <w:t xml:space="preserve"> </w:t>
            </w:r>
            <w:r>
              <w:t xml:space="preserve">LESS THAN OR EQUAL TO</w:t>
            </w:r>
          </w:p>
          <w:p>
            <w:pPr>
              <w:pStyle w:val="Compact"/>
              <w:numPr>
                <w:ilvl w:val="0"/>
                <w:numId w:val="1008"/>
              </w:numPr>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
                <w:bCs/>
              </w:rPr>
              <w:t xml:space="preserve">GREATER THAN OR EQUAL TO</w:t>
            </w:r>
            <w:r>
              <w:t xml:space="preserve"> </w:t>
            </w:r>
            <w:r>
              <w:t xml:space="preserve">to 33 years of age,</w:t>
            </w:r>
            <w:r>
              <w:t xml:space="preserve"> </w:t>
            </w:r>
            <w:r>
              <w:rPr>
                <w:b/>
                <w:bCs/>
              </w:rPr>
              <w:t xml:space="preserve">AND</w:t>
            </w:r>
            <w:r>
              <w:t xml:space="preserve"> </w:t>
            </w:r>
            <w:r>
              <w:t xml:space="preserve">has eaten the potato salad,</w:t>
            </w:r>
            <w:r>
              <w:t xml:space="preserve"> </w:t>
            </w:r>
            <w:r>
              <w:rPr>
                <w:b/>
                <w:bCs/>
              </w:rPr>
              <w:t xml:space="preserve">AND</w:t>
            </w:r>
            <w:r>
              <w:t xml:space="preserve"> </w:t>
            </w:r>
            <w:r>
              <w:t xml:space="preserve">has reported fever</w:t>
            </w:r>
            <w:r>
              <w:t xml:space="preserve"> </w:t>
            </w:r>
            <w:r>
              <w:rPr>
                <w:b/>
                <w:bCs/>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5">
              <w:r>
                <w:rPr>
                  <w:rStyle w:val="Hyperlink"/>
                </w:rPr>
                <w:t xml:space="preserve">Logical Vectors from the R for Data online textbook!</w:t>
              </w:r>
            </w:hyperlink>
          </w:p>
          <w:p/>
        </w:tc>
      </w:tr>
    </w:tbl>
    <w:p>
      <w:pPr>
        <w:pStyle w:val="BodyText"/>
      </w:pPr>
      <w:r>
        <w:t xml:space="preserve">Let’s use summarise() to try out our Boolean logic within the sum() function using just the first food item, and the</w:t>
      </w:r>
      <w:r>
        <w:t xml:space="preserve"> </w:t>
      </w:r>
      <w:r>
        <w:rPr>
          <w:b/>
          <w:bCs/>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
          <w:bCs/>
        </w:rPr>
        <w:t xml:space="preserve">general illnesses</w:t>
      </w:r>
      <w:r>
        <w:t xml:space="preserve">. Feel free to use either long-form, and write out a new line for each food item, or go back and review earlier in this module, as well as</w:t>
      </w:r>
      <w:r>
        <w:t xml:space="preserve"> </w:t>
      </w:r>
      <w:r>
        <w:rPr>
          <w:b/>
          <w:bCs/>
        </w:rPr>
        <w:t xml:space="preserve">Module 3</w:t>
      </w:r>
      <w:r>
        <w:t xml:space="preserve"> </w:t>
      </w:r>
      <w:r>
        <w:t xml:space="preserve">where we practiced with using</w:t>
      </w:r>
      <w:r>
        <w:t xml:space="preserve"> </w:t>
      </w:r>
      <w:r>
        <w:rPr>
          <w:b/>
          <w:bCs/>
        </w:rPr>
        <w:t xml:space="preserve">across()</w:t>
      </w:r>
      <w:r>
        <w:t xml:space="preserve"> </w:t>
      </w:r>
      <w:r>
        <w:t xml:space="preserve">within the</w:t>
      </w:r>
      <w:r>
        <w:t xml:space="preserve"> </w:t>
      </w:r>
      <w:r>
        <w:rPr>
          <w:b/>
          <w:bCs/>
        </w:rPr>
        <w:t xml:space="preserve">summarise()</w:t>
      </w:r>
      <w:r>
        <w:t xml:space="preserve"> </w:t>
      </w:r>
      <w:r>
        <w:t xml:space="preserve">function, and try to work out how to do the calculations all in one go! Note: when we used</w:t>
      </w:r>
      <w:r>
        <w:t xml:space="preserve"> </w:t>
      </w:r>
      <w:r>
        <w:rPr>
          <w:b/>
          <w:bCs/>
        </w:rPr>
        <w:t xml:space="preserve">across()</w:t>
      </w:r>
      <w:r>
        <w:t xml:space="preserve"> </w:t>
      </w:r>
      <w:r>
        <w:t xml:space="preserve">previously, we were calculating based on multiple input variables only, and not outputting multiple variables. You may need to</w:t>
      </w:r>
      <w:r>
        <w:t xml:space="preserve"> </w:t>
      </w:r>
      <w:hyperlink r:id="rId46">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7"/>
    <w:bookmarkStart w:id="62"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1"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
          <w:bCs/>
        </w:rPr>
        <w:t xml:space="preserve">S. S. Rainbow Cake</w:t>
      </w:r>
      <w:r>
        <w:t xml:space="preserve">!). While not a</w:t>
      </w:r>
      <w:r>
        <w:t xml:space="preserve"> </w:t>
      </w:r>
      <w:r>
        <w:rPr>
          <w:i/>
          <w:iCs/>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
          <w:bCs/>
        </w:rPr>
        <w:t xml:space="preserve">data frame</w:t>
      </w:r>
      <w:r>
        <w:t xml:space="preserve"> </w:t>
      </w:r>
      <w:r>
        <w:t xml:space="preserve">as input, and returns a</w:t>
      </w:r>
      <w:r>
        <w:t xml:space="preserve"> </w:t>
      </w:r>
      <w:r>
        <w:rPr>
          <w:b/>
          <w:bCs/>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9" name="Picture"/>
            <a:graphic>
              <a:graphicData uri="http://schemas.openxmlformats.org/drawingml/2006/picture">
                <pic:pic>
                  <pic:nvPicPr>
                    <pic:cNvPr descr="pics/module04_flextable_example.jpeg" id="50" name="Picture"/>
                    <pic:cNvPicPr>
                      <a:picLocks noChangeArrowheads="1" noChangeAspect="1"/>
                    </pic:cNvPicPr>
                  </pic:nvPicPr>
                  <pic:blipFill>
                    <a:blip r:embed="rId48"/>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1"/>
    <w:bookmarkStart w:id="60"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5"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
                <w:bCs/>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p/>
        </w:tc>
      </w:tr>
    </w:tbl>
    <w:bookmarkEnd w:id="55"/>
    <w:bookmarkStart w:id="59"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
          <w:iCs/>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6">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7">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8">
        <w:r>
          <w:rPr>
            <w:rStyle w:val="Hyperlink"/>
          </w:rPr>
          <w:t xml:space="preserve">here</w:t>
        </w:r>
      </w:hyperlink>
      <w:r>
        <w:t xml:space="preserve">.</w:t>
      </w:r>
    </w:p>
    <w:bookmarkEnd w:id="59"/>
    <w:bookmarkEnd w:id="60"/>
    <w:bookmarkStart w:id="61"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
          <w:bCs/>
        </w:rPr>
        <w:t xml:space="preserve">general</w:t>
      </w:r>
      <w:r>
        <w:t xml:space="preserve"> </w:t>
      </w:r>
      <w:r>
        <w:t xml:space="preserve">illness case definition, but did not include the</w:t>
      </w:r>
      <w:r>
        <w:t xml:space="preserve"> </w:t>
      </w:r>
      <w:r>
        <w:rPr>
          <w:b/>
          <w:bCs/>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pStyle w:val="Compact"/>
        <w:numPr>
          <w:ilvl w:val="0"/>
          <w:numId w:val="1009"/>
        </w:numPr>
      </w:pPr>
      <w:r>
        <w:t xml:space="preserve">Menu item</w:t>
      </w:r>
    </w:p>
    <w:p>
      <w:pPr>
        <w:pStyle w:val="Compact"/>
        <w:numPr>
          <w:ilvl w:val="0"/>
          <w:numId w:val="1009"/>
        </w:numPr>
      </w:pPr>
      <w:r>
        <w:t xml:space="preserve">General illness AR</w:t>
      </w:r>
    </w:p>
    <w:p>
      <w:pPr>
        <w:pStyle w:val="Compact"/>
        <w:numPr>
          <w:ilvl w:val="0"/>
          <w:numId w:val="1009"/>
        </w:numPr>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1"/>
    <w:bookmarkEnd w:id="62"/>
    <w:bookmarkStart w:id="63"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
          <w:bCs/>
        </w:rPr>
        <w:t xml:space="preserve">S. S. Rainbow Cake</w:t>
      </w:r>
      <w:r>
        <w:t xml:space="preserve">.</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1" Target="media/rId21.jpg" /><Relationship Type="http://schemas.openxmlformats.org/officeDocument/2006/relationships/image" Id="rId48" Target="media/rId48.jpg" /><Relationship Type="http://schemas.openxmlformats.org/officeDocument/2006/relationships/image" Id="rId24" Target="media/rId24.jpg" /><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2026-01-26T18:33:25Z</dcterms:created>
  <dcterms:modified xsi:type="dcterms:W3CDTF">2026-01-26T18:33:25Z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