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52.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pStyle w:val="Compact"/>
        <w:numPr>
          <w:ilvl w:val="0"/>
          <w:numId w:val="1001"/>
        </w:numPr>
      </w:pPr>
      <w:r>
        <w:t xml:space="preserve">Build tidyverse workflows using the</w:t>
      </w:r>
      <w:r>
        <w:t xml:space="preserve"> </w:t>
      </w:r>
      <w:r>
        <w:rPr>
          <w:b/>
          <w:bCs/>
        </w:rPr>
        <w:t xml:space="preserve">%&gt;%</w:t>
      </w:r>
      <w:r>
        <w:t xml:space="preserve"> </w:t>
      </w:r>
      <w:r>
        <w:t xml:space="preserve">operator.</w:t>
      </w:r>
    </w:p>
    <w:p>
      <w:pPr>
        <w:pStyle w:val="Compact"/>
        <w:numPr>
          <w:ilvl w:val="0"/>
          <w:numId w:val="1001"/>
        </w:numPr>
      </w:pPr>
      <w:r>
        <w:t xml:space="preserve">Discuss best-practices for maintaining tidy (clean) datasets.</w:t>
      </w:r>
    </w:p>
    <w:p>
      <w:pPr>
        <w:pStyle w:val="Compact"/>
        <w:numPr>
          <w:ilvl w:val="0"/>
          <w:numId w:val="1001"/>
        </w:numPr>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22" w:name="scenario"/>
    <w:p>
      <w:pPr>
        <w:pStyle w:val="Heading2"/>
      </w:pPr>
      <w:r>
        <w:t xml:space="preserve">Scenario</w:t>
      </w:r>
    </w:p>
    <w:p>
      <w:pPr>
        <w:pStyle w:val="FirstParagraph"/>
      </w:pPr>
      <w:r>
        <w:t xml:space="preserve">You have recently charted a new course in your career by accepting a post as a public health investigator aboard the cruise ship</w:t>
      </w:r>
      <w:r>
        <w:t xml:space="preserve"> </w:t>
      </w:r>
      <w:r>
        <w:rPr>
          <w:b/>
          <w:bCs/>
        </w:rPr>
        <w:t xml:space="preserve">S. S. Rainbow Cake</w:t>
      </w:r>
      <w:r>
        <w:t xml:space="preserve">. This is a dream opportunity that combines your passion for epidemiology with your taste for adventure on the open sea. Details about the company are a bit murky, but your avid curiosity and ambition has won out and you signed the contract to join the crew. You have had barely any time as part of the crew to find your sea-legs before getting thrown into work already! Over the past few days of preparations, several members of the crew complained of feeling ill. Using some basic R skills, you have taken an initial look at some data provided by the ship’s nurse to investigate.</w:t>
      </w:r>
    </w:p>
    <w:p>
      <w:pPr>
        <w:pStyle w:val="BodyText"/>
      </w:pPr>
      <w:r>
        <w:t xml:space="preserve">Now, however, passenger’s have boarded the ship, the winds are in your favor, and the ship has set sail (figuratively, not literally. Obviously cruise ships intended to carry large numbers of passengers don’t have sails, right? Not like some kind of old timey pirate ship or anything silly like that). The ship’s steward, Patrick, has sent you the passenger manifest to work on next. The crew has had difficulty in the past retrieving information quickly from the manifest - likely due to not having your advanced data management skills and expertise! At least now, with you aboard, they realize the benefits that having a clean and organized dataset offers!</w:t>
      </w:r>
    </w:p>
    <w:p>
      <w:pPr>
        <w:pStyle w:val="BodyText"/>
      </w:pPr>
      <w:r>
        <w:t xml:space="preserve">For this module, you’ll need to identify and correct the parts of the manifest that need correction before it can be used for any sort of analytical work.</w:t>
      </w:r>
    </w:p>
    <w:bookmarkEnd w:id="22"/>
    <w:bookmarkStart w:id="29" w:name="project-setup"/>
    <w:p>
      <w:pPr>
        <w:pStyle w:val="Heading2"/>
      </w:pPr>
      <w:r>
        <w:t xml:space="preserve">Project setup</w:t>
      </w:r>
    </w:p>
    <w:p>
      <w:pPr>
        <w:pStyle w:val="FirstParagraph"/>
      </w:pPr>
      <w:r>
        <w:t xml:space="preserve">If you haven’t already, read through the landing page for</w:t>
      </w:r>
      <w:r>
        <w:t xml:space="preserve"> </w:t>
      </w:r>
      <w:hyperlink r:id="rId23">
        <w:r>
          <w:rPr>
            <w:rStyle w:val="Hyperlink"/>
          </w:rPr>
          <w:t xml:space="preserve">the course website</w:t>
        </w:r>
      </w:hyperlink>
      <w:r>
        <w:t xml:space="preserve">, in particular the sections on</w:t>
      </w:r>
      <w:r>
        <w:t xml:space="preserve"> </w:t>
      </w:r>
      <w:hyperlink r:id="rId24">
        <w:r>
          <w:rPr>
            <w:rStyle w:val="Hyperlink"/>
          </w:rPr>
          <w:t xml:space="preserve">setting up your workspace</w:t>
        </w:r>
      </w:hyperlink>
      <w:r>
        <w:t xml:space="preserve">.</w:t>
      </w:r>
    </w:p>
    <w:p>
      <w:pPr>
        <w:pStyle w:val="BodyText"/>
      </w:pPr>
      <w:r>
        <w:t xml:space="preserve">You’ll want to make sure that you have accomplished the following before continuing on with the course:</w:t>
      </w:r>
    </w:p>
    <w:p>
      <w:pPr>
        <w:pStyle w:val="Compact"/>
        <w:numPr>
          <w:ilvl w:val="0"/>
          <w:numId w:val="1002"/>
        </w:numPr>
      </w:pPr>
      <w:r>
        <w:t xml:space="preserve">Create a workspace somewhere safe on your computer where you have adequate write access (e.g.,</w:t>
      </w:r>
      <w:r>
        <w:t xml:space="preserve"> </w:t>
      </w:r>
      <w:r>
        <w:rPr>
          <w:rStyle w:val="VerbatimChar"/>
        </w:rPr>
        <w:t xml:space="preserve">C:/tdu-rph/</w:t>
      </w:r>
      <w:r>
        <w:t xml:space="preserve">)</w:t>
      </w:r>
    </w:p>
    <w:p>
      <w:pPr>
        <w:pStyle w:val="Compact"/>
        <w:numPr>
          <w:ilvl w:val="0"/>
          <w:numId w:val="1002"/>
        </w:numPr>
      </w:pPr>
      <w:r>
        <w:t xml:space="preserve">Downloaded the participant_data folder from the</w:t>
      </w:r>
      <w:r>
        <w:t xml:space="preserve"> </w:t>
      </w:r>
      <w:hyperlink r:id="rId25">
        <w:r>
          <w:rPr>
            <w:rStyle w:val="Hyperlink"/>
          </w:rPr>
          <w:t xml:space="preserve">course Github repository</w:t>
        </w:r>
      </w:hyperlink>
      <w:r>
        <w:t xml:space="preserve"> </w:t>
      </w:r>
      <w:r>
        <w:t xml:space="preserve">to your working directory.</w:t>
      </w:r>
    </w:p>
    <w:p>
      <w:pPr>
        <w:pStyle w:val="Compact"/>
        <w:numPr>
          <w:ilvl w:val="0"/>
          <w:numId w:val="1002"/>
        </w:numPr>
      </w:pPr>
      <w:r>
        <w:t xml:space="preserve">Create an RStudio Project at this path.</w:t>
      </w:r>
    </w:p>
    <w:p>
      <w:pPr>
        <w:pStyle w:val="FirstParagraph"/>
      </w:pPr>
      <w:r>
        <w:t xml:space="preserve">Once you’ve done all this - you’ll notice that the participant_data/ folder contains three folders, each with their own subfolders:</w:t>
      </w:r>
    </w:p>
    <w:p>
      <w:pPr>
        <w:pStyle w:val="Compact"/>
        <w:numPr>
          <w:ilvl w:val="0"/>
          <w:numId w:val="1003"/>
        </w:numPr>
      </w:pPr>
      <w:r>
        <w:rPr>
          <w:b/>
          <w:bCs/>
        </w:rPr>
        <w:t xml:space="preserve">module1/</w:t>
      </w:r>
    </w:p>
    <w:p>
      <w:pPr>
        <w:pStyle w:val="Compact"/>
        <w:numPr>
          <w:ilvl w:val="1"/>
          <w:numId w:val="1004"/>
        </w:numPr>
      </w:pPr>
      <w:r>
        <w:t xml:space="preserve">data/</w:t>
      </w:r>
    </w:p>
    <w:p>
      <w:pPr>
        <w:pStyle w:val="Compact"/>
        <w:numPr>
          <w:ilvl w:val="1"/>
          <w:numId w:val="1004"/>
        </w:numPr>
      </w:pPr>
      <w:r>
        <w:t xml:space="preserve">output/</w:t>
      </w:r>
    </w:p>
    <w:p>
      <w:pPr>
        <w:pStyle w:val="Compact"/>
        <w:numPr>
          <w:ilvl w:val="1"/>
          <w:numId w:val="1004"/>
        </w:numPr>
      </w:pPr>
      <w:r>
        <w:t xml:space="preserve">scripts/</w:t>
      </w:r>
    </w:p>
    <w:p>
      <w:pPr>
        <w:pStyle w:val="Compact"/>
        <w:numPr>
          <w:ilvl w:val="0"/>
          <w:numId w:val="1003"/>
        </w:numPr>
      </w:pPr>
      <w:r>
        <w:rPr>
          <w:b/>
          <w:bCs/>
        </w:rPr>
        <w:t xml:space="preserve">module3/</w:t>
      </w:r>
    </w:p>
    <w:p>
      <w:pPr>
        <w:pStyle w:val="Compact"/>
        <w:numPr>
          <w:ilvl w:val="1"/>
          <w:numId w:val="1005"/>
        </w:numPr>
      </w:pPr>
      <w:r>
        <w:t xml:space="preserve">data/</w:t>
      </w:r>
    </w:p>
    <w:p>
      <w:pPr>
        <w:pStyle w:val="Compact"/>
        <w:numPr>
          <w:ilvl w:val="1"/>
          <w:numId w:val="1005"/>
        </w:numPr>
      </w:pPr>
      <w:r>
        <w:t xml:space="preserve">output/</w:t>
      </w:r>
    </w:p>
    <w:p>
      <w:pPr>
        <w:pStyle w:val="Compact"/>
        <w:numPr>
          <w:ilvl w:val="1"/>
          <w:numId w:val="1005"/>
        </w:numPr>
      </w:pPr>
      <w:r>
        <w:t xml:space="preserve">scripts/</w:t>
      </w:r>
    </w:p>
    <w:p>
      <w:pPr>
        <w:pStyle w:val="Compact"/>
        <w:numPr>
          <w:ilvl w:val="0"/>
          <w:numId w:val="1003"/>
        </w:numPr>
      </w:pPr>
      <w:r>
        <w:rPr>
          <w:b/>
          <w:bCs/>
        </w:rPr>
        <w:t xml:space="preserve">module4/</w:t>
      </w:r>
    </w:p>
    <w:p>
      <w:pPr>
        <w:pStyle w:val="Compact"/>
        <w:numPr>
          <w:ilvl w:val="1"/>
          <w:numId w:val="1006"/>
        </w:numPr>
      </w:pPr>
      <w:r>
        <w:t xml:space="preserve">data/</w:t>
      </w:r>
    </w:p>
    <w:p>
      <w:pPr>
        <w:pStyle w:val="Compact"/>
        <w:numPr>
          <w:ilvl w:val="1"/>
          <w:numId w:val="1006"/>
        </w:numPr>
      </w:pPr>
      <w:r>
        <w:t xml:space="preserve">output/</w:t>
      </w:r>
    </w:p>
    <w:p>
      <w:pPr>
        <w:pStyle w:val="Compact"/>
        <w:numPr>
          <w:ilvl w:val="1"/>
          <w:numId w:val="1006"/>
        </w:numPr>
      </w:pPr>
      <w:r>
        <w:t xml:space="preserve">scripts/</w:t>
      </w:r>
    </w:p>
    <w:p>
      <w:pPr>
        <w:pStyle w:val="FirstParagraph"/>
      </w:pPr>
      <w:r>
        <w:t xml:space="preserve">Datasets required for each module are kept in each of the</w:t>
      </w:r>
      <w:r>
        <w:t xml:space="preserve"> </w:t>
      </w:r>
      <w:r>
        <w:rPr>
          <w:rStyle w:val="VerbatimChar"/>
        </w:rPr>
        <w:t xml:space="preserve">data/</w:t>
      </w:r>
      <w:r>
        <w:t xml:space="preserve"> </w:t>
      </w:r>
      <w:r>
        <w:t xml:space="preserve">folders. You can decide to use the output and scripts folders however you like, but we recommend keeping your scripts and outputs here to keep things tidy and organized.</w:t>
      </w:r>
    </w:p>
    <w:p>
      <w:pPr>
        <w:pStyle w:val="BodyText"/>
      </w:pPr>
      <w:r>
        <w:t xml:space="preserve">Once you’re ready and have your workspace organized, create a new RScript by going to the top of your RStudio window and heading to: &gt; File &gt; New File … &gt; RScript</w:t>
      </w:r>
    </w:p>
    <w:p>
      <w:pPr>
        <w:pStyle w:val="BodyText"/>
      </w:pPr>
      <w:r>
        <w:t xml:space="preserve">Once opened, you’ll note that this file doesn’t have a name, so head to &gt; File &gt; Save As…</w:t>
      </w:r>
    </w:p>
    <w:p>
      <w:pPr>
        <w:pStyle w:val="BodyText"/>
      </w:pPr>
      <w:r>
        <w:t xml:space="preserve">and save your script with a useful file name (e.g.,</w:t>
      </w:r>
      <w:r>
        <w:t xml:space="preserve"> </w:t>
      </w:r>
      <w:r>
        <w:rPr>
          <w:rStyle w:val="VerbatimChar"/>
        </w:rPr>
        <w:t xml:space="preserve">Module1.R</w:t>
      </w:r>
      <w:r>
        <w:t xml:space="preserve">) in your working directory folders (</w:t>
      </w:r>
      <w:r>
        <w:rPr>
          <w:rStyle w:val="VerbatimChar"/>
        </w:rPr>
        <w:t xml:space="preserve">e.g., /module1/scripts/Module1.R</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BHETMAN\AppData\Local\Program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Remember to add some comments to the top of your script to identify the author name, date created, date modified, and purpose of the script!</w:t>
            </w:r>
          </w:p>
          <w:p/>
        </w:tc>
      </w:tr>
    </w:tbl>
    <w:bookmarkEnd w:id="29"/>
    <w:bookmarkStart w:id="40"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
          <w:iCs/>
        </w:rPr>
        <w:t xml:space="preserve">function</w:t>
      </w:r>
      <w:r>
        <w:t xml:space="preserve"> </w:t>
      </w:r>
      <w:r>
        <w:t xml:space="preserve">from the</w:t>
      </w:r>
      <w:r>
        <w:t xml:space="preserve"> </w:t>
      </w:r>
      <w:r>
        <w:rPr>
          <w:i/>
          <w:iCs/>
        </w:rPr>
        <w:t xml:space="preserve">Tidyverse</w:t>
      </w:r>
      <w:r>
        <w:t xml:space="preserve"> </w:t>
      </w:r>
      <w:r>
        <w:t xml:space="preserve">package. In order to do this, we’ll need to make sure that we’ve first loaded the</w:t>
      </w:r>
      <w:r>
        <w:t xml:space="preserve"> </w:t>
      </w:r>
      <w:r>
        <w:rPr>
          <w:i/>
          <w:iCs/>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30">
        <w:r>
          <w:rPr>
            <w:rStyle w:val="Hyperlink"/>
          </w:rPr>
          <w:t xml:space="preserve">included packages here</w:t>
        </w:r>
      </w:hyperlink>
      <w:r>
        <w:t xml:space="preserve">.</w:t>
      </w:r>
    </w:p>
    <w:p>
      <w:pPr>
        <w:pStyle w:val="BodyText"/>
      </w:pPr>
      <w:r>
        <w:t xml:space="preserve">Let’s take a look inside the</w:t>
      </w:r>
      <w:r>
        <w:t xml:space="preserve"> </w:t>
      </w:r>
      <w:r>
        <w:rPr>
          <w:b/>
          <w:bCs/>
        </w:rPr>
        <w:t xml:space="preserve">participant_data</w:t>
      </w:r>
      <w:r>
        <w:t xml:space="preserve"> </w:t>
      </w:r>
      <w:r>
        <w:t xml:space="preserve">folder for</w:t>
      </w:r>
      <w:r>
        <w:t xml:space="preserve"> </w:t>
      </w:r>
      <w:r>
        <w:rPr>
          <w:b/>
          <w:bCs/>
        </w:rPr>
        <w:t xml:space="preserve">Module 1</w:t>
      </w:r>
      <w:r>
        <w:t xml:space="preserve"> </w:t>
      </w:r>
      <w:r>
        <w:t xml:space="preserve">- there should be three (mostly empty) folders for you to work with:</w:t>
      </w:r>
    </w:p>
    <w:p>
      <w:pPr>
        <w:pStyle w:val="Compact"/>
        <w:numPr>
          <w:ilvl w:val="0"/>
          <w:numId w:val="1007"/>
        </w:numPr>
      </w:pPr>
      <w:r>
        <w:t xml:space="preserve">data/</w:t>
      </w:r>
    </w:p>
    <w:p>
      <w:pPr>
        <w:pStyle w:val="Compact"/>
        <w:numPr>
          <w:ilvl w:val="0"/>
          <w:numId w:val="1007"/>
        </w:numPr>
      </w:pPr>
      <w:r>
        <w:t xml:space="preserve">scripts/</w:t>
      </w:r>
    </w:p>
    <w:p>
      <w:pPr>
        <w:pStyle w:val="Compact"/>
        <w:numPr>
          <w:ilvl w:val="0"/>
          <w:numId w:val="1007"/>
        </w:numPr>
      </w:pPr>
      <w:r>
        <w:t xml:space="preserve">output/</w:t>
      </w:r>
    </w:p>
    <w:p>
      <w:pPr>
        <w:pStyle w:val="FirstParagraph"/>
      </w:pPr>
      <w:r>
        <w:t xml:space="preserve">Inside the</w:t>
      </w:r>
      <w:r>
        <w:t xml:space="preserve"> </w:t>
      </w:r>
      <w:r>
        <w:rPr>
          <w:rStyle w:val="VerbatimChar"/>
        </w:rPr>
        <w:t xml:space="preserve">data/</w:t>
      </w:r>
      <w:r>
        <w:t xml:space="preserve"> </w:t>
      </w:r>
      <w:r>
        <w:t xml:space="preserve">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import the Excel file directly into your computer memory without any format changes, we’ll use the</w:t>
      </w:r>
      <w:r>
        <w:t xml:space="preserve"> </w:t>
      </w:r>
      <w:r>
        <w:rPr>
          <w:b/>
          <w:bCs/>
        </w:rPr>
        <w:t xml:space="preserve">readxl</w:t>
      </w:r>
      <w:r>
        <w:t xml:space="preserve"> </w:t>
      </w:r>
      <w:r>
        <w:t xml:space="preserve">package, which, lucky for us, was installed when you installed the tidyverse. However, the package is</w:t>
      </w:r>
      <w:r>
        <w:t xml:space="preserve"> </w:t>
      </w:r>
      <w:r>
        <w:rPr>
          <w:b/>
          <w:bCs/>
        </w:rPr>
        <w:t xml:space="preserve">not</w:t>
      </w:r>
      <w:r>
        <w:t xml:space="preserve"> </w:t>
      </w:r>
      <w:r>
        <w:t xml:space="preserve">included among the core tidyverse packages, so we’ll still need to load the package and its functions into our R workspace separately.</w:t>
      </w:r>
    </w:p>
    <w:p>
      <w:pPr>
        <w:pStyle w:val="BodyText"/>
      </w:pPr>
      <w:r>
        <w:t xml:space="preserve">Try loading</w:t>
      </w:r>
      <w:r>
        <w:t xml:space="preserve"> </w:t>
      </w:r>
      <w:r>
        <w:rPr>
          <w:b/>
          <w:bCs/>
        </w:rPr>
        <w:t xml:space="preserve">readxl</w:t>
      </w:r>
      <w:r>
        <w:t xml:space="preserve"> </w:t>
      </w:r>
      <w:r>
        <w:t xml:space="preserve">with</w:t>
      </w:r>
      <w:r>
        <w:t xml:space="preserve"> </w:t>
      </w:r>
      <w:r>
        <w:rPr>
          <w:rStyle w:val="VerbatimChar"/>
        </w:rPr>
        <w:t xml:space="preserve">p_load()</w:t>
      </w:r>
      <w:r>
        <w:t xml:space="preserve">, then using the function</w:t>
      </w:r>
      <w:r>
        <w:t xml:space="preserve"> </w:t>
      </w:r>
      <w:r>
        <w:rPr>
          <w:i/>
          <w:iCs/>
        </w:rPr>
        <w:t xml:space="preserve">read_excel()</w:t>
      </w:r>
      <w:r>
        <w:t xml:space="preserve"> </w:t>
      </w:r>
      <w:r>
        <w:t xml:space="preserve">to import the file</w:t>
      </w:r>
      <w:r>
        <w:t xml:space="preserve"> </w:t>
      </w:r>
      <w:r>
        <w:t xml:space="preserve">“ship_manifest.xlsx”</w:t>
      </w:r>
    </w:p>
    <w:p>
      <w:pPr>
        <w:pStyle w:val="SourceCode"/>
      </w:pPr>
      <w:r>
        <w:rPr>
          <w:rStyle w:val="FunctionTok"/>
        </w:rPr>
        <w:t xml:space="preserve">p_load</w:t>
      </w:r>
      <w:r>
        <w:rPr>
          <w:rStyle w:val="NormalTok"/>
        </w:rPr>
        <w:t xml:space="preserve">(readxl)</w:t>
      </w:r>
      <w:r>
        <w:br/>
      </w:r>
      <w:r>
        <w:rPr>
          <w:rStyle w:val="FunctionTok"/>
        </w:rPr>
        <w:t xml:space="preserve">read_excel</w:t>
      </w:r>
      <w:r>
        <w:rPr>
          <w:rStyle w:val="NormalTok"/>
        </w:rPr>
        <w:t xml:space="preserve">(</w:t>
      </w:r>
      <w:r>
        <w:rPr>
          <w:rStyle w:val="StringTok"/>
        </w:rPr>
        <w:t xml:space="preserve">"participant_data/module1/data/ship_manifest.xlsx"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warning.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if you’ve opted to set up your work flow using the</w:t>
            </w:r>
            <w:r>
              <w:t xml:space="preserve"> </w:t>
            </w:r>
            <w:r>
              <w:rPr>
                <w:b/>
                <w:bCs/>
              </w:rPr>
              <w:t xml:space="preserve">here</w:t>
            </w:r>
            <w:r>
              <w:t xml:space="preserve"> </w:t>
            </w:r>
            <w:r>
              <w:t xml:space="preserve">package, then your commands might look something like this instead:</w:t>
            </w:r>
          </w:p>
          <w:p>
            <w:pPr>
              <w:pStyle w:val="BodyText"/>
            </w:pPr>
            <w:r>
              <w:rPr>
                <w:rStyle w:val="VerbatimChar"/>
              </w:rPr>
              <w:t xml:space="preserve">read_excel("participant_data", "module1", "data", "ship_manifest.xlsx")</w:t>
            </w:r>
          </w:p>
          <w:p>
            <w:pPr>
              <w:pStyle w:val="BodyText"/>
            </w:pPr>
            <w:pPr>
              <w:spacing w:after="16"/>
            </w:pPr>
            <w:r>
              <w:t xml:space="preserve">Both approaches are equally valid, but we’ll let you decide which one you like better!</w:t>
            </w:r>
          </w:p>
          <w:p/>
        </w:tc>
      </w:tr>
    </w:tbl>
    <w:p>
      <w:pPr>
        <w:pStyle w:val="BodyText"/>
      </w:pPr>
      <w:r>
        <w:t xml:space="preserve">Okay, something appears to not be working as expected here. Let’s open the file in Excel and see what’s going 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HETMAN\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Something is funny with the passenger manifest header</w:t>
            </w:r>
          </w:p>
        </w:tc>
      </w:tr>
      <w:tr>
        <w:trPr>
          <w:cantSplit/>
        </w:trPr>
        <w:tc>
          <w:tcPr>
            <w:tcMar>
              <w:top w:w="108" w:type="dxa"/>
              <w:bottom w:w="108" w:type="dxa"/>
            </w:tcMar>
          </w:tcPr>
          <w:bookmarkStart w:id="39" w:name="pic_passmanifest"/>
          <w:p>
            <w:pPr>
              <w:pStyle w:val="CaptionedFigure"/>
            </w:pPr>
            <w:r>
              <w:drawing>
                <wp:inline>
                  <wp:extent cx="5334000" cy="1866221"/>
                  <wp:effectExtent b="0" l="0" r="0" t="0"/>
                  <wp:docPr descr="The header section of the passenger manifest" title="" id="37" name="Picture"/>
                  <a:graphic>
                    <a:graphicData uri="http://schemas.openxmlformats.org/drawingml/2006/picture">
                      <pic:pic>
                        <pic:nvPicPr>
                          <pic:cNvPr descr="pics/passengermanifesttop.jpg" id="38" name="Picture"/>
                          <pic:cNvPicPr>
                            <a:picLocks noChangeArrowheads="1" noChangeAspect="1"/>
                          </pic:cNvPicPr>
                        </pic:nvPicPr>
                        <pic:blipFill>
                          <a:blip r:embed="rId3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bookmarkEnd w:id="39"/>
          <w:p/>
        </w:tc>
      </w:tr>
    </w:tbl>
    <w:p>
      <w:pPr>
        <w:pStyle w:val="BodyText"/>
      </w:pPr>
      <w:r>
        <w:t xml:space="preserve">Yikes!</w:t>
      </w:r>
    </w:p>
    <w:p>
      <w:pPr>
        <w:pStyle w:val="BodyText"/>
      </w:pPr>
      <w:r>
        <w:t xml:space="preserve">When will these fictional,</w:t>
      </w:r>
      <w:r>
        <w:t xml:space="preserve"> </w:t>
      </w:r>
      <w:r>
        <w:rPr>
          <w:i/>
          <w:iCs/>
        </w:rPr>
        <w:t xml:space="preserve">nautical-based-tourism-that-definitely-aren’t-pirates</w:t>
      </w:r>
      <w:r>
        <w:t xml:space="preserve"> </w:t>
      </w:r>
      <w:r>
        <w:t xml:space="preserve">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40"/>
    <w:bookmarkStart w:id="41" w:name="becoming-versed-in-tidy-data"/>
    <w:p>
      <w:pPr>
        <w:pStyle w:val="Heading2"/>
      </w:pPr>
      <w:r>
        <w:t xml:space="preserve">Becoming versed in</w:t>
      </w:r>
      <w:r>
        <w:t xml:space="preserve"> </w:t>
      </w:r>
      <w:r>
        <w:t xml:space="preserve">‘Tidy’</w:t>
      </w:r>
      <w:r>
        <w:t xml:space="preserve"> </w:t>
      </w:r>
      <w:r>
        <w:t xml:space="preserve">data</w:t>
      </w:r>
    </w:p>
    <w:p>
      <w:pPr>
        <w:pStyle w:val="FirstParagraph"/>
      </w:pPr>
      <w:r>
        <w:t xml:space="preserve">When we interpret tables in R, the software expects consistent columns, each containing a unique variable, with the top row of all the columns containing a name for each variable. If we look a little more closely we see that this is actually the case for the useful data in this form, however, we first need to tell R to remove, or skip, the rows of the form that do not contain useful information.</w:t>
      </w:r>
    </w:p>
    <w:p>
      <w:pPr>
        <w:pStyle w:val="BodyText"/>
      </w:pPr>
      <w:r>
        <w:t xml:space="preserve">Fortunately, this is pretty easy to do with the</w:t>
      </w:r>
      <w:r>
        <w:t xml:space="preserve"> </w:t>
      </w:r>
      <w:r>
        <w:rPr>
          <w:b/>
          <w:bCs/>
        </w:rPr>
        <w:t xml:space="preserve">read_excel()</w:t>
      </w:r>
      <w:r>
        <w:t xml:space="preserve"> </w:t>
      </w:r>
      <w:r>
        <w:t xml:space="preserve">function. Review the function help using the following line of code.</w:t>
      </w:r>
    </w:p>
    <w:p>
      <w:pPr>
        <w:pStyle w:val="BlockText"/>
      </w:pPr>
      <w:r>
        <w:rPr>
          <w:rStyle w:val="VerbatimChar"/>
        </w:rP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unique”</w:t>
      </w:r>
      <w:r>
        <w:br/>
      </w:r>
      <w:r>
        <w:t xml:space="preserve">)</w:t>
      </w:r>
    </w:p>
    <w:p>
      <w:pPr>
        <w:pStyle w:val="FirstParagraph"/>
      </w:pPr>
      <w:r>
        <w:t xml:space="preserve">The argument that we’re interested in is</w:t>
      </w:r>
      <w:r>
        <w:t xml:space="preserve"> </w:t>
      </w:r>
      <w:r>
        <w:rPr>
          <w:b/>
          <w:bCs/>
        </w:rPr>
        <w:t xml:space="preserve">skip = 0</w:t>
      </w:r>
      <w:r>
        <w:t xml:space="preserve">. If we include this argument in our</w:t>
      </w:r>
      <w:r>
        <w:t xml:space="preserve"> </w:t>
      </w:r>
      <w:r>
        <w:rPr>
          <w:b/>
          <w:bCs/>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‘manifest’</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"participant_data/module1/data/ship_manifest.xlsx"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41"/>
    <w:bookmarkStart w:id="42" w:name="identifying-data-cleaning-needs"/>
    <w:p>
      <w:pPr>
        <w:pStyle w:val="Heading2"/>
      </w:pPr>
      <w:r>
        <w:t xml:space="preserve">Identifying data cleaning needs</w:t>
      </w:r>
    </w:p>
    <w:p>
      <w:pPr>
        <w:pStyle w:val="FirstParagraph"/>
      </w:pPr>
      <w:r>
        <w:t xml:space="preserve">Let’s take a moment now to review the</w:t>
      </w:r>
      <w:r>
        <w:t xml:space="preserve"> </w:t>
      </w:r>
      <w:r>
        <w:rPr>
          <w:b/>
          <w:bCs/>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
          <w:bCs/>
        </w:rPr>
        <w:t xml:space="preserve">Tidyverse</w:t>
      </w:r>
      <w:r>
        <w:t xml:space="preserve"> </w:t>
      </w:r>
      <w:r>
        <w:t xml:space="preserve">functions as possible, let’s check out the function</w:t>
      </w:r>
      <w:r>
        <w:t xml:space="preserve"> </w:t>
      </w:r>
      <w:r>
        <w:rPr>
          <w:i/>
          <w:iCs/>
        </w:rPr>
        <w:t xml:space="preserve">glimpse()</w:t>
      </w:r>
      <w:r>
        <w:t xml:space="preserve">. This function operates very similarly to the base R</w:t>
      </w:r>
      <w:r>
        <w:t xml:space="preserve"> </w:t>
      </w:r>
      <w:r>
        <w:rPr>
          <w:b/>
          <w:bCs/>
        </w:rPr>
        <w:t xml:space="preserve">structure</w:t>
      </w:r>
      <w:r>
        <w:t xml:space="preserve"> </w:t>
      </w:r>
      <w:r>
        <w:t xml:space="preserve">function</w:t>
      </w:r>
      <w:r>
        <w:t xml:space="preserve"> </w:t>
      </w:r>
      <w:r>
        <w:rPr>
          <w:i/>
          <w:iCs/>
        </w:rPr>
        <w:t xml:space="preserve">str()</w:t>
      </w:r>
      <w:r>
        <w:t xml:space="preserve">, however, provides the output in a more neatly organized way. Try it out on the</w:t>
      </w:r>
      <w:r>
        <w:t xml:space="preserve"> </w:t>
      </w:r>
      <w:r>
        <w:rPr>
          <w:b/>
          <w:bCs/>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(e.g., you could try browsing the dataset with</w:t>
      </w:r>
      <w:r>
        <w:t xml:space="preserve"> </w:t>
      </w:r>
      <w:r>
        <w:rPr>
          <w:rStyle w:val="VerbatimChar"/>
        </w:rPr>
        <w:t xml:space="preserve">view()</w:t>
      </w:r>
      <w:r>
        <w:t xml:space="preserve">, sorting the data with</w:t>
      </w:r>
      <w:r>
        <w:t xml:space="preserve"> </w:t>
      </w:r>
      <w:r>
        <w:rPr>
          <w:rStyle w:val="VerbatimChar"/>
        </w:rPr>
        <w:t xml:space="preserve">arrange()</w:t>
      </w:r>
      <w:r>
        <w:t xml:space="preserve">, printing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of the dataset, or just opening it up in Excel!) and jot down any characteristics about the dataset that you think might pose a problem later on. When you’re done that, review the code provided below and note how your data-cleaning process compared to ours.</w:t>
      </w:r>
    </w:p>
    <w:p>
      <w:pPr>
        <w:pStyle w:val="BodyText"/>
      </w:pPr>
      <w:r>
        <w:rPr>
          <w:b/>
          <w:bCs/>
        </w:rPr>
        <w:t xml:space="preserve">A few tips to keep in mind when looking for potential data issues:</w:t>
      </w:r>
    </w:p>
    <w:p>
      <w:pPr>
        <w:numPr>
          <w:ilvl w:val="0"/>
          <w:numId w:val="1008"/>
        </w:numPr>
      </w:pPr>
      <w:r>
        <w:t xml:space="preserve">Are variables named consistently and without spaces or special characters?</w:t>
      </w:r>
    </w:p>
    <w:p>
      <w:pPr>
        <w:numPr>
          <w:ilvl w:val="0"/>
          <w:numId w:val="1008"/>
        </w:numPr>
      </w:pPr>
      <w:r>
        <w:t xml:space="preserve">Are the data contained within each variable consistent? I.e., only one data type per variable?</w:t>
      </w:r>
    </w:p>
    <w:p>
      <w:pPr>
        <w:numPr>
          <w:ilvl w:val="0"/>
          <w:numId w:val="1008"/>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jc w:val="left"/>
        <w:tblInd w:w="720" w:type="dxa"/>
        <w:tblLayout w:type="fixed"/>
        <w:tblLook w:firstRow="1" w:lastRow="0" w:firstColumn="0" w:lastColumn="0" w:noHBand="0" w:noVBand="0" w:val="0020"/>
        <w:tblCaption w:val="Table of sentinel values"/>
      </w:tblPr>
      <w:tblGrid>
        <w:gridCol w:w="2750"/>
        <w:gridCol w:w="5170"/>
      </w:tblGrid>
      <w:tr>
        <w:trPr>
          <w:tblHeader w:val="on"/>
        </w:trPr>
        <w:tc>
          <w:tcPr/>
          <w:p>
            <w:pPr>
              <w:pStyle w:val="Compact"/>
            </w:pPr>
            <w:r>
              <w:t xml:space="preserve">Value or symbol</w:t>
            </w:r>
          </w:p>
        </w:tc>
        <w:tc>
          <w:tcPr/>
          <w:p>
            <w:pPr>
              <w:pStyle w:val="Compact"/>
            </w:pPr>
            <w:r>
              <w:t xml:space="preserve">Description</w:t>
            </w:r>
          </w:p>
        </w:tc>
      </w:tr>
      <w:tr>
        <w:tc>
          <w:tcPr/>
          <w:p>
            <w:pPr>
              <w:pStyle w:val="Compact"/>
            </w:pPr>
            <w:r>
              <w:t xml:space="preserve">.</w:t>
            </w:r>
          </w:p>
        </w:tc>
        <w:tc>
          <w:tcPr/>
          <w:p>
            <w:pPr>
              <w:pStyle w:val="Compact"/>
            </w:pPr>
            <w:r>
              <w:t xml:space="preserve">Period. Often used to denote purposely missing values in programs like Stata.</w:t>
            </w:r>
          </w:p>
        </w:tc>
      </w:tr>
      <w:tr>
        <w:tc>
          <w:tcPr/>
          <w:p>
            <w:pPr>
              <w:pStyle w:val="Compact"/>
            </w:pPr>
            <w:r>
              <w:t xml:space="preserve">-</w:t>
            </w:r>
          </w:p>
        </w:tc>
        <w:tc>
          <w:tcPr/>
          <w:p>
            <w:pPr>
              <w:pStyle w:val="Compact"/>
            </w:pPr>
            <w:r>
              <w:t xml:space="preserve">Dash. Can denote missing value, negative, empty cell, or errors.</w:t>
            </w:r>
          </w:p>
        </w:tc>
      </w:tr>
      <w:tr>
        <w:tc>
          <w:tcPr/>
          <w:p>
            <w:pPr>
              <w:pStyle w:val="Compact"/>
            </w:pPr>
            <w:r>
              <w:t xml:space="preserve">999</w:t>
            </w:r>
          </w:p>
        </w:tc>
        <w:tc>
          <w:tcPr/>
          <w:p>
            <w:pPr>
              <w:pStyle w:val="Compact"/>
            </w:pPr>
            <w:r>
              <w:t xml:space="preserve">Three nines (999). This code is often used to represent</w:t>
            </w:r>
            <w:r>
              <w:t xml:space="preserve"> </w:t>
            </w:r>
            <w:r>
              <w:t xml:space="preserve">‘missing’</w:t>
            </w:r>
            <w:r>
              <w:t xml:space="preserve"> </w:t>
            </w:r>
            <w:r>
              <w:t xml:space="preserve">or</w:t>
            </w:r>
            <w:r>
              <w:t xml:space="preserve"> </w:t>
            </w:r>
            <w:r>
              <w:t xml:space="preserve">‘unknown’</w:t>
            </w:r>
            <w:r>
              <w:t xml:space="preserve">.</w:t>
            </w:r>
          </w:p>
        </w:tc>
      </w:tr>
      <w:tr>
        <w:tc>
          <w:tcPr/>
          <w:p>
            <w:pPr>
              <w:pStyle w:val="Compact"/>
            </w:pPr>
            <w:r>
              <w:t xml:space="preserve">N/A</w:t>
            </w:r>
          </w:p>
        </w:tc>
        <w:tc>
          <w:tcPr/>
          <w:p>
            <w:pPr>
              <w:pStyle w:val="Compact"/>
            </w:pPr>
            <w:r>
              <w:t xml:space="preserve">Not applicable. This is sometimes written purposively, and other times it is an automatic replacement for blank cells.</w:t>
            </w:r>
          </w:p>
        </w:tc>
      </w:tr>
      <w:tr>
        <w:tc>
          <w:tcPr/>
          <w:p>
            <w:pPr>
              <w:pStyle w:val="Compact"/>
            </w:pPr>
            <w:r>
              <w:rPr>
                <w:i/>
                <w:iCs/>
              </w:rPr>
              <w:t xml:space="preserve">Missing</w:t>
            </w:r>
          </w:p>
        </w:tc>
        <w:tc>
          <w:tcPr/>
          <w:p>
            <w:pPr>
              <w:pStyle w:val="Compact"/>
            </w:pPr>
            <w:r>
              <w:t xml:space="preserve">The word</w:t>
            </w:r>
            <w:r>
              <w:t xml:space="preserve"> </w:t>
            </w:r>
            <w:r>
              <w:t xml:space="preserve">‘missing.’</w:t>
            </w:r>
            <w:r>
              <w:t xml:space="preserve"> </w:t>
            </w:r>
            <w:r>
              <w:t xml:space="preserve">This is often input manually by someone who wants to signify that the data were not collected, and that an empty cell is not the result of a data entry error.</w:t>
            </w:r>
          </w:p>
        </w:tc>
      </w:tr>
      <w:tr>
        <w:tc>
          <w:tcPr/>
          <w:p>
            <w:pPr>
              <w:pStyle w:val="Compact"/>
            </w:pPr>
            <w:r>
              <w:t xml:space="preserve">(blank)</w:t>
            </w:r>
          </w:p>
        </w:tc>
        <w:tc>
          <w:tcPr/>
          <w:p>
            <w:pPr>
              <w:pStyle w:val="Compact"/>
            </w:pPr>
            <w:r>
              <w:t xml:space="preserve">Blank cell. It is impossible to know whether a cell was left intentionally blank, or whether it is the result of data entry errors.</w:t>
            </w:r>
          </w:p>
        </w:tc>
      </w:tr>
    </w:tbl>
    <w:p>
      <w:pPr>
        <w:numPr>
          <w:ilvl w:val="0"/>
          <w:numId w:val="1008"/>
        </w:numPr>
      </w:pPr>
      <w:r>
        <w:t xml:space="preserve">How are dates formatted?</w:t>
      </w:r>
    </w:p>
    <w:p>
      <w:pPr>
        <w:numPr>
          <w:ilvl w:val="0"/>
          <w:numId w:val="1008"/>
        </w:numPr>
      </w:pPr>
      <w:r>
        <w:t xml:space="preserve">How do you want place names to be formatted? E.g., should provinces be spelled out in full, or is it easier to replace these with abbreviated versions?</w:t>
      </w:r>
    </w:p>
    <w:p>
      <w:pPr>
        <w:numPr>
          <w:ilvl w:val="0"/>
          <w:numId w:val="1008"/>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 to ours! Below is a list of issues that we found with the passenger manifest table.</w:t>
      </w:r>
    </w:p>
    <w:p>
      <w:pPr>
        <w:pStyle w:val="BodyText"/>
      </w:pPr>
      <w:r>
        <w:t xml:space="preserve">Click to show the list</w:t>
      </w:r>
    </w:p>
    <w:p>
      <w:pPr>
        <w:numPr>
          <w:ilvl w:val="0"/>
          <w:numId w:val="1009"/>
        </w:numPr>
      </w:pPr>
      <w:r>
        <w:t xml:space="preserve">Fix variable names. Once the header information was removed to make the file human-readable, we lost the information about whether variables were capturing</w:t>
      </w:r>
      <w:r>
        <w:t xml:space="preserve"> </w:t>
      </w:r>
      <w:r>
        <w:rPr>
          <w:b/>
          <w:bCs/>
        </w:rPr>
        <w:t xml:space="preserve">passenger information</w:t>
      </w:r>
      <w:r>
        <w:t xml:space="preserve">, or</w:t>
      </w:r>
      <w:r>
        <w:t xml:space="preserve"> </w:t>
      </w:r>
      <w:r>
        <w:rPr>
          <w:b/>
          <w:bCs/>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9"/>
        </w:numPr>
      </w:pPr>
      <w:r>
        <w:t xml:space="preserve">Multiple date of birth (DOB) formats. In the</w:t>
      </w:r>
      <w:r>
        <w:t xml:space="preserve"> </w:t>
      </w:r>
      <w:r>
        <w:rPr>
          <w:b/>
          <w:bCs/>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9"/>
        </w:numPr>
      </w:pPr>
      <w:r>
        <w:t xml:space="preserve">Missing ages. Speaking of age.. it looks like someone was trying to use an Excel formula to calculate it - but pretty quickly ran into a snag due to some incorrect formatting in the DOB column, resulting in a lot of</w:t>
      </w:r>
      <w:r>
        <w:t xml:space="preserve"> </w:t>
      </w:r>
      <w:r>
        <w:t xml:space="preserve">“#N/A”</w:t>
      </w:r>
      <w:r>
        <w:t xml:space="preserve"> </w:t>
      </w:r>
      <w:r>
        <w:t xml:space="preserve">inputs. We’ll want to replace the current</w:t>
      </w:r>
      <w:r>
        <w:t xml:space="preserve"> </w:t>
      </w:r>
      <w:r>
        <w:rPr>
          <w:b/>
          <w:bCs/>
        </w:rPr>
        <w:t xml:space="preserve">Age</w:t>
      </w:r>
      <w:r>
        <w:t xml:space="preserve"> </w:t>
      </w:r>
      <w:r>
        <w:t xml:space="preserve">variable with a corrected version.</w:t>
      </w:r>
    </w:p>
    <w:p>
      <w:pPr>
        <w:numPr>
          <w:ilvl w:val="0"/>
          <w:numId w:val="1009"/>
        </w:numPr>
      </w:pPr>
      <w:r>
        <w:t xml:space="preserve">Inconsistent formatting for Province.</w:t>
      </w:r>
      <w:r>
        <w:t xml:space="preserve"> </w:t>
      </w:r>
      <w:r>
        <w:rPr>
          <w:b/>
          <w:bCs/>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9"/>
        </w:numPr>
      </w:pPr>
      <w:r>
        <w:t xml:space="preserve">Inconsistent and missing Emergency Contact Information. Emergency contact information appears to have undergone some input issues as well. Even though the variables are supposed to include</w:t>
      </w:r>
      <w:r>
        <w:t xml:space="preserve"> </w:t>
      </w:r>
      <w:r>
        <w:rPr>
          <w:b/>
          <w:bCs/>
        </w:rPr>
        <w:t xml:space="preserve">first</w:t>
      </w:r>
      <w:r>
        <w:t xml:space="preserve"> </w:t>
      </w:r>
      <w:r>
        <w:t xml:space="preserve">and</w:t>
      </w:r>
      <w:r>
        <w:t xml:space="preserve"> </w:t>
      </w:r>
      <w:r>
        <w:rPr>
          <w:b/>
          <w:bCs/>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9"/>
        </w:numPr>
      </w:pPr>
      <w:r>
        <w:t xml:space="preserve">Poor Boarding Date formatting.</w:t>
      </w:r>
      <w:r>
        <w:t xml:space="preserve"> </w:t>
      </w:r>
      <w:r>
        <w:rPr>
          <w:b/>
          <w:bCs/>
        </w:rPr>
        <w:t xml:space="preserve">Boarding Date</w:t>
      </w:r>
      <w:r>
        <w:t xml:space="preserve"> </w:t>
      </w:r>
      <w:r>
        <w:t xml:space="preserve">for some reason has the date written out in a non-date format. We should probably fix this as well.</w:t>
      </w:r>
    </w:p>
    <w:bookmarkEnd w:id="42"/>
    <w:bookmarkStart w:id="64"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43"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pStyle w:val="Compact"/>
        <w:numPr>
          <w:ilvl w:val="0"/>
          <w:numId w:val="1010"/>
        </w:numPr>
      </w:pPr>
      <w:r>
        <w:t xml:space="preserve">First…1 and Last…2 versus First…11 and Last…12 - we’ll need to fix these so that they make more sense and are easier to work with.</w:t>
      </w:r>
    </w:p>
    <w:p>
      <w:pPr>
        <w:pStyle w:val="Compact"/>
        <w:numPr>
          <w:ilvl w:val="0"/>
          <w:numId w:val="1010"/>
        </w:numPr>
      </w:pPr>
      <w:r>
        <w:t xml:space="preserve">Several variables include spaces in their naming, so we’ll fix that too. Spaces in variable names introduce complexity to our coding, as we need to wrap them in back-ticks like so: `variable name with spaces` - this can make our code harder to read, and also introduces more opportunities for us to forget a character and run into errors. It is therefore much easier to just use variable names that do not include spaces or special characters.</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43"/>
    <w:bookmarkStart w:id="48"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BHETMAN\AppData\Local\Programs\Quarto\share\formats\docx\note.png" id="4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might be the first time that you’re seeing the</w:t>
            </w:r>
            <w:r>
              <w:t xml:space="preserve"> </w:t>
            </w:r>
            <w:r>
              <w:rPr>
                <w:rStyle w:val="VerbatimChar"/>
              </w:rPr>
              <w:t xml:space="preserve">%&gt;%</w:t>
            </w:r>
            <w:r>
              <w:t xml:space="preserve"> </w:t>
            </w:r>
            <w:r>
              <w:t xml:space="preserve">operator, also termed the</w:t>
            </w:r>
            <w:r>
              <w:t xml:space="preserve"> </w:t>
            </w:r>
            <w:r>
              <w:t xml:space="preserve">‘Magrittr pipe’</w:t>
            </w:r>
            <w:r>
              <w:t xml:space="preserve"> </w:t>
            </w:r>
            <w:r>
              <w:t xml:space="preserve">because it is considered a pipe operator, and was first introduced to R via the</w:t>
            </w:r>
            <w:r>
              <w:t xml:space="preserve"> </w:t>
            </w:r>
            <w:r>
              <w:rPr>
                <w:i/>
                <w:iCs/>
              </w:rPr>
              <w:t xml:space="preserve">Magrittr</w:t>
            </w:r>
            <w:r>
              <w:t xml:space="preserve"> </w:t>
            </w:r>
            <w:r>
              <w:t xml:space="preserve">package.</w:t>
            </w:r>
          </w:p>
          <w:p>
            <w:pPr>
              <w:pStyle w:val="BodyText"/>
            </w:pPr>
            <w:r>
              <w:t xml:space="preserve">This operator allows us to chain together operations when using the tidyverse, and helps to keep our code clean and easy-to-read. Wherever you see the</w:t>
            </w:r>
            <w:r>
              <w:t xml:space="preserve"> </w:t>
            </w:r>
            <w:r>
              <w:rPr>
                <w:rStyle w:val="VerbatimChar"/>
              </w:rPr>
              <w:t xml:space="preserve">%&gt;%</w:t>
            </w:r>
            <w:r>
              <w:t xml:space="preserve"> </w:t>
            </w:r>
            <w:r>
              <w:t xml:space="preserve">you can read it in your head as</w:t>
            </w:r>
            <w:r>
              <w:t xml:space="preserve"> </w:t>
            </w:r>
            <w:r>
              <w:t xml:space="preserve">‘then’</w:t>
            </w:r>
            <w:r>
              <w:t xml:space="preserve"> </w:t>
            </w:r>
            <w:r>
              <w:t xml:space="preserve">do something.</w:t>
            </w:r>
          </w:p>
          <w:p>
            <w:pPr>
              <w:pStyle w:val="BodyText"/>
            </w:pPr>
            <w:r>
              <w:t xml:space="preserve">For the code chunk above, we are therefore telling R to:</w:t>
            </w:r>
            <w:r>
              <w:t xml:space="preserve"> </w:t>
            </w:r>
            <w:r>
              <w:t xml:space="preserve">“start with the</w:t>
            </w:r>
            <w:r>
              <w:t xml:space="preserve"> </w:t>
            </w:r>
            <w:r>
              <w:rPr>
                <w:rStyle w:val="VerbatimChar"/>
              </w:rPr>
              <w:t xml:space="preserve">manifest</w:t>
            </w:r>
            <w:r>
              <w:t xml:space="preserve"> </w:t>
            </w:r>
            <w:r>
              <w:t xml:space="preserve">dataset,</w:t>
            </w:r>
            <w:r>
              <w:t xml:space="preserve"> </w:t>
            </w:r>
            <w:r>
              <w:rPr>
                <w:b/>
                <w:bCs/>
              </w:rPr>
              <w:t xml:space="preserve">then</w:t>
            </w:r>
            <w:r>
              <w:t xml:space="preserve"> </w:t>
            </w:r>
            <w:r>
              <w:t xml:space="preserve">select the variable</w:t>
            </w:r>
            <w:r>
              <w:t xml:space="preserve"> </w:t>
            </w:r>
            <w:r>
              <w:rPr>
                <w:rStyle w:val="VerbatimChar"/>
              </w:rPr>
              <w:t xml:space="preserve">pass.dob</w:t>
            </w:r>
            <w:r>
              <w:t xml:space="preserve">”</w:t>
            </w:r>
          </w:p>
          <w:p>
            <w:pPr>
              <w:pStyle w:val="BodyText"/>
            </w:pPr>
            <w:r>
              <w:t xml:space="preserve">The other nice thing about the %&gt;% operator is that it automatically uses the output from the previous step as the input to the subsequent step, so you don’t have to keep filling in the .data argument for all the function calls.</w:t>
            </w:r>
          </w:p>
          <w:p>
            <w:pPr>
              <w:pStyle w:val="BodyText"/>
            </w:pPr>
            <w:r>
              <w:t xml:space="preserve">A somewhat older, but still useful explanation of pipes can be found in the</w:t>
            </w:r>
            <w:r>
              <w:t xml:space="preserve"> </w:t>
            </w:r>
            <w:hyperlink r:id="rId46">
              <w:r>
                <w:rPr>
                  <w:rStyle w:val="Hyperlink"/>
                </w:rPr>
                <w:t xml:space="preserve">R for Data Science handbook</w:t>
              </w:r>
            </w:hyperlink>
            <w:r>
              <w:t xml:space="preserve">. A newer implementation of the pipe operator is also available now as part of base R, and looks like this:</w:t>
            </w:r>
            <w:r>
              <w:t xml:space="preserve"> </w:t>
            </w:r>
            <w:r>
              <w:rPr>
                <w:rStyle w:val="VerbatimChar"/>
              </w:rPr>
              <w:t xml:space="preserve">|&gt;</w:t>
            </w:r>
            <w:r>
              <w:t xml:space="preserve">. A shorter comparison of the two operators has been written up by Hadley Wickham on the</w:t>
            </w:r>
            <w:r>
              <w:t xml:space="preserve"> </w:t>
            </w:r>
            <w:hyperlink r:id="rId47">
              <w:r>
                <w:rPr>
                  <w:rStyle w:val="Hyperlink"/>
                </w:rPr>
                <w:t xml:space="preserve">Tidyverse Blog site</w:t>
              </w:r>
            </w:hyperlink>
            <w:r>
              <w:t xml:space="preserve">.</w:t>
            </w:r>
          </w:p>
          <w:p>
            <w:pPr>
              <w:pStyle w:val="BodyText"/>
            </w:pPr>
            <w:pPr>
              <w:spacing w:after="16"/>
            </w:pPr>
            <w:r>
              <w:t xml:space="preserve">Note: we’ll be sticking with the magrittr pipe (</w:t>
            </w:r>
            <w:r>
              <w:rPr>
                <w:rStyle w:val="VerbatimChar"/>
              </w:rPr>
              <w:t xml:space="preserve">%&gt;%</w:t>
            </w:r>
            <w:r>
              <w:t xml:space="preserve">) for this course, but feel free to try writing some of your code using both and seeing which one you like better!</w:t>
            </w:r>
          </w:p>
          <w:p/>
        </w:tc>
      </w:tr>
    </w:tbl>
    <w:p>
      <w:pPr>
        <w:pStyle w:val="BodyText"/>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“1”</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pStyle w:val="Compact"/>
        <w:numPr>
          <w:ilvl w:val="0"/>
          <w:numId w:val="1011"/>
        </w:numPr>
      </w:pPr>
      <w:r>
        <w:t xml:space="preserve">The easiest, is probably to reopen the file in Excel - fix the few dates that aren’t formatted the same as the majority, and then re-write all the dates in a non-date format in Excel. This is an R course, though, so we’re not going to do that!</w:t>
      </w:r>
    </w:p>
    <w:p>
      <w:pPr>
        <w:pStyle w:val="Compact"/>
        <w:numPr>
          <w:ilvl w:val="0"/>
          <w:numId w:val="1011"/>
        </w:numPr>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12"/>
        </w:numPr>
      </w:pPr>
      <w:r>
        <w:t xml:space="preserve">Entry 14 - Aug 21, 1992</w:t>
      </w:r>
    </w:p>
    <w:p>
      <w:pPr>
        <w:numPr>
          <w:ilvl w:val="0"/>
          <w:numId w:val="1012"/>
        </w:numPr>
      </w:pPr>
      <w:r>
        <w:t xml:space="preserve">Entry 97 - Aug 30, 1982</w:t>
      </w:r>
    </w:p>
    <w:p>
      <w:pPr>
        <w:numPr>
          <w:ilvl w:val="0"/>
          <w:numId w:val="1012"/>
        </w:numPr>
      </w:pPr>
      <w:r>
        <w:t xml:space="preserve">Entry 127 - Mar 9, 1993</w:t>
      </w:r>
    </w:p>
    <w:p>
      <w:pPr>
        <w:numPr>
          <w:ilvl w:val="0"/>
          <w:numId w:val="1012"/>
        </w:numPr>
      </w:pPr>
      <w:r>
        <w:t xml:space="preserve">Entry 155 - Jan 13, 1959 (let’s assume the order of month and day were mixed)</w:t>
      </w:r>
    </w:p>
    <w:p>
      <w:pPr>
        <w:numPr>
          <w:ilvl w:val="0"/>
          <w:numId w:val="1012"/>
        </w:numPr>
      </w:pPr>
      <w:r>
        <w:t xml:space="preserve">Entry 568 - Jul 18, 1968</w:t>
      </w:r>
    </w:p>
    <w:p>
      <w:pPr>
        <w:pStyle w:val="FirstParagraph"/>
      </w:pPr>
      <w:r>
        <w:t xml:space="preserve">These are all easy to fix if we stick with indices that we learned about in R 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p_load(lubridate)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 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48"/>
    <w:bookmarkStart w:id="55"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pStyle w:val="Compact"/>
        <w:numPr>
          <w:ilvl w:val="0"/>
          <w:numId w:val="1013"/>
        </w:numPr>
      </w:pPr>
      <w:r>
        <w:t xml:space="preserve">Calculate the time interval passed between the date of birth and the departure date of the</w:t>
      </w:r>
      <w:r>
        <w:t xml:space="preserve"> </w:t>
      </w:r>
      <w:r>
        <w:rPr>
          <w:i/>
          <w:iCs/>
        </w:rPr>
        <w:t xml:space="preserve">S.S. Rainbow Cake</w:t>
      </w:r>
    </w:p>
    <w:p>
      <w:pPr>
        <w:pStyle w:val="BlockText"/>
      </w:pPr>
      <w:r>
        <w:t xml:space="preserve">interval(pass.dob, ymd(</w:t>
      </w:r>
      <w:r>
        <w:t xml:space="preserve">“2025-02-10”</w:t>
      </w:r>
      <w:r>
        <w:t xml:space="preserve">))</w:t>
      </w:r>
    </w:p>
    <w:p>
      <w:pPr>
        <w:pStyle w:val="Compact"/>
        <w:numPr>
          <w:ilvl w:val="0"/>
          <w:numId w:val="1014"/>
        </w:numPr>
      </w:pPr>
      <w:r>
        <w:t xml:space="preserve">Get the exact length of that interval, and return the value in years</w:t>
      </w:r>
    </w:p>
    <w:p>
      <w:pPr>
        <w:pStyle w:val="BlockText"/>
      </w:pPr>
      <w:r>
        <w:t xml:space="preserve">time_length(interval,</w:t>
      </w:r>
      <w:r>
        <w:t xml:space="preserve"> </w:t>
      </w:r>
      <w:r>
        <w:t xml:space="preserve">“years”</w:t>
      </w:r>
      <w:r>
        <w:t xml:space="preserve">)</w:t>
      </w:r>
    </w:p>
    <w:p>
      <w:pPr>
        <w:pStyle w:val="Compact"/>
        <w:numPr>
          <w:ilvl w:val="0"/>
          <w:numId w:val="1015"/>
        </w:numPr>
      </w:pPr>
      <w:r>
        <w:t xml:space="preserve">Round that value down to an integer</w:t>
      </w:r>
    </w:p>
    <w:p>
      <w:pPr>
        <w:pStyle w:val="BlockText"/>
      </w:pPr>
      <w:r>
        <w:t xml:space="preserve">floor(time_length)</w:t>
      </w:r>
    </w:p>
    <w:p>
      <w:pPr>
        <w:pStyle w:val="Compact"/>
        <w:numPr>
          <w:ilvl w:val="0"/>
          <w:numId w:val="1016"/>
        </w:numPr>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BHETMAN\AppData\Local\Programs\Quarto\share\formats\docx\note.png" id="50"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51">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53" name="Picture"/>
                  <a:graphic>
                    <a:graphicData uri="http://schemas.openxmlformats.org/drawingml/2006/picture">
                      <pic:pic>
                        <pic:nvPicPr>
                          <pic:cNvPr descr="pics/LAC_shipmanifest_handwritten.jpg" id="54" name="Picture"/>
                          <pic:cNvPicPr>
                            <a:picLocks noChangeArrowheads="1" noChangeAspect="1"/>
                          </pic:cNvPicPr>
                        </pic:nvPicPr>
                        <pic:blipFill>
                          <a:blip r:embed="rId52"/>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p/>
        </w:tc>
      </w:tr>
    </w:tbl>
    <w:bookmarkEnd w:id="55"/>
    <w:bookmarkStart w:id="57" w:name="step-4-fix-province-variable"/>
    <w:p>
      <w:pPr>
        <w:pStyle w:val="Heading3"/>
      </w:pPr>
      <w:r>
        <w:t xml:space="preserve">Step 4: Fix Province variable</w:t>
      </w:r>
    </w:p>
    <w:p>
      <w:pPr>
        <w:pStyle w:val="FirstParagraph"/>
      </w:pPr>
      <w:r>
        <w:t xml:space="preserve">We noted already that the Province variable (e.g.,</w:t>
      </w:r>
      <w:r>
        <w:t xml:space="preserve"> </w:t>
      </w:r>
      <w:r>
        <w:rPr>
          <w:b/>
          <w:bCs/>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
          <w:bCs/>
        </w:rPr>
        <w:t xml:space="preserve">distinct()</w:t>
      </w:r>
      <w:r>
        <w:t xml:space="preserve">.</w:t>
      </w:r>
    </w:p>
    <w:p>
      <w:pPr>
        <w:pStyle w:val="BodyText"/>
      </w:pPr>
      <w:r>
        <w:t xml:space="preserve">To do this, we’ll invoke our manifest dataframe, select the</w:t>
      </w:r>
      <w:r>
        <w:t xml:space="preserve"> </w:t>
      </w:r>
      <w:r>
        <w:t xml:space="preserve">“home.prov”</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56"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“if…then”</w:t>
      </w:r>
      <w:r>
        <w:t xml:space="preserve"> </w:t>
      </w:r>
      <w:r>
        <w:t xml:space="preserve">statements or used the</w:t>
      </w:r>
      <w:r>
        <w:t xml:space="preserve"> </w:t>
      </w:r>
      <w:r>
        <w:rPr>
          <w:b/>
          <w:bCs/>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‘missing’</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‘missing’</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56"/>
    <w:bookmarkEnd w:id="57"/>
    <w:bookmarkStart w:id="61"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pStyle w:val="Compact"/>
        <w:numPr>
          <w:ilvl w:val="0"/>
          <w:numId w:val="1017"/>
        </w:numPr>
      </w:pPr>
      <w:r>
        <w:t xml:space="preserve">There are several missing and marked as NA (not much we can do about these at the moment).</w:t>
      </w:r>
    </w:p>
    <w:p>
      <w:pPr>
        <w:pStyle w:val="Compact"/>
        <w:numPr>
          <w:ilvl w:val="0"/>
          <w:numId w:val="1017"/>
        </w:numPr>
      </w:pPr>
      <w:r>
        <w:t xml:space="preserve">When a name includes a professional designation (like</w:t>
      </w:r>
      <w:r>
        <w:t xml:space="preserve"> </w:t>
      </w:r>
      <w:r>
        <w:t xml:space="preserve">“D.D.S.”</w:t>
      </w:r>
      <w:r>
        <w:t xml:space="preserve">) then this gets added to the person’s last name. We’ll ignore the strangeness of people using their dentist as their emergency contact, and focus on fixing these for the sake of clean data entry only.</w:t>
      </w:r>
    </w:p>
    <w:p>
      <w:pPr>
        <w:pStyle w:val="Compact"/>
        <w:numPr>
          <w:ilvl w:val="0"/>
          <w:numId w:val="1017"/>
        </w:numPr>
      </w:pPr>
      <w:r>
        <w:t xml:space="preserve">When a name is prefixed with a title (e.g.,</w:t>
      </w:r>
      <w:r>
        <w:t xml:space="preserve"> </w:t>
      </w:r>
      <w:r>
        <w:t xml:space="preserve">“Dr.”</w:t>
      </w:r>
      <w:r>
        <w:t xml:space="preserve">) the prefix becomes the contact’s first name, and has pushed first and last name into the same variable.</w:t>
      </w:r>
    </w:p>
    <w:bookmarkStart w:id="60"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
          <w:bCs/>
        </w:rPr>
        <w:t xml:space="preserve">stringr</w:t>
      </w:r>
      <w:r>
        <w:t xml:space="preserve"> </w:t>
      </w:r>
      <w:r>
        <w:t xml:space="preserve">package. No need to load anything new -</w:t>
      </w:r>
      <w:r>
        <w:t xml:space="preserve"> </w:t>
      </w:r>
      <w:r>
        <w:rPr>
          <w:b/>
          <w:bCs/>
        </w:rPr>
        <w:t xml:space="preserve">stringr</w:t>
      </w:r>
      <w:r>
        <w:t xml:space="preserve"> </w:t>
      </w:r>
      <w:r>
        <w:t xml:space="preserve">contains some very useful data-cleaning tools for character data, including the function</w:t>
      </w:r>
      <w:r>
        <w:t xml:space="preserve"> </w:t>
      </w:r>
      <w:hyperlink r:id="rId58">
        <w:r>
          <w:rPr>
            <w:rStyle w:val="Hyperlink"/>
          </w:rPr>
          <w:t xml:space="preserve">str_replace()</w:t>
        </w:r>
      </w:hyperlink>
      <w:r>
        <w:t xml:space="preserve"> </w:t>
      </w:r>
      <w:r>
        <w:t xml:space="preserve">which will allow us to modify character strings using a</w:t>
      </w:r>
      <w:r>
        <w:t xml:space="preserve"> </w:t>
      </w:r>
      <w:r>
        <w:rPr>
          <w:i/>
          <w:iCs/>
        </w:rPr>
        <w:t xml:space="preserve">pattern</w:t>
      </w:r>
      <w:r>
        <w:t xml:space="preserve"> </w:t>
      </w:r>
      <w:r>
        <w:t xml:space="preserve">and</w:t>
      </w:r>
      <w:r>
        <w:t xml:space="preserve"> </w:t>
      </w:r>
      <w:r>
        <w:rPr>
          <w:i/>
          <w:iCs/>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8"/>
        </w:numPr>
      </w:pPr>
      <w:r>
        <w:rPr>
          <w:i/>
          <w:iCs/>
        </w:rPr>
        <w:t xml:space="preserve">string</w:t>
      </w:r>
      <w:r>
        <w:t xml:space="preserve"> </w:t>
      </w:r>
      <w:r>
        <w:t xml:space="preserve">= the variable containing character strings you wish to modify</w:t>
      </w:r>
    </w:p>
    <w:p>
      <w:pPr>
        <w:numPr>
          <w:ilvl w:val="0"/>
          <w:numId w:val="1018"/>
        </w:numPr>
      </w:pPr>
      <w:r>
        <w:rPr>
          <w:i/>
          <w:iCs/>
        </w:rPr>
        <w:t xml:space="preserve">pattern</w:t>
      </w:r>
      <w:r>
        <w:t xml:space="preserve"> </w:t>
      </w:r>
      <w:r>
        <w:t xml:space="preserve">= the pattern you want to replace</w:t>
      </w:r>
    </w:p>
    <w:p>
      <w:pPr>
        <w:numPr>
          <w:ilvl w:val="0"/>
          <w:numId w:val="1018"/>
        </w:numPr>
      </w:pPr>
      <w:r>
        <w:rPr>
          <w:i/>
          <w:iCs/>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“Mr.”</w:t>
      </w:r>
      <w:r>
        <w:t xml:space="preserve">,</w:t>
      </w:r>
      <w:r>
        <w:t xml:space="preserve"> </w:t>
      </w:r>
      <w:r>
        <w:t xml:space="preserve">“Mrs.”</w:t>
      </w:r>
      <w:r>
        <w:t xml:space="preserve">, and</w:t>
      </w:r>
      <w:r>
        <w:t xml:space="preserve"> </w:t>
      </w:r>
      <w:r>
        <w:t xml:space="preserve">“Dr.”</w:t>
      </w:r>
      <w:r>
        <w:t xml:space="preserve">, so we’ll just replace them with an empty string: “</w:t>
      </w:r>
      <w:r>
        <w:t xml:space="preserve">“. We’ll do the same thing to the suffixes in the last-name field, replacing DDS and Jr. with”</w:t>
      </w:r>
      <w:r>
        <w:t xml:space="preserve">“.</w:t>
      </w:r>
    </w:p>
    <w:p>
      <w:pPr>
        <w:pStyle w:val="BodyText"/>
      </w:pPr>
      <w:r>
        <w:t xml:space="preserve">You’ll notice in the code below that we use a double-escape (\\) before a period. This is because stringr functions use</w:t>
      </w:r>
      <w:r>
        <w:t xml:space="preserve"> </w:t>
      </w:r>
      <w:r>
        <w:rPr>
          <w:b/>
          <w:bCs/>
        </w:rPr>
        <w:t xml:space="preserve">regex</w:t>
      </w:r>
      <w:r>
        <w:t xml:space="preserve"> </w:t>
      </w:r>
      <w:r>
        <w:t xml:space="preserve">(regular expressions) conventions as wildcards, and the period (.) is a wildcard for</w:t>
      </w:r>
      <w:r>
        <w:t xml:space="preserve"> </w:t>
      </w:r>
      <w:r>
        <w:rPr>
          <w:i/>
          <w:iCs/>
        </w:rPr>
        <w:t xml:space="preserve">anything</w:t>
      </w:r>
      <w:r>
        <w:t xml:space="preserve">. So if we didn’t escape the character</w:t>
      </w:r>
      <w:r>
        <w:t xml:space="preserve"> </w:t>
      </w:r>
      <w:r>
        <w:t xml:space="preserve">‘.’</w:t>
      </w:r>
      <w:r>
        <w:t xml:space="preserve"> </w:t>
      </w:r>
      <w:r>
        <w:t xml:space="preserve">in</w:t>
      </w:r>
      <w:r>
        <w:t xml:space="preserve"> </w:t>
      </w:r>
      <w:r>
        <w:t xml:space="preserve">‘Dr.’</w:t>
      </w:r>
      <w:r>
        <w:t xml:space="preserve"> </w:t>
      </w:r>
      <w:r>
        <w:t xml:space="preserve">for example, then R will look for the string</w:t>
      </w:r>
      <w:r>
        <w:t xml:space="preserve"> </w:t>
      </w:r>
      <w:r>
        <w:t xml:space="preserve">‘Dr’</w:t>
      </w:r>
      <w:r>
        <w:t xml:space="preserve"> </w:t>
      </w:r>
      <w:r>
        <w:t xml:space="preserve">followed by any string of any length, and we don’t want that.</w:t>
      </w:r>
    </w:p>
    <w:p>
      <w:pPr>
        <w:pStyle w:val="BodyText"/>
      </w:pPr>
      <w:hyperlink r:id="rId59">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pStyle w:val="Compact"/>
        <w:numPr>
          <w:ilvl w:val="0"/>
          <w:numId w:val="1019"/>
        </w:numPr>
      </w:pPr>
      <w:r>
        <w:t xml:space="preserve">We</w:t>
      </w:r>
      <w:r>
        <w:t xml:space="preserve"> </w:t>
      </w:r>
      <w:r>
        <w:rPr>
          <w:i/>
          <w:iCs/>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pStyle w:val="Compact"/>
        <w:numPr>
          <w:ilvl w:val="0"/>
          <w:numId w:val="1019"/>
        </w:numPr>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60"/>
    <w:bookmarkEnd w:id="61"/>
    <w:bookmarkStart w:id="62"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
          <w:bCs/>
        </w:rPr>
        <w:t xml:space="preserve">boarding date</w:t>
      </w:r>
      <w:r>
        <w:t xml:space="preserve"> </w:t>
      </w:r>
      <w:r>
        <w:t xml:space="preserve">variable. Since there’s only two variations in this one (e.g., Feb 9th and Feb 10th) this should be an easy fix using our</w:t>
      </w:r>
      <w:r>
        <w:t xml:space="preserve"> </w:t>
      </w:r>
      <w:r>
        <w:rPr>
          <w:b/>
          <w:bCs/>
        </w:rPr>
        <w:t xml:space="preserve">case_when()</w:t>
      </w:r>
      <w:r>
        <w:t xml:space="preserve"> </w:t>
      </w:r>
      <w:r>
        <w:t xml:space="preserve">function. Keep in mind, however, that we may want to be able to use this variable in calculations later, so we should also restore it to a date format using Lubridate’s</w:t>
      </w:r>
      <w:r>
        <w:t xml:space="preserve"> </w:t>
      </w:r>
      <w:r>
        <w:rPr>
          <w:b/>
          <w:bCs/>
        </w:rPr>
        <w:t xml:space="preserve">ymd()</w:t>
      </w:r>
      <w:r>
        <w:t xml:space="preserve"> </w:t>
      </w:r>
      <w:r>
        <w:t xml:space="preserve">function.</w:t>
      </w:r>
    </w:p>
    <w:p>
      <w:pPr>
        <w:pStyle w:val="BodyText"/>
      </w:pPr>
      <w:r>
        <w:t xml:space="preserve">Let’s wrap these together into one operation:</w:t>
      </w:r>
    </w:p>
    <w:p>
      <w:pPr>
        <w:pStyle w:val="SourceCode"/>
      </w:pPr>
      <w:r>
        <w:rPr>
          <w:rStyle w:val="CommentTok"/>
        </w:rPr>
        <w:t xml:space="preserve">#store the manifest as an object after creating the boarding date variable.  </w:t>
      </w:r>
      <w:r>
        <w:br/>
      </w: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62"/>
    <w:bookmarkStart w:id="63" w:name="saving-your-dataset-to-disk"/>
    <w:p>
      <w:pPr>
        <w:pStyle w:val="Heading3"/>
      </w:pPr>
      <w:r>
        <w:t xml:space="preserve">Saving your dataset to disk</w:t>
      </w:r>
    </w:p>
    <w:p>
      <w:pPr>
        <w:pStyle w:val="FirstParagraph"/>
      </w:pPr>
      <w:r>
        <w:t xml:space="preserve">Have a look through your dataset with the</w:t>
      </w:r>
      <w:r>
        <w:t xml:space="preserve"> </w:t>
      </w:r>
      <w:r>
        <w:rPr>
          <w:b/>
          <w:bCs/>
        </w:rPr>
        <w:t xml:space="preserve">view()</w:t>
      </w:r>
      <w:r>
        <w:t xml:space="preserve"> </w:t>
      </w:r>
      <w:r>
        <w:t xml:space="preserve">function, and make sure that everything looks correct. When you’re ready to save the final dataset to a file on your computer, use the</w:t>
      </w:r>
      <w:r>
        <w:t xml:space="preserve"> </w:t>
      </w:r>
      <w:r>
        <w:rPr>
          <w:b/>
          <w:bCs/>
        </w:rPr>
        <w:t xml:space="preserve">write_tsv()</w:t>
      </w:r>
      <w:r>
        <w:t xml:space="preserve"> </w:t>
      </w:r>
      <w:r>
        <w:t xml:space="preserve">function like so:</w:t>
      </w:r>
    </w:p>
    <w:p>
      <w:pPr>
        <w:pStyle w:val="BlockText"/>
      </w:pPr>
      <w:r>
        <w:t xml:space="preserve">write_tsv(dataset,</w:t>
      </w:r>
      <w:r>
        <w:t xml:space="preserve"> </w:t>
      </w:r>
      <w:r>
        <w:t xml:space="preserve">“pathway_and_name_to_save_as.tsv”</w:t>
      </w:r>
      <w:r>
        <w:t xml:space="preserve">)</w:t>
      </w:r>
    </w:p>
    <w:bookmarkEnd w:id="63"/>
    <w:bookmarkEnd w:id="64"/>
    <w:bookmarkStart w:id="65"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pStyle w:val="Compact"/>
        <w:numPr>
          <w:ilvl w:val="0"/>
          <w:numId w:val="1020"/>
        </w:numPr>
      </w:pPr>
      <w:r>
        <w:t xml:space="preserve">Read a complex excel file and store it as a data frame object</w:t>
      </w:r>
    </w:p>
    <w:p>
      <w:pPr>
        <w:pStyle w:val="Compact"/>
        <w:numPr>
          <w:ilvl w:val="0"/>
          <w:numId w:val="1020"/>
        </w:numPr>
      </w:pPr>
      <w:r>
        <w:t xml:space="preserve">Remove egregious excel-formatting from the header of the file</w:t>
      </w:r>
    </w:p>
    <w:p>
      <w:pPr>
        <w:pStyle w:val="Compact"/>
        <w:numPr>
          <w:ilvl w:val="0"/>
          <w:numId w:val="1020"/>
        </w:numPr>
      </w:pPr>
      <w:r>
        <w:t xml:space="preserve">Fix variable names</w:t>
      </w:r>
    </w:p>
    <w:p>
      <w:pPr>
        <w:pStyle w:val="Compact"/>
        <w:numPr>
          <w:ilvl w:val="0"/>
          <w:numId w:val="1020"/>
        </w:numPr>
      </w:pPr>
      <w:r>
        <w:t xml:space="preserve">Fix individual data entries within variables</w:t>
      </w:r>
    </w:p>
    <w:p>
      <w:pPr>
        <w:pStyle w:val="Compact"/>
        <w:numPr>
          <w:ilvl w:val="0"/>
          <w:numId w:val="1020"/>
        </w:numPr>
      </w:pPr>
      <w:r>
        <w:t xml:space="preserve">Fix dates</w:t>
      </w:r>
    </w:p>
    <w:p>
      <w:pPr>
        <w:pStyle w:val="Compact"/>
        <w:numPr>
          <w:ilvl w:val="0"/>
          <w:numId w:val="1020"/>
        </w:numPr>
      </w:pPr>
      <w:r>
        <w:t xml:space="preserve">Fix complex strings</w:t>
      </w:r>
    </w:p>
    <w:p>
      <w:pPr>
        <w:pStyle w:val="Compact"/>
        <w:numPr>
          <w:ilvl w:val="0"/>
          <w:numId w:val="1020"/>
        </w:numPr>
      </w:pPr>
      <w:r>
        <w:t xml:space="preserve">Write a file to disk.</w:t>
      </w:r>
    </w:p>
    <w:p>
      <w:pPr>
        <w:pStyle w:val="FirstParagraph"/>
      </w:pPr>
      <w:r>
        <w:t xml:space="preserve">That’s a lot! We even managed to sneak a small preview of regular expressions in there!</w:t>
      </w:r>
    </w:p>
    <w:bookmarkEnd w:id="65"/>
    <w:bookmarkStart w:id="66" w:name="quiz"/>
    <w:p>
      <w:pPr>
        <w:pStyle w:val="Heading2"/>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52" Target="media/rId52.jpg" /><Relationship Type="http://schemas.openxmlformats.org/officeDocument/2006/relationships/image" Id="rId36" Target="media/rId36.jpg" /><Relationship Type="http://schemas.openxmlformats.org/officeDocument/2006/relationships/hyperlink" Id="rId25" Target="https://downgit.github.io/#/home?url=https://github.com/hc-sc/tdu-rph/tree/main/participant_data" TargetMode="External" /><Relationship Type="http://schemas.openxmlformats.org/officeDocument/2006/relationships/hyperlink" Id="rId23" Target="https://hc-sc.github.io/tdu-rph" TargetMode="External" /><Relationship Type="http://schemas.openxmlformats.org/officeDocument/2006/relationships/hyperlink" Id="rId24" Target="https://hc-sc.github.io/tdu-rph/#preamble-setting-up-your-workspace" TargetMode="External" /><Relationship Type="http://schemas.openxmlformats.org/officeDocument/2006/relationships/hyperlink" Id="rId46" Target="https://r4ds.had.co.nz/pipes.html" TargetMode="External" /><Relationship Type="http://schemas.openxmlformats.org/officeDocument/2006/relationships/hyperlink" Id="rId59" Target="https://regexlearn.com/cheatsheet" TargetMode="External" /><Relationship Type="http://schemas.openxmlformats.org/officeDocument/2006/relationships/hyperlink" Id="rId58" Target="https://stringr.tidyverse.org/reference/str_replace.html" TargetMode="External" /><Relationship Type="http://schemas.openxmlformats.org/officeDocument/2006/relationships/hyperlink" Id="rId47" Target="https://tidyverse.org/blog/2023/04/base-vs-magrittr-pipe/" TargetMode="External" /><Relationship Type="http://schemas.openxmlformats.org/officeDocument/2006/relationships/hyperlink" Id="rId30" Target="https://tidyverse.org/packages" TargetMode="External" /><Relationship Type="http://schemas.openxmlformats.org/officeDocument/2006/relationships/hyperlink" Id="rId51"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25" Target="https://downgit.github.io/#/home?url=https://github.com/hc-sc/tdu-rph/tree/main/participant_data" TargetMode="External" /><Relationship Type="http://schemas.openxmlformats.org/officeDocument/2006/relationships/hyperlink" Id="rId23" Target="https://hc-sc.github.io/tdu-rph" TargetMode="External" /><Relationship Type="http://schemas.openxmlformats.org/officeDocument/2006/relationships/hyperlink" Id="rId24" Target="https://hc-sc.github.io/tdu-rph/#preamble-setting-up-your-workspace" TargetMode="External" /><Relationship Type="http://schemas.openxmlformats.org/officeDocument/2006/relationships/hyperlink" Id="rId46" Target="https://r4ds.had.co.nz/pipes.html" TargetMode="External" /><Relationship Type="http://schemas.openxmlformats.org/officeDocument/2006/relationships/hyperlink" Id="rId59" Target="https://regexlearn.com/cheatsheet" TargetMode="External" /><Relationship Type="http://schemas.openxmlformats.org/officeDocument/2006/relationships/hyperlink" Id="rId58" Target="https://stringr.tidyverse.org/reference/str_replace.html" TargetMode="External" /><Relationship Type="http://schemas.openxmlformats.org/officeDocument/2006/relationships/hyperlink" Id="rId47" Target="https://tidyverse.org/blog/2023/04/base-vs-magrittr-pipe/" TargetMode="External" /><Relationship Type="http://schemas.openxmlformats.org/officeDocument/2006/relationships/hyperlink" Id="rId30" Target="https://tidyverse.org/packages" TargetMode="External" /><Relationship Type="http://schemas.openxmlformats.org/officeDocument/2006/relationships/hyperlink" Id="rId51"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2026-01-29T14:35:06Z</dcterms:created>
  <dcterms:modified xsi:type="dcterms:W3CDTF">2026-01-29T14:35:06Z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