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38.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numPr>
          <w:ilvl w:val="0"/>
          <w:numId w:val="1001"/>
        </w:numPr>
        <w:pStyle w:val="Compact"/>
      </w:pPr>
      <w:r>
        <w:t xml:space="preserve">Build tidyverse workflows using the</w:t>
      </w:r>
      <w:r>
        <w:t xml:space="preserve"> </w:t>
      </w:r>
      <w:r>
        <w:rPr>
          <w:bCs/>
          <w:b/>
        </w:rPr>
        <w:t xml:space="preserve">%&gt;%</w:t>
      </w:r>
      <w:r>
        <w:t xml:space="preserve"> </w:t>
      </w:r>
      <w:r>
        <w:t xml:space="preserve">operator</w:t>
      </w:r>
    </w:p>
    <w:p>
      <w:pPr>
        <w:numPr>
          <w:ilvl w:val="0"/>
          <w:numId w:val="1001"/>
        </w:numPr>
        <w:pStyle w:val="Compact"/>
      </w:pPr>
      <w:r>
        <w:t xml:space="preserve">Discuss best-practices for tidy (clean) datasets</w:t>
      </w:r>
    </w:p>
    <w:p>
      <w:pPr>
        <w:numPr>
          <w:ilvl w:val="0"/>
          <w:numId w:val="1001"/>
        </w:numPr>
        <w:pStyle w:val="Compact"/>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9"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Cs/>
          <w:i/>
        </w:rPr>
        <w:t xml:space="preserve">function</w:t>
      </w:r>
      <w:r>
        <w:t xml:space="preserve"> </w:t>
      </w:r>
      <w:r>
        <w:t xml:space="preserve">from the</w:t>
      </w:r>
      <w:r>
        <w:t xml:space="preserve"> </w:t>
      </w:r>
      <w:r>
        <w:rPr>
          <w:iCs/>
          <w:i/>
        </w:rPr>
        <w:t xml:space="preserve">Tidyverse</w:t>
      </w:r>
      <w:r>
        <w:t xml:space="preserve"> </w:t>
      </w:r>
      <w:r>
        <w:t xml:space="preserve">package. In order to do this, we’ll need to make sure that we’ve first loaded the</w:t>
      </w:r>
      <w:r>
        <w:t xml:space="preserve"> </w:t>
      </w:r>
      <w:r>
        <w:rPr>
          <w:iCs/>
          <w:i/>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Cs/>
          <w:b/>
        </w:rPr>
        <w:t xml:space="preserve">Module 1</w:t>
      </w:r>
      <w:r>
        <w:t xml:space="preserve"> </w:t>
      </w:r>
      <w:r>
        <w:t xml:space="preserve">- there should be three:</w:t>
      </w:r>
    </w:p>
    <w:p>
      <w:pPr>
        <w:numPr>
          <w:ilvl w:val="0"/>
          <w:numId w:val="1002"/>
        </w:numPr>
        <w:pStyle w:val="Compact"/>
      </w:pPr>
      <w:r>
        <w:t xml:space="preserve">data/</w:t>
      </w:r>
    </w:p>
    <w:p>
      <w:pPr>
        <w:numPr>
          <w:ilvl w:val="0"/>
          <w:numId w:val="1002"/>
        </w:numPr>
        <w:pStyle w:val="Compact"/>
      </w:pPr>
      <w:r>
        <w:t xml:space="preserve">scripts/</w:t>
      </w:r>
    </w:p>
    <w:p>
      <w:pPr>
        <w:numPr>
          <w:ilvl w:val="0"/>
          <w:numId w:val="1002"/>
        </w:numPr>
        <w:pStyle w:val="Compact"/>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Cs/>
          <w:b/>
        </w:rPr>
        <w:t xml:space="preserve">readxl</w:t>
      </w:r>
      <w:r>
        <w:t xml:space="preserve"> </w:t>
      </w:r>
      <w:r>
        <w:t xml:space="preserve">package, which, lucky for us, works great with tidyverse. However, the package is</w:t>
      </w:r>
      <w:r>
        <w:t xml:space="preserve"> </w:t>
      </w:r>
      <w:r>
        <w:rPr>
          <w:bCs/>
          <w:b/>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Cs/>
          <w:b/>
        </w:rPr>
        <w:t xml:space="preserve">readxl</w:t>
      </w:r>
      <w:r>
        <w:t xml:space="preserve">, then using the function</w:t>
      </w:r>
      <w:r>
        <w:t xml:space="preserve"> </w:t>
      </w:r>
      <w:r>
        <w:rPr>
          <w:iCs/>
          <w:i/>
        </w:rPr>
        <w:t xml:space="preserve">read_excel()</w:t>
      </w:r>
      <w:r>
        <w:t xml:space="preserve"> </w:t>
      </w:r>
      <w:r>
        <w:t xml:space="preserve">to load the file</w:t>
      </w:r>
      <w:r>
        <w:t xml:space="preserve"> </w:t>
      </w:r>
      <w:r>
        <w:t xml:space="preserve">“</w:t>
      </w:r>
      <w:r>
        <w:t xml:space="preserve">ship_manifest.xlsx</w:t>
      </w:r>
      <w:r>
        <w:t xml:space="preserve">”</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RStudio\resources\app\bin\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29"/>
    <w:bookmarkStart w:id="30"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Cs/>
          <w:b/>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w:t>
      </w:r>
      <w:r>
        <w:t xml:space="preserve">unique”</w:t>
      </w:r>
      <w:r>
        <w:br/>
      </w:r>
      <w:r>
        <w:t xml:space="preserve">)</w:t>
      </w:r>
    </w:p>
    <w:p>
      <w:pPr>
        <w:pStyle w:val="FirstParagraph"/>
      </w:pPr>
      <w:r>
        <w:t xml:space="preserve">The argument that we’re interested in is</w:t>
      </w:r>
      <w:r>
        <w:t xml:space="preserve"> </w:t>
      </w:r>
      <w:r>
        <w:rPr>
          <w:bCs/>
          <w:b/>
        </w:rPr>
        <w:t xml:space="preserve">skip = 0</w:t>
      </w:r>
      <w:r>
        <w:t xml:space="preserve">. If we include this argument in our</w:t>
      </w:r>
      <w:r>
        <w:t xml:space="preserve"> </w:t>
      </w:r>
      <w:r>
        <w:rPr>
          <w:bCs/>
          <w:b/>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w:t>
      </w:r>
      <w:r>
        <w:t xml:space="preserve">manifest</w:t>
      </w:r>
      <w:r>
        <w:t xml:space="preserve">’</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0"/>
    <w:bookmarkStart w:id="31" w:name="identifying-data-cleaning-needs"/>
    <w:p>
      <w:pPr>
        <w:pStyle w:val="Heading2"/>
      </w:pPr>
      <w:r>
        <w:t xml:space="preserve">Identifying data cleaning needs</w:t>
      </w:r>
    </w:p>
    <w:p>
      <w:pPr>
        <w:pStyle w:val="FirstParagraph"/>
      </w:pPr>
      <w:r>
        <w:t xml:space="preserve">Let’s take a moment now to review the</w:t>
      </w:r>
      <w:r>
        <w:t xml:space="preserve"> </w:t>
      </w:r>
      <w:r>
        <w:rPr>
          <w:bCs/>
          <w:b/>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Cs/>
          <w:b/>
        </w:rPr>
        <w:t xml:space="preserve">Tidyverse</w:t>
      </w:r>
      <w:r>
        <w:t xml:space="preserve"> </w:t>
      </w:r>
      <w:r>
        <w:t xml:space="preserve">functions as possible, let’s check out the function</w:t>
      </w:r>
      <w:r>
        <w:t xml:space="preserve"> </w:t>
      </w:r>
      <w:r>
        <w:rPr>
          <w:iCs/>
          <w:i/>
        </w:rPr>
        <w:t xml:space="preserve">glimpse()</w:t>
      </w:r>
      <w:r>
        <w:t xml:space="preserve">. This function operates very similarly to the base R</w:t>
      </w:r>
      <w:r>
        <w:t xml:space="preserve"> </w:t>
      </w:r>
      <w:r>
        <w:rPr>
          <w:bCs/>
          <w:b/>
        </w:rPr>
        <w:t xml:space="preserve">structure</w:t>
      </w:r>
      <w:r>
        <w:t xml:space="preserve"> </w:t>
      </w:r>
      <w:r>
        <w:t xml:space="preserve">function</w:t>
      </w:r>
      <w:r>
        <w:t xml:space="preserve"> </w:t>
      </w:r>
      <w:r>
        <w:rPr>
          <w:iCs/>
          <w:i/>
        </w:rPr>
        <w:t xml:space="preserve">str()</w:t>
      </w:r>
      <w:r>
        <w:t xml:space="preserve">, however, provides the output in a more neatly organized way. Try it out on the</w:t>
      </w:r>
      <w:r>
        <w:t xml:space="preserve"> </w:t>
      </w:r>
      <w:r>
        <w:rPr>
          <w:bCs/>
          <w:b/>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Cs/>
          <w:b/>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tblLook w:firstRow="1" w:lastRow="0" w:firstColumn="0" w:lastColumn="0" w:noHBand="0" w:noVBand="0" w:val="0020"/>
        <w:jc w:val="start"/>
        <w:tblInd w:w="720" w:type="dxa"/>
        <w:tblLayout w:type="fixed"/>
        <w:tblCaption w:val="Table of sentinel values"/>
      </w:tblPr>
      <w:tblGrid>
        <w:gridCol w:w="2750"/>
        <w:gridCol w:w="5170"/>
      </w:tblGrid>
      <w:tr>
        <w:trPr>
          <w:tblHeader w:val="true"/>
        </w:trPr>
        <w:tc>
          <w:tcPr/>
          <w:p>
            <w:pPr>
              <w:pStyle w:val="Compact"/>
              <w:jc w:val="left"/>
            </w:pPr>
            <w:r>
              <w:t xml:space="preserve">Value or symbol</w:t>
            </w:r>
          </w:p>
        </w:tc>
        <w:tc>
          <w:tcPr/>
          <w:p>
            <w:pPr>
              <w:pStyle w:val="Compact"/>
              <w:jc w:val="left"/>
            </w:pPr>
            <w:r>
              <w:t xml:space="preserve">Description</w:t>
            </w:r>
          </w:p>
        </w:tc>
      </w:tr>
      <w:tr>
        <w:tc>
          <w:tcPr/>
          <w:p>
            <w:pPr>
              <w:pStyle w:val="Compact"/>
              <w:jc w:val="left"/>
            </w:pPr>
            <w:r>
              <w:t xml:space="preserve">.</w:t>
            </w:r>
          </w:p>
        </w:tc>
        <w:tc>
          <w:tcPr/>
          <w:p>
            <w:pPr>
              <w:pStyle w:val="Compact"/>
              <w:jc w:val="left"/>
            </w:pPr>
            <w:r>
              <w:t xml:space="preserve">Period. Often used to denote purposely missing values in programs like Stata.</w:t>
            </w:r>
          </w:p>
        </w:tc>
      </w:tr>
      <w:tr>
        <w:tc>
          <w:tcPr/>
          <w:p>
            <w:pPr>
              <w:pStyle w:val="Compact"/>
              <w:jc w:val="left"/>
            </w:pPr>
            <w:r>
              <w:t xml:space="preserve">-</w:t>
            </w:r>
          </w:p>
        </w:tc>
        <w:tc>
          <w:tcPr/>
          <w:p>
            <w:pPr>
              <w:pStyle w:val="Compact"/>
              <w:jc w:val="left"/>
            </w:pPr>
            <w:r>
              <w:t xml:space="preserve">Dash. Can denote missing value, negative, empty cell, or errors.</w:t>
            </w:r>
          </w:p>
        </w:tc>
      </w:tr>
      <w:tr>
        <w:tc>
          <w:tcPr/>
          <w:p>
            <w:pPr>
              <w:pStyle w:val="Compact"/>
              <w:jc w:val="left"/>
            </w:pPr>
            <w:r>
              <w:t xml:space="preserve">999</w:t>
            </w:r>
          </w:p>
        </w:tc>
        <w:tc>
          <w:tcPr/>
          <w:p>
            <w:pPr>
              <w:pStyle w:val="Compact"/>
              <w:jc w:val="left"/>
            </w:pPr>
            <w:r>
              <w:t xml:space="preserve">Three nines (999). This code is often used to represent</w:t>
            </w:r>
            <w:r>
              <w:t xml:space="preserve"> </w:t>
            </w:r>
            <w:r>
              <w:t xml:space="preserve">‘</w:t>
            </w:r>
            <w:r>
              <w:t xml:space="preserve">missing</w:t>
            </w:r>
            <w:r>
              <w:t xml:space="preserve">’</w:t>
            </w:r>
            <w:r>
              <w:t xml:space="preserve"> </w:t>
            </w:r>
            <w:r>
              <w:t xml:space="preserve">or</w:t>
            </w:r>
            <w:r>
              <w:t xml:space="preserve"> </w:t>
            </w:r>
            <w:r>
              <w:t xml:space="preserve">‘</w:t>
            </w:r>
            <w:r>
              <w:t xml:space="preserve">unknown</w:t>
            </w:r>
            <w:r>
              <w:t xml:space="preserve">’</w:t>
            </w:r>
            <w:r>
              <w:t xml:space="preserve">.</w:t>
            </w:r>
          </w:p>
        </w:tc>
      </w:tr>
      <w:tr>
        <w:tc>
          <w:tcPr/>
          <w:p>
            <w:pPr>
              <w:pStyle w:val="Compact"/>
              <w:jc w:val="left"/>
            </w:pPr>
            <w:r>
              <w:t xml:space="preserve">N/A</w:t>
            </w:r>
          </w:p>
        </w:tc>
        <w:tc>
          <w:tcPr/>
          <w:p>
            <w:pPr>
              <w:pStyle w:val="Compact"/>
              <w:jc w:val="left"/>
            </w:pPr>
            <w:r>
              <w:t xml:space="preserve">Not applicable. This is sometimes written purposively, and other times is an automatic replacement for blank cells.</w:t>
            </w:r>
          </w:p>
        </w:tc>
      </w:tr>
      <w:tr>
        <w:tc>
          <w:tcPr/>
          <w:p>
            <w:pPr>
              <w:pStyle w:val="Compact"/>
              <w:jc w:val="left"/>
            </w:pPr>
            <w:r>
              <w:rPr>
                <w:iCs/>
                <w:i/>
              </w:rPr>
              <w:t xml:space="preserve">Missing</w:t>
            </w:r>
          </w:p>
        </w:tc>
        <w:tc>
          <w:tcPr/>
          <w:p>
            <w:pPr>
              <w:pStyle w:val="Compact"/>
              <w:jc w:val="left"/>
            </w:pPr>
            <w:r>
              <w:t xml:space="preserve">The word</w:t>
            </w:r>
            <w:r>
              <w:t xml:space="preserve"> </w:t>
            </w:r>
            <w:r>
              <w:t xml:space="preserve">‘</w:t>
            </w:r>
            <w:r>
              <w:t xml:space="preserve">missing.</w:t>
            </w:r>
            <w:r>
              <w:t xml:space="preserve">’</w:t>
            </w:r>
            <w:r>
              <w:t xml:space="preserve"> </w:t>
            </w:r>
            <w:r>
              <w:t xml:space="preserve">This is often input manually by someone who wants signify that the data were not collected, and that an empty cell is not the result of a data entry error.</w:t>
            </w:r>
          </w:p>
        </w:tc>
      </w:tr>
      <w:tr>
        <w:tc>
          <w:tcPr/>
          <w:p>
            <w:pPr>
              <w:pStyle w:val="Compact"/>
              <w:jc w:val="left"/>
            </w:pPr>
            <w:r>
              <w:t xml:space="preserve">(blank)</w:t>
            </w:r>
          </w:p>
        </w:tc>
        <w:tc>
          <w:tcPr/>
          <w:p>
            <w:pPr>
              <w:pStyle w:val="Compact"/>
              <w:jc w:val="lef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Cs/>
          <w:b/>
        </w:rPr>
        <w:t xml:space="preserve">passenger information</w:t>
      </w:r>
      <w:r>
        <w:t xml:space="preserve">, or</w:t>
      </w:r>
      <w:r>
        <w:t xml:space="preserve"> </w:t>
      </w:r>
      <w:r>
        <w:rPr>
          <w:bCs/>
          <w:b/>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Cs/>
          <w:b/>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w:t>
      </w:r>
      <w:r>
        <w:t xml:space="preserve">#N/A</w:t>
      </w:r>
      <w:r>
        <w:t xml:space="preserve">”</w:t>
      </w:r>
      <w:r>
        <w:t xml:space="preserve"> </w:t>
      </w:r>
      <w:r>
        <w:t xml:space="preserve">inputs. We’ll want to replace the current</w:t>
      </w:r>
      <w:r>
        <w:t xml:space="preserve"> </w:t>
      </w:r>
      <w:r>
        <w:rPr>
          <w:bCs/>
          <w:b/>
        </w:rPr>
        <w:t xml:space="preserve">Age</w:t>
      </w:r>
      <w:r>
        <w:t xml:space="preserve"> </w:t>
      </w:r>
      <w:r>
        <w:t xml:space="preserve">variable with a corrected version.</w:t>
      </w:r>
    </w:p>
    <w:p>
      <w:pPr>
        <w:numPr>
          <w:ilvl w:val="0"/>
          <w:numId w:val="1004"/>
        </w:numPr>
      </w:pPr>
      <w:r>
        <w:rPr>
          <w:bCs/>
          <w:b/>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Cs/>
          <w:b/>
        </w:rPr>
        <w:t xml:space="preserve">first</w:t>
      </w:r>
      <w:r>
        <w:t xml:space="preserve"> </w:t>
      </w:r>
      <w:r>
        <w:t xml:space="preserve">and</w:t>
      </w:r>
      <w:r>
        <w:t xml:space="preserve"> </w:t>
      </w:r>
      <w:r>
        <w:rPr>
          <w:bCs/>
          <w:b/>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Cs/>
          <w:b/>
        </w:rPr>
        <w:t xml:space="preserve">Boarding Date</w:t>
      </w:r>
      <w:r>
        <w:t xml:space="preserve"> </w:t>
      </w:r>
      <w:r>
        <w:t xml:space="preserve">for some reason has the date written out in a non-date format. We should probably fix this as well.</w:t>
      </w:r>
    </w:p>
    <w:bookmarkEnd w:id="31"/>
    <w:bookmarkStart w:id="50"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2"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numPr>
          <w:ilvl w:val="0"/>
          <w:numId w:val="1005"/>
        </w:numPr>
        <w:pStyle w:val="Compact"/>
      </w:pPr>
      <w:r>
        <w:t xml:space="preserve">First…1 and Last…2 versus First…11 and Last…12 - we’ll need to fix these so that they make more sense and are easier to work with.</w:t>
      </w:r>
    </w:p>
    <w:p>
      <w:pPr>
        <w:numPr>
          <w:ilvl w:val="0"/>
          <w:numId w:val="1005"/>
        </w:numPr>
        <w:pStyle w:val="Compact"/>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2"/>
    <w:bookmarkStart w:id="33"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w:t>
      </w:r>
      <w:r>
        <w:t xml:space="preserve">1</w:t>
      </w:r>
      <w:r>
        <w:t xml:space="preserve">”</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numPr>
          <w:ilvl w:val="0"/>
          <w:numId w:val="1006"/>
        </w:numPr>
        <w:pStyle w:val="Compact"/>
      </w:pPr>
      <w:r>
        <w:t xml:space="preserve">The easiest, is probably to reopen the file in Excel - fix the few dates that aren’t formatted the same as the majority, and then re-write all the dates in a non-date format in Excel. This is an R course, though, so we’re not going to do that!</w:t>
      </w:r>
    </w:p>
    <w:p>
      <w:pPr>
        <w:numPr>
          <w:ilvl w:val="0"/>
          <w:numId w:val="1006"/>
        </w:numPr>
        <w:pStyle w:val="Compact"/>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3"/>
    <w:bookmarkStart w:id="41"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numPr>
          <w:ilvl w:val="0"/>
          <w:numId w:val="1008"/>
        </w:numPr>
        <w:pStyle w:val="Compact"/>
      </w:pPr>
      <w:r>
        <w:t xml:space="preserve">Calculate the time interval passed between the date of birth and the departure date of the</w:t>
      </w:r>
      <w:r>
        <w:t xml:space="preserve"> </w:t>
      </w:r>
      <w:r>
        <w:rPr>
          <w:iCs/>
          <w:i/>
        </w:rPr>
        <w:t xml:space="preserve">S.S. Rainbow Cake</w:t>
      </w:r>
    </w:p>
    <w:p>
      <w:pPr>
        <w:pStyle w:val="BlockText"/>
      </w:pPr>
      <w:r>
        <w:t xml:space="preserve">interval(pass.dob, ymd(</w:t>
      </w:r>
      <w:r>
        <w:t xml:space="preserve">“</w:t>
      </w:r>
      <w:r>
        <w:t xml:space="preserve">2025-02-10</w:t>
      </w:r>
      <w:r>
        <w:t xml:space="preserve">”</w:t>
      </w:r>
      <w:r>
        <w:t xml:space="preserve">))</w:t>
      </w:r>
    </w:p>
    <w:p>
      <w:pPr>
        <w:numPr>
          <w:ilvl w:val="0"/>
          <w:numId w:val="1009"/>
        </w:numPr>
        <w:pStyle w:val="Compact"/>
      </w:pPr>
      <w:r>
        <w:t xml:space="preserve">Get the exact length of that interval, and return the value in years</w:t>
      </w:r>
    </w:p>
    <w:p>
      <w:pPr>
        <w:pStyle w:val="BlockText"/>
      </w:pPr>
      <w:r>
        <w:t xml:space="preserve">time_length(interval,</w:t>
      </w:r>
      <w:r>
        <w:t xml:space="preserve"> </w:t>
      </w:r>
      <w:r>
        <w:t xml:space="preserve">“</w:t>
      </w:r>
      <w:r>
        <w:t xml:space="preserve">years</w:t>
      </w:r>
      <w:r>
        <w:t xml:space="preserve">”</w:t>
      </w:r>
      <w:r>
        <w:t xml:space="preserve">)</w:t>
      </w:r>
    </w:p>
    <w:p>
      <w:pPr>
        <w:numPr>
          <w:ilvl w:val="0"/>
          <w:numId w:val="1010"/>
        </w:numPr>
        <w:pStyle w:val="Compact"/>
      </w:pPr>
      <w:r>
        <w:t xml:space="preserve">Round that value down to an integer</w:t>
      </w:r>
    </w:p>
    <w:p>
      <w:pPr>
        <w:pStyle w:val="BlockText"/>
      </w:pPr>
      <w:r>
        <w:t xml:space="preserve">floor(time_length)</w:t>
      </w:r>
    </w:p>
    <w:p>
      <w:pPr>
        <w:numPr>
          <w:ilvl w:val="0"/>
          <w:numId w:val="1011"/>
        </w:numPr>
        <w:pStyle w:val="Compact"/>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7">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39" name="Picture"/>
                  <a:graphic>
                    <a:graphicData uri="http://schemas.openxmlformats.org/drawingml/2006/picture">
                      <pic:pic>
                        <pic:nvPicPr>
                          <pic:cNvPr descr="pics/LAC_shipmanifest_handwritten.jpg" id="40" name="Picture"/>
                          <pic:cNvPicPr>
                            <a:picLocks noChangeArrowheads="1" noChangeAspect="1"/>
                          </pic:cNvPicPr>
                        </pic:nvPicPr>
                        <pic:blipFill>
                          <a:blip r:embed="rId38"/>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tc>
      </w:tr>
    </w:tbl>
    <w:bookmarkEnd w:id="41"/>
    <w:bookmarkStart w:id="43" w:name="step-4-fix-province-variable"/>
    <w:p>
      <w:pPr>
        <w:pStyle w:val="Heading3"/>
      </w:pPr>
      <w:r>
        <w:t xml:space="preserve">Step 4: Fix Province variable</w:t>
      </w:r>
    </w:p>
    <w:p>
      <w:pPr>
        <w:pStyle w:val="FirstParagraph"/>
      </w:pPr>
      <w:r>
        <w:t xml:space="preserve">We noted already that the Province variable (e.g.,</w:t>
      </w:r>
      <w:r>
        <w:t xml:space="preserve"> </w:t>
      </w:r>
      <w:r>
        <w:rPr>
          <w:bCs/>
          <w:b/>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Cs/>
          <w:b/>
        </w:rPr>
        <w:t xml:space="preserve">distinct()</w:t>
      </w:r>
      <w:r>
        <w:t xml:space="preserve">.</w:t>
      </w:r>
    </w:p>
    <w:p>
      <w:pPr>
        <w:pStyle w:val="BodyText"/>
      </w:pPr>
      <w:r>
        <w:t xml:space="preserve">To do this, we’ll invoke our manifest dataframe, select the</w:t>
      </w:r>
      <w:r>
        <w:t xml:space="preserve"> </w:t>
      </w:r>
      <w:r>
        <w:t xml:space="preserve">“</w:t>
      </w:r>
      <w:r>
        <w:t xml:space="preserve">home.prov</w:t>
      </w:r>
      <w:r>
        <w:t xml:space="preserve">”</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2"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w:t>
      </w:r>
      <w:r>
        <w:t xml:space="preserve">if…then</w:t>
      </w:r>
      <w:r>
        <w:t xml:space="preserve">”</w:t>
      </w:r>
      <w:r>
        <w:t xml:space="preserve"> </w:t>
      </w:r>
      <w:r>
        <w:t xml:space="preserve">statements or used the</w:t>
      </w:r>
      <w:r>
        <w:t xml:space="preserve"> </w:t>
      </w:r>
      <w:r>
        <w:rPr>
          <w:bCs/>
          <w:b/>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w:t>
      </w:r>
      <w:r>
        <w:t xml:space="preserve">missing</w:t>
      </w:r>
      <w:r>
        <w:t xml:space="preserve">’</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w:t>
      </w:r>
      <w:r>
        <w:t xml:space="preserve">missing</w:t>
      </w:r>
      <w:r>
        <w:t xml:space="preserve">’</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2"/>
    <w:bookmarkEnd w:id="43"/>
    <w:bookmarkStart w:id="47"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numPr>
          <w:ilvl w:val="0"/>
          <w:numId w:val="1012"/>
        </w:numPr>
        <w:pStyle w:val="Compact"/>
      </w:pPr>
      <w:r>
        <w:t xml:space="preserve">There are several missing and marked as NA (not much we can do about these at the moment).</w:t>
      </w:r>
    </w:p>
    <w:p>
      <w:pPr>
        <w:numPr>
          <w:ilvl w:val="0"/>
          <w:numId w:val="1012"/>
        </w:numPr>
        <w:pStyle w:val="Compact"/>
      </w:pPr>
      <w:r>
        <w:t xml:space="preserve">When a name includes a professional designation (like</w:t>
      </w:r>
      <w:r>
        <w:t xml:space="preserve"> </w:t>
      </w:r>
      <w:r>
        <w:t xml:space="preserve">“</w:t>
      </w:r>
      <w:r>
        <w:t xml:space="preserve">D.D.S.</w:t>
      </w:r>
      <w:r>
        <w:t xml:space="preserve">”</w:t>
      </w:r>
      <w:r>
        <w:t xml:space="preserve">) then this gets added to the person’s last name. We’ll ignore the strangeness of people using their dentist as their emergency contact, and focus on fixing these for the sake of clean data entry only.</w:t>
      </w:r>
    </w:p>
    <w:p>
      <w:pPr>
        <w:numPr>
          <w:ilvl w:val="0"/>
          <w:numId w:val="1012"/>
        </w:numPr>
        <w:pStyle w:val="Compact"/>
      </w:pPr>
      <w:r>
        <w:t xml:space="preserve">When a name is prefixed with a title (e.g.,</w:t>
      </w:r>
      <w:r>
        <w:t xml:space="preserve"> </w:t>
      </w:r>
      <w:r>
        <w:t xml:space="preserve">“</w:t>
      </w:r>
      <w:r>
        <w:t xml:space="preserve">Dr.</w:t>
      </w:r>
      <w:r>
        <w:t xml:space="preserve">”</w:t>
      </w:r>
      <w:r>
        <w:t xml:space="preserve">) the prefix becomes the contact’s first name, and has pushed first and last name into the same variable.</w:t>
      </w:r>
    </w:p>
    <w:bookmarkStart w:id="46"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Cs/>
          <w:b/>
        </w:rPr>
        <w:t xml:space="preserve">stringr</w:t>
      </w:r>
      <w:r>
        <w:t xml:space="preserve"> </w:t>
      </w:r>
      <w:r>
        <w:t xml:space="preserve">package. No need to load anything new -</w:t>
      </w:r>
      <w:r>
        <w:t xml:space="preserve"> </w:t>
      </w:r>
      <w:r>
        <w:rPr>
          <w:bCs/>
          <w:b/>
        </w:rPr>
        <w:t xml:space="preserve">stringr</w:t>
      </w:r>
      <w:r>
        <w:t xml:space="preserve"> </w:t>
      </w:r>
      <w:r>
        <w:t xml:space="preserve">contains some very useful data-cleaning tools for character data, including the function</w:t>
      </w:r>
      <w:r>
        <w:t xml:space="preserve"> </w:t>
      </w:r>
      <w:hyperlink r:id="rId44">
        <w:r>
          <w:rPr>
            <w:rStyle w:val="Hyperlink"/>
          </w:rPr>
          <w:t xml:space="preserve">str_replace()</w:t>
        </w:r>
      </w:hyperlink>
      <w:r>
        <w:t xml:space="preserve"> </w:t>
      </w:r>
      <w:r>
        <w:t xml:space="preserve">which will allow us to modify character strings using a</w:t>
      </w:r>
      <w:r>
        <w:t xml:space="preserve"> </w:t>
      </w:r>
      <w:r>
        <w:rPr>
          <w:iCs/>
          <w:i/>
        </w:rPr>
        <w:t xml:space="preserve">pattern</w:t>
      </w:r>
      <w:r>
        <w:t xml:space="preserve"> </w:t>
      </w:r>
      <w:r>
        <w:t xml:space="preserve">and</w:t>
      </w:r>
      <w:r>
        <w:t xml:space="preserve"> </w:t>
      </w:r>
      <w:r>
        <w:rPr>
          <w:iCs/>
          <w:i/>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Cs/>
          <w:i/>
        </w:rPr>
        <w:t xml:space="preserve">string</w:t>
      </w:r>
      <w:r>
        <w:t xml:space="preserve"> </w:t>
      </w:r>
      <w:r>
        <w:t xml:space="preserve">= the variable containing character strings you wish to modify</w:t>
      </w:r>
    </w:p>
    <w:p>
      <w:pPr>
        <w:numPr>
          <w:ilvl w:val="0"/>
          <w:numId w:val="1013"/>
        </w:numPr>
      </w:pPr>
      <w:r>
        <w:rPr>
          <w:iCs/>
          <w:i/>
        </w:rPr>
        <w:t xml:space="preserve">pattern</w:t>
      </w:r>
      <w:r>
        <w:t xml:space="preserve"> </w:t>
      </w:r>
      <w:r>
        <w:t xml:space="preserve">= the pattern you want to replace</w:t>
      </w:r>
    </w:p>
    <w:p>
      <w:pPr>
        <w:numPr>
          <w:ilvl w:val="0"/>
          <w:numId w:val="1013"/>
        </w:numPr>
      </w:pPr>
      <w:r>
        <w:rPr>
          <w:iCs/>
          <w:i/>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w:t>
      </w:r>
      <w:r>
        <w:t xml:space="preserve">Mr.</w:t>
      </w:r>
      <w:r>
        <w:t xml:space="preserve">”</w:t>
      </w:r>
      <w:r>
        <w:t xml:space="preserve">,</w:t>
      </w:r>
      <w:r>
        <w:t xml:space="preserve"> </w:t>
      </w:r>
      <w:r>
        <w:t xml:space="preserve">“</w:t>
      </w:r>
      <w:r>
        <w:t xml:space="preserve">Mrs.</w:t>
      </w:r>
      <w:r>
        <w:t xml:space="preserve">”</w:t>
      </w:r>
      <w:r>
        <w:t xml:space="preserve">, and</w:t>
      </w:r>
      <w:r>
        <w:t xml:space="preserve"> </w:t>
      </w:r>
      <w:r>
        <w:t xml:space="preserve">“</w:t>
      </w:r>
      <w:r>
        <w:t xml:space="preserve">Dr.</w:t>
      </w:r>
      <w:r>
        <w:t xml:space="preserve">”</w:t>
      </w:r>
      <w:r>
        <w:t xml:space="preserve">, so we’ll just replace them with an empty string: “</w:t>
      </w:r>
      <w:r>
        <w:t xml:space="preserve">“</w:t>
      </w:r>
      <w:r>
        <w:t xml:space="preserve">. We’ll do the same thing to the suffixes in the last-name field, replacing DDS and Jr. with</w:t>
      </w:r>
      <w:r>
        <w:t xml:space="preserve">”</w:t>
      </w:r>
      <w:r>
        <w:t xml:space="preserve">“.</w:t>
      </w:r>
    </w:p>
    <w:p>
      <w:pPr>
        <w:pStyle w:val="BodyText"/>
      </w:pPr>
      <w:r>
        <w:t xml:space="preserve">You’ll notice in the code below that we use a double-escape (\\) before a period. This is because stringr functions use</w:t>
      </w:r>
      <w:r>
        <w:t xml:space="preserve"> </w:t>
      </w:r>
      <w:r>
        <w:rPr>
          <w:bCs/>
          <w:b/>
        </w:rPr>
        <w:t xml:space="preserve">regex</w:t>
      </w:r>
      <w:r>
        <w:t xml:space="preserve"> </w:t>
      </w:r>
      <w:r>
        <w:t xml:space="preserve">(regular expressions) conventions as wildcards, and the period (.) is a wildcard for</w:t>
      </w:r>
      <w:r>
        <w:t xml:space="preserve"> </w:t>
      </w:r>
      <w:r>
        <w:rPr>
          <w:iCs/>
          <w:i/>
        </w:rPr>
        <w:t xml:space="preserve">anything</w:t>
      </w:r>
      <w:r>
        <w:t xml:space="preserve">. So if we didn’t escape the character</w:t>
      </w:r>
      <w:r>
        <w:t xml:space="preserve"> </w:t>
      </w:r>
      <w:r>
        <w:t xml:space="preserve">‘</w:t>
      </w:r>
      <w:r>
        <w:t xml:space="preserve">.</w:t>
      </w:r>
      <w:r>
        <w:t xml:space="preserve">’</w:t>
      </w:r>
      <w:r>
        <w:t xml:space="preserve"> </w:t>
      </w:r>
      <w:r>
        <w:t xml:space="preserve">in</w:t>
      </w:r>
      <w:r>
        <w:t xml:space="preserve"> </w:t>
      </w:r>
      <w:r>
        <w:t xml:space="preserve">‘</w:t>
      </w:r>
      <w:r>
        <w:t xml:space="preserve">Dr.</w:t>
      </w:r>
      <w:r>
        <w:t xml:space="preserve">’</w:t>
      </w:r>
      <w:r>
        <w:t xml:space="preserve"> </w:t>
      </w:r>
      <w:r>
        <w:t xml:space="preserve">for example, then R will look for the string</w:t>
      </w:r>
      <w:r>
        <w:t xml:space="preserve"> </w:t>
      </w:r>
      <w:r>
        <w:t xml:space="preserve">‘</w:t>
      </w:r>
      <w:r>
        <w:t xml:space="preserve">Dr</w:t>
      </w:r>
      <w:r>
        <w:t xml:space="preserve">’</w:t>
      </w:r>
      <w:r>
        <w:t xml:space="preserve"> </w:t>
      </w:r>
      <w:r>
        <w:t xml:space="preserve">followed by any string of any length, and we don’t want that.</w:t>
      </w:r>
    </w:p>
    <w:p>
      <w:pPr>
        <w:pStyle w:val="BodyText"/>
      </w:pPr>
      <w:hyperlink r:id="rId45">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numPr>
          <w:ilvl w:val="0"/>
          <w:numId w:val="1014"/>
        </w:numPr>
        <w:pStyle w:val="Compact"/>
      </w:pPr>
      <w:r>
        <w:t xml:space="preserve">We</w:t>
      </w:r>
      <w:r>
        <w:t xml:space="preserve"> </w:t>
      </w:r>
      <w:r>
        <w:rPr>
          <w:iCs/>
          <w:i/>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numPr>
          <w:ilvl w:val="0"/>
          <w:numId w:val="1014"/>
        </w:numPr>
        <w:pStyle w:val="Compact"/>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6"/>
    <w:bookmarkEnd w:id="47"/>
    <w:bookmarkStart w:id="48"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Cs/>
          <w:b/>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Cs/>
          <w:b/>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8"/>
    <w:bookmarkStart w:id="49" w:name="saving-your-dataset-to-disk"/>
    <w:p>
      <w:pPr>
        <w:pStyle w:val="Heading3"/>
      </w:pPr>
      <w:r>
        <w:t xml:space="preserve">Saving your dataset to disk</w:t>
      </w:r>
    </w:p>
    <w:p>
      <w:pPr>
        <w:pStyle w:val="FirstParagraph"/>
      </w:pPr>
      <w:r>
        <w:t xml:space="preserve">Have a look through your dataset with the</w:t>
      </w:r>
      <w:r>
        <w:t xml:space="preserve"> </w:t>
      </w:r>
      <w:r>
        <w:rPr>
          <w:bCs/>
          <w:b/>
        </w:rPr>
        <w:t xml:space="preserve">view()</w:t>
      </w:r>
      <w:r>
        <w:t xml:space="preserve"> </w:t>
      </w:r>
      <w:r>
        <w:t xml:space="preserve">function, and make sure that everything looks correct. When you’re ready to save the final dataset to a file on your computer, use the</w:t>
      </w:r>
      <w:r>
        <w:t xml:space="preserve"> </w:t>
      </w:r>
      <w:r>
        <w:rPr>
          <w:bCs/>
          <w:b/>
        </w:rPr>
        <w:t xml:space="preserve">write_csv()</w:t>
      </w:r>
      <w:r>
        <w:t xml:space="preserve"> </w:t>
      </w:r>
      <w:r>
        <w:t xml:space="preserve">function like so:</w:t>
      </w:r>
    </w:p>
    <w:p>
      <w:pPr>
        <w:pStyle w:val="BlockText"/>
      </w:pPr>
      <w:r>
        <w:t xml:space="preserve">write_csv(dataset,</w:t>
      </w:r>
      <w:r>
        <w:t xml:space="preserve"> </w:t>
      </w:r>
      <w:r>
        <w:t xml:space="preserve">“</w:t>
      </w:r>
      <w:r>
        <w:t xml:space="preserve">name_to_save_as.csv</w:t>
      </w:r>
      <w:r>
        <w:t xml:space="preserve">”</w:t>
      </w:r>
      <w:r>
        <w:t xml:space="preserve">)</w:t>
      </w:r>
    </w:p>
    <w:bookmarkEnd w:id="49"/>
    <w:bookmarkEnd w:id="50"/>
    <w:bookmarkStart w:id="51"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numPr>
          <w:ilvl w:val="0"/>
          <w:numId w:val="1015"/>
        </w:numPr>
        <w:pStyle w:val="Compact"/>
      </w:pPr>
      <w:r>
        <w:t xml:space="preserve">Read a complex excel file and store it as a data frame object</w:t>
      </w:r>
    </w:p>
    <w:p>
      <w:pPr>
        <w:numPr>
          <w:ilvl w:val="0"/>
          <w:numId w:val="1015"/>
        </w:numPr>
        <w:pStyle w:val="Compact"/>
      </w:pPr>
      <w:r>
        <w:t xml:space="preserve">Remove egregious excel-formatting from the header of the file</w:t>
      </w:r>
    </w:p>
    <w:p>
      <w:pPr>
        <w:numPr>
          <w:ilvl w:val="0"/>
          <w:numId w:val="1015"/>
        </w:numPr>
        <w:pStyle w:val="Compact"/>
      </w:pPr>
      <w:r>
        <w:t xml:space="preserve">Fix variable names</w:t>
      </w:r>
    </w:p>
    <w:p>
      <w:pPr>
        <w:numPr>
          <w:ilvl w:val="0"/>
          <w:numId w:val="1015"/>
        </w:numPr>
        <w:pStyle w:val="Compact"/>
      </w:pPr>
      <w:r>
        <w:t xml:space="preserve">Fix individual data entries within variables</w:t>
      </w:r>
    </w:p>
    <w:p>
      <w:pPr>
        <w:numPr>
          <w:ilvl w:val="0"/>
          <w:numId w:val="1015"/>
        </w:numPr>
        <w:pStyle w:val="Compact"/>
      </w:pPr>
      <w:r>
        <w:t xml:space="preserve">Fix dates</w:t>
      </w:r>
    </w:p>
    <w:p>
      <w:pPr>
        <w:numPr>
          <w:ilvl w:val="0"/>
          <w:numId w:val="1015"/>
        </w:numPr>
        <w:pStyle w:val="Compact"/>
      </w:pPr>
      <w:r>
        <w:t xml:space="preserve">Fix complex strings</w:t>
      </w:r>
    </w:p>
    <w:p>
      <w:pPr>
        <w:numPr>
          <w:ilvl w:val="0"/>
          <w:numId w:val="1015"/>
        </w:numPr>
        <w:pStyle w:val="Compact"/>
      </w:pPr>
      <w:r>
        <w:t xml:space="preserve">Write a file to disk.</w:t>
      </w:r>
    </w:p>
    <w:p>
      <w:pPr>
        <w:pStyle w:val="FirstParagraph"/>
      </w:pPr>
      <w:r>
        <w:t xml:space="preserve">That’s a lot! We even managed to sneak a small preview of regular expressions in there!</w:t>
      </w:r>
    </w:p>
    <w:bookmarkEnd w:id="51"/>
    <w:bookmarkStart w:id="52" w:name="quiz"/>
    <w:p>
      <w:pPr>
        <w:pStyle w:val="Heading2"/>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38" Target="media/rId38.jpg" /><Relationship Type="http://schemas.openxmlformats.org/officeDocument/2006/relationships/image" Id="rId26" Target="media/rId26.jpg" /><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2026-01-22T14:50:06Z</dcterms:created>
  <dcterms:modified xsi:type="dcterms:W3CDTF">2026-01-22T14:50:06Z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