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7.png" ContentType="image/png"/>
  <Override PartName="/word/media/rId41.png" ContentType="image/png"/>
  <Override PartName="/word/media/rId21.jpg" ContentType="image/jpeg"/>
  <Override PartName="/word/media/rId48.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Cs/>
          <w:b/>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numPr>
          <w:ilvl w:val="0"/>
          <w:numId w:val="1001"/>
        </w:numPr>
        <w:pStyle w:val="Compact"/>
      </w:pPr>
      <w:r>
        <w:t xml:space="preserve">Calculate common outbreak statistics based on food exposure data</w:t>
      </w:r>
    </w:p>
    <w:p>
      <w:pPr>
        <w:numPr>
          <w:ilvl w:val="0"/>
          <w:numId w:val="1001"/>
        </w:numPr>
        <w:pStyle w:val="Compact"/>
      </w:pPr>
      <w:r>
        <w:t xml:space="preserve">Create attractive tables using the</w:t>
      </w:r>
      <w:r>
        <w:t xml:space="preserve"> </w:t>
      </w:r>
      <w:r>
        <w:rPr>
          <w:bCs/>
          <w:b/>
        </w:rPr>
        <w:t xml:space="preserve">flextable</w:t>
      </w:r>
      <w:r>
        <w:t xml:space="preserve"> </w:t>
      </w:r>
      <w:r>
        <w:t xml:space="preserve">package</w:t>
      </w:r>
    </w:p>
    <w:p>
      <w:pPr>
        <w:numPr>
          <w:ilvl w:val="0"/>
          <w:numId w:val="1001"/>
        </w:numPr>
        <w:pStyle w:val="Compact"/>
      </w:pPr>
      <w:r>
        <w:t xml:space="preserve">Create a convenient report using markdown language</w:t>
      </w:r>
    </w:p>
    <w:bookmarkEnd w:id="20"/>
    <w:bookmarkStart w:id="33" w:name="scenario-update"/>
    <w:p>
      <w:pPr>
        <w:pStyle w:val="Heading2"/>
      </w:pPr>
      <w:r>
        <w:t xml:space="preserve">Scenario update</w:t>
      </w:r>
    </w:p>
    <w:p>
      <w:pPr>
        <w:pStyle w:val="FirstParagraph"/>
      </w:pPr>
      <w:r>
        <w:t xml:space="preserve">At the end of the last module, we saw that symptoms of</w:t>
      </w:r>
      <w:r>
        <w:t xml:space="preserve"> </w:t>
      </w:r>
      <w:r>
        <w:rPr>
          <w:bCs/>
          <w:b/>
        </w:rPr>
        <w:t xml:space="preserve">bloody stool</w:t>
      </w:r>
      <w:r>
        <w:t xml:space="preserve"> </w:t>
      </w:r>
      <w:r>
        <w:t xml:space="preserve">and</w:t>
      </w:r>
      <w:r>
        <w:t xml:space="preserve"> </w:t>
      </w:r>
      <w:r>
        <w:rPr>
          <w:bCs/>
          <w:b/>
        </w:rPr>
        <w:t xml:space="preserve">fever</w:t>
      </w:r>
      <w:r>
        <w:t xml:space="preserve"> </w:t>
      </w:r>
      <w:r>
        <w:t xml:space="preserve">appeared to be specific to passengers that had boarded the ship on February 9th, and primarily</w:t>
      </w:r>
      <w:r>
        <w:t xml:space="preserve"> </w:t>
      </w:r>
      <w:r>
        <w:t xml:space="preserve">“</w:t>
      </w:r>
      <w:r>
        <w:t xml:space="preserve">Silver</w:t>
      </w:r>
      <w:r>
        <w:t xml:space="preserve">”</w:t>
      </w:r>
      <w:r>
        <w:t xml:space="preserve"> </w:t>
      </w:r>
      <w:r>
        <w:t xml:space="preserve">cruise member status. After speaking to a few of the crew members, they let you know the following:</w:t>
      </w:r>
    </w:p>
    <w:p>
      <w:pPr>
        <w:numPr>
          <w:ilvl w:val="0"/>
          <w:numId w:val="1002"/>
        </w:numPr>
        <w:pStyle w:val="Compact"/>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numPr>
          <w:ilvl w:val="0"/>
          <w:numId w:val="1002"/>
        </w:numPr>
        <w:pStyle w:val="Compact"/>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Cs/>
          <w:b/>
        </w:rPr>
        <w:t xml:space="preserve">Sam Stewpot</w:t>
      </w:r>
      <w:r>
        <w:t xml:space="preserve"> </w:t>
      </w:r>
      <w:r>
        <w:t xml:space="preserve">(or</w:t>
      </w:r>
      <w:r>
        <w:t xml:space="preserve"> </w:t>
      </w:r>
      <w:r>
        <w:t xml:space="preserve">‘</w:t>
      </w:r>
      <w:r>
        <w:t xml:space="preserve">Salty Sam</w:t>
      </w:r>
      <w:r>
        <w:t xml:space="preserve">’</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w:t>
      </w:r>
      <w:r>
        <w:t xml:space="preserve">Salty Sam Stewpot</w:t>
      </w:r>
      <w:r>
        <w:t xml:space="preserve">”</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334000" cy="7085118"/>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334000" cy="7085118"/>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Program Files\RStudio\resources\app\bin\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Cruise ship outbreaks</w:t>
            </w:r>
          </w:p>
        </w:tc>
      </w:tr>
      <w:tr>
        <w:trPr>
          <w:cantSplit/>
        </w:trPr>
        <w:tc>
          <w:tcPr>
            <w:tcMar>
              <w:top w:w="108" w:type="dxa"/>
              <w:bottom w:w="108" w:type="dxa"/>
            </w:tcMar>
          </w:tcPr>
          <w:p>
            <w:pPr>
              <w:pStyle w:val="BodyText"/>
            </w:pPr>
            <w:pPr>
              <w:spacing w:before="16"/>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Cs/>
                <w:b/>
              </w:rPr>
              <w:t xml:space="preserve">S. S. Rainbow Cake</w:t>
            </w:r>
            <w:r>
              <w:t xml:space="preserve">, have a read through the following resources, and reflect on the menu posted above. Are there any food items that you predict are likely to be the culprit just based on the frequency that they’re implicated as sources of outbreaks? What pathogen are you the most suspicious about?</w:t>
            </w:r>
          </w:p>
          <w:p>
            <w:pPr>
              <w:pStyle w:val="BodyText"/>
            </w:pPr>
            <w:r>
              <w:t xml:space="preserve">If you have experience with cruise-ship outbreaks, we encourage you to post on the course discussion boards and share your thoughts and opinions with your classmates. Conversely, if you have questions about cruise-ship outbreaks - try asking on the discussion board to leverage the experience within the virtual classroom.</w:t>
            </w:r>
          </w:p>
          <w:p>
            <w:pPr>
              <w:pStyle w:val="BodyText"/>
            </w:pPr>
            <w:r>
              <w:t xml:space="preserve">We’ll leave some resources here all about cruise-ship outbreaks for you to check out when you have time:</w:t>
            </w:r>
          </w:p>
          <w:p>
            <w:pPr>
              <w:numPr>
                <w:ilvl w:val="0"/>
                <w:numId w:val="1003"/>
              </w:numPr>
              <w:pStyle w:val="Compact"/>
            </w:pPr>
            <w:hyperlink r:id="rId30">
              <w:r>
                <w:rPr>
                  <w:rStyle w:val="Hyperlink"/>
                </w:rPr>
                <w:t xml:space="preserve">CDC Yellow Book: Cruise Ship Travel 2026</w:t>
              </w:r>
            </w:hyperlink>
          </w:p>
          <w:p>
            <w:pPr>
              <w:numPr>
                <w:ilvl w:val="0"/>
                <w:numId w:val="1003"/>
              </w:numPr>
              <w:pStyle w:val="Compact"/>
            </w:pPr>
            <w:hyperlink r:id="rId31">
              <w:r>
                <w:rPr>
                  <w:rStyle w:val="Hyperlink"/>
                </w:rPr>
                <w:t xml:space="preserve">CDC Vessel Sanitation Program (VSP): Outbreaks on Cruise Ships in VSP’s Jurisdiction (2025)</w:t>
              </w:r>
            </w:hyperlink>
          </w:p>
          <w:p>
            <w:pPr>
              <w:numPr>
                <w:ilvl w:val="0"/>
                <w:numId w:val="1003"/>
              </w:numPr>
              <w:pStyle w:val="Compact"/>
            </w:pPr>
            <w:hyperlink r:id="rId32">
              <w:r>
                <w:rPr>
                  <w:rStyle w:val="Hyperlink"/>
                </w:rPr>
                <w:t xml:space="preserve">Epidemiology of Diarrheal Disease Outbreaks on Cruise Ships, 1986 Through 1993</w:t>
              </w:r>
            </w:hyperlink>
          </w:p>
        </w:tc>
      </w:tr>
    </w:tbl>
    <w:bookmarkEnd w:id="33"/>
    <w:bookmarkStart w:id="38" w:name="part-a-exploring-and-preparing-the-data"/>
    <w:p>
      <w:pPr>
        <w:pStyle w:val="Heading2"/>
      </w:pPr>
      <w:r>
        <w:t xml:space="preserve">Part A: Exploring and preparing the data</w:t>
      </w:r>
    </w:p>
    <w:bookmarkStart w:id="36"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RStudio\resources\app\bin\quarto\share\formats\docx\note.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numPr>
                <w:ilvl w:val="0"/>
                <w:numId w:val="1004"/>
              </w:numPr>
              <w:pStyle w:val="Compact"/>
            </w:pPr>
            <w:r>
              <w:rPr>
                <w:bCs/>
                <w:b/>
              </w:rPr>
              <w:t xml:space="preserve">Y</w:t>
            </w:r>
            <w:r>
              <w:t xml:space="preserve"> </w:t>
            </w:r>
            <w:r>
              <w:t xml:space="preserve">=</w:t>
            </w:r>
            <w:r>
              <w:t xml:space="preserve"> </w:t>
            </w:r>
            <w:r>
              <w:rPr>
                <w:bCs/>
                <w:b/>
              </w:rPr>
              <w:t xml:space="preserve">Yes</w:t>
            </w:r>
            <w:r>
              <w:t xml:space="preserve">, the passenger recalls eating the food item.</w:t>
            </w:r>
          </w:p>
          <w:p>
            <w:pPr>
              <w:numPr>
                <w:ilvl w:val="0"/>
                <w:numId w:val="1004"/>
              </w:numPr>
              <w:pStyle w:val="Compact"/>
            </w:pPr>
            <w:r>
              <w:rPr>
                <w:bCs/>
                <w:b/>
              </w:rPr>
              <w:t xml:space="preserve">N</w:t>
            </w:r>
            <w:r>
              <w:t xml:space="preserve"> </w:t>
            </w:r>
            <w:r>
              <w:t xml:space="preserve">=</w:t>
            </w:r>
            <w:r>
              <w:t xml:space="preserve"> </w:t>
            </w:r>
            <w:r>
              <w:rPr>
                <w:bCs/>
                <w:b/>
              </w:rPr>
              <w:t xml:space="preserve">No</w:t>
            </w:r>
            <w:r>
              <w:t xml:space="preserve">, the passenger recalls specifically NOT eating the food item.</w:t>
            </w:r>
          </w:p>
          <w:p>
            <w:pPr>
              <w:numPr>
                <w:ilvl w:val="0"/>
                <w:numId w:val="1004"/>
              </w:numPr>
              <w:pStyle w:val="Compact"/>
            </w:pPr>
            <w:r>
              <w:rPr>
                <w:bCs/>
                <w:b/>
              </w:rPr>
              <w:t xml:space="preserve">P</w:t>
            </w:r>
            <w:r>
              <w:t xml:space="preserve"> </w:t>
            </w:r>
            <w:r>
              <w:t xml:space="preserve">=</w:t>
            </w:r>
            <w:r>
              <w:t xml:space="preserve"> </w:t>
            </w:r>
            <w:r>
              <w:rPr>
                <w:bCs/>
                <w:b/>
              </w:rPr>
              <w:t xml:space="preserve">Possibly</w:t>
            </w:r>
            <w:r>
              <w:t xml:space="preserve">, the passenger recalls that they may have eaten the food item, either from their own plate or from a spouses or someone at the same table.</w:t>
            </w:r>
          </w:p>
          <w:p>
            <w:pPr>
              <w:numPr>
                <w:ilvl w:val="0"/>
                <w:numId w:val="1004"/>
              </w:numPr>
              <w:pStyle w:val="Compact"/>
            </w:pPr>
            <w:r>
              <w:rPr>
                <w:bCs/>
                <w:b/>
              </w:rPr>
              <w:t xml:space="preserve">DK</w:t>
            </w:r>
            <w:r>
              <w:t xml:space="preserve"> </w:t>
            </w:r>
            <w:r>
              <w:t xml:space="preserve">=</w:t>
            </w:r>
            <w:r>
              <w:t xml:space="preserve"> </w:t>
            </w:r>
            <w:r>
              <w:rPr>
                <w:bCs/>
                <w:b/>
              </w:rPr>
              <w:t xml:space="preserve">Doesn’t know</w:t>
            </w:r>
            <w:r>
              <w:t xml:space="preserve"> </w:t>
            </w:r>
            <w:r>
              <w:t xml:space="preserve">or</w:t>
            </w:r>
            <w:r>
              <w:t xml:space="preserve"> </w:t>
            </w:r>
            <w:r>
              <w:rPr>
                <w:bCs/>
                <w:b/>
              </w:rPr>
              <w:t xml:space="preserve">doesn’t recall</w:t>
            </w:r>
            <w:r>
              <w:t xml:space="preserve">, the passenger does not recall whether they consumed the food item or not.</w:t>
            </w:r>
          </w:p>
        </w:tc>
      </w:tr>
    </w:tbl>
    <w:p>
      <w:pPr>
        <w:pStyle w:val="FirstParagraph"/>
      </w:pPr>
      <w:r>
        <w:t xml:space="preserve">You may choose to do differently for your analysis, but for our walk-through of this module, we’ll use the following guidelines to recode these values into something we can use:</w:t>
      </w:r>
    </w:p>
    <w:p>
      <w:pPr>
        <w:numPr>
          <w:ilvl w:val="0"/>
          <w:numId w:val="1005"/>
        </w:numPr>
        <w:pStyle w:val="Compact"/>
      </w:pPr>
      <w:r>
        <w:rPr>
          <w:bCs/>
          <w:b/>
        </w:rPr>
        <w:t xml:space="preserve">1</w:t>
      </w:r>
      <w:r>
        <w:t xml:space="preserve"> </w:t>
      </w:r>
      <w:r>
        <w:t xml:space="preserve">=</w:t>
      </w:r>
      <w:r>
        <w:t xml:space="preserve"> </w:t>
      </w:r>
      <w:r>
        <w:rPr>
          <w:bCs/>
          <w:b/>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numPr>
          <w:ilvl w:val="0"/>
          <w:numId w:val="1005"/>
        </w:numPr>
        <w:pStyle w:val="Compact"/>
      </w:pPr>
      <w:r>
        <w:rPr>
          <w:bCs/>
          <w:b/>
        </w:rPr>
        <w:t xml:space="preserve">0</w:t>
      </w:r>
      <w:r>
        <w:t xml:space="preserve"> </w:t>
      </w:r>
      <w:r>
        <w:t xml:space="preserve">=</w:t>
      </w:r>
      <w:r>
        <w:t xml:space="preserve"> </w:t>
      </w:r>
      <w:r>
        <w:rPr>
          <w:bCs/>
          <w:b/>
        </w:rPr>
        <w:t xml:space="preserve">N</w:t>
      </w:r>
      <w:r>
        <w:t xml:space="preserve">. Only passengers who recall that they specifically did not consume the food item will be treated as a confirmed negative, since those with poor recall may have been exposed and not reported it.</w:t>
      </w:r>
    </w:p>
    <w:p>
      <w:pPr>
        <w:numPr>
          <w:ilvl w:val="0"/>
          <w:numId w:val="1005"/>
        </w:numPr>
        <w:pStyle w:val="Compact"/>
      </w:pPr>
      <w:r>
        <w:rPr>
          <w:bCs/>
          <w:b/>
        </w:rPr>
        <w:t xml:space="preserve">NA</w:t>
      </w:r>
      <w:r>
        <w:t xml:space="preserve"> </w:t>
      </w:r>
      <w:r>
        <w:t xml:space="preserve">=</w:t>
      </w:r>
      <w:r>
        <w:t xml:space="preserve"> </w:t>
      </w:r>
      <w:r>
        <w:rPr>
          <w:bCs/>
          <w:b/>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Cs/>
          <w:i/>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you’ll notice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6"/>
    <w:bookmarkStart w:id="37"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7"/>
    <w:bookmarkEnd w:id="38"/>
    <w:bookmarkStart w:id="47"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Cs/>
          <w:b/>
        </w:rPr>
        <w:t xml:space="preserve">ate the food item of interest and became ill</w:t>
      </w:r>
      <w:r>
        <w:t xml:space="preserve"> </w:t>
      </w:r>
      <w:r>
        <w:t xml:space="preserve">in the</w:t>
      </w:r>
      <w:r>
        <w:t xml:space="preserve"> </w:t>
      </w:r>
      <w:r>
        <w:rPr>
          <w:bCs/>
          <w:b/>
        </w:rPr>
        <w:t xml:space="preserve">numerator</w:t>
      </w:r>
      <w:r>
        <w:t xml:space="preserve">, and the</w:t>
      </w:r>
      <w:r>
        <w:t xml:space="preserve"> </w:t>
      </w:r>
      <w:r>
        <w:rPr>
          <w:bCs/>
          <w:b/>
        </w:rPr>
        <w:t xml:space="preserve">total number of persons who consumed the food item</w:t>
      </w:r>
      <w:r>
        <w:t xml:space="preserve"> </w:t>
      </w:r>
      <w:r>
        <w:t xml:space="preserve">in the</w:t>
      </w:r>
      <w:r>
        <w:t xml:space="preserve"> </w:t>
      </w:r>
      <w:r>
        <w:rPr>
          <w:bCs/>
          <w:b/>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make a</w:t>
      </w:r>
      <w:r>
        <w:t xml:space="preserve"> </w:t>
      </w:r>
      <w:r>
        <w:rPr>
          <w:bCs/>
          <w:b/>
        </w:rPr>
        <w:t xml:space="preserve">case definition</w:t>
      </w:r>
      <w:r>
        <w:t xml:space="preserve">. We saw in Module 3 that our symptoms dataset included individuals with dates of illness onset from February 10th up to February 14th, and that some individuals had worse symptoms than others (e.g., bloody stool and fever). For our analysis here, let’s start by just including</w:t>
      </w:r>
      <w:r>
        <w:t xml:space="preserve"> </w:t>
      </w:r>
      <w:r>
        <w:rPr>
          <w:bCs/>
          <w:b/>
        </w:rPr>
        <w:t xml:space="preserve">all passengers aboard the S. S. Rainbow Cake</w:t>
      </w:r>
      <w:r>
        <w:t xml:space="preserve">, with</w:t>
      </w:r>
      <w:r>
        <w:t xml:space="preserve"> </w:t>
      </w:r>
      <w:r>
        <w:rPr>
          <w:bCs/>
          <w:b/>
        </w:rPr>
        <w:t xml:space="preserve">symptoms of bloody stool OR fever</w:t>
      </w:r>
      <w:r>
        <w:t xml:space="preserve">,</w:t>
      </w:r>
      <w:r>
        <w:t xml:space="preserve"> </w:t>
      </w:r>
      <w:r>
        <w:rPr>
          <w:bCs/>
          <w:b/>
        </w:rPr>
        <w:t xml:space="preserve">symptom onset dates between February 9th and 14th</w:t>
      </w:r>
      <w:r>
        <w:t xml:space="preserve">, and who</w:t>
      </w:r>
      <w:r>
        <w:t xml:space="preserve"> </w:t>
      </w:r>
      <w:r>
        <w:rPr>
          <w:bCs/>
          <w:b/>
        </w:rPr>
        <w:t xml:space="preserve">attended the à-la-carte meal service on the evening of February 9th</w:t>
      </w:r>
      <w:r>
        <w:t xml:space="preserve">.</w:t>
      </w:r>
    </w:p>
    <w:p>
      <w:pPr>
        <w:pStyle w:val="FirstParagraph"/>
      </w:pPr>
      <w:r>
        <w:t xml:space="preserve">Alright, let’s start getting into the data then! Since we’ve spent so much time practicing these operations already - we’d like you to try your hand at the R code by yourself first. If you get stuck, or finish and want to compare to how we did things - click the drop-down to see our code.</w:t>
      </w:r>
    </w:p>
    <w:p>
      <w:pPr>
        <w:pStyle w:val="BodyText"/>
      </w:pPr>
      <w:r>
        <w:t xml:space="preserve">Think about the two operations that we just listed above, and how, and in what order you would go about doing these. Remember, there’s really no wrong answer to how you decide to code things - over time, everyone develops their own personal style for what works best for them. If you’re not sure whether you’re doing things in a sensible way, or you’re worried someone won’t be able to follow your code, then just use lots of #comments so its easy to figure out later!</w:t>
      </w:r>
    </w:p>
    <w:p>
      <w:pPr>
        <w:pStyle w:val="BodyText"/>
      </w:pPr>
      <w:r>
        <w:t xml:space="preserve"> </w:t>
      </w:r>
      <w:r>
        <w:t xml:space="preserve">Click to see how we joined the tables and created a case definition</w:t>
      </w:r>
      <w:r>
        <w:t xml:space="preserve"> </w:t>
      </w:r>
    </w:p>
    <w:p>
      <w:pPr>
        <w:pStyle w:val="BodyText"/>
      </w:pPr>
      <w:r>
        <w:t xml:space="preserve">We’re actually going to start with the symptoms dataset, and create our case definition first, then drop the additional symptom variables that we don’t need before joining with the food exposures dataset. Let’s create one case definition for the more serious symptomatic passengers (bloody stool OR fever), and then a general case definition for anyone reporting symptoms. Then we’ll drop the additional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from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Cs/>
          <w:i/>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w:t>
      </w:r>
    </w:p>
    <w:p>
      <w:pPr>
        <w:pStyle w:val="BodyText"/>
      </w:pPr>
      <w:r>
        <w:t xml:space="preserve">So, in simple terms, the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Cs/>
          <w:b/>
        </w:rPr>
        <w:t xml:space="preserve">two</w:t>
      </w:r>
      <w:r>
        <w:t xml:space="preserve"> </w:t>
      </w:r>
      <w:r>
        <w:t xml:space="preserve">variables we’re working with for each calculation in this instance (i.e., consumed food item, case status) we’ll need to include</w:t>
      </w:r>
      <w:r>
        <w:t xml:space="preserve"> </w:t>
      </w:r>
      <w:r>
        <w:rPr>
          <w:bCs/>
          <w:b/>
        </w:rPr>
        <w:t xml:space="preserve">both</w:t>
      </w:r>
      <w:r>
        <w:t xml:space="preserve"> </w:t>
      </w:r>
      <w:r>
        <w:t xml:space="preserve">inside our sum() function when counting up the cases. We’ll use</w:t>
      </w:r>
      <w:r>
        <w:t xml:space="preserve"> </w:t>
      </w:r>
      <w:r>
        <w:rPr>
          <w:bCs/>
          <w:b/>
        </w:rPr>
        <w:t xml:space="preserve">Boolean logic</w:t>
      </w:r>
      <w:r>
        <w:t xml:space="preserve"> </w:t>
      </w:r>
      <w:r>
        <w:t xml:space="preserve">to do this, and apply the</w:t>
      </w:r>
      <w:r>
        <w:t xml:space="preserve"> </w:t>
      </w:r>
      <w:r>
        <w:rPr>
          <w:bCs/>
          <w:b/>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RStudio\resources\app\bin\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tblLook w:firstRow="0" w:lastRow="0" w:firstColumn="0" w:lastColumn="0"/>
              <w:jc w:val="center"/>
            </w:tblPr>
            <w:tblGrid>
              <w:gridCol w:w="7920"/>
            </w:tblGrid>
            <w:tr>
              <w:tc>
                <w:tcPr/>
                <w:p>
                  <w:pPr>
                    <w:pStyle w:val="Compact"/>
                    <w:jc w:val="center"/>
                  </w:pPr>
                  <w:hyperlink r:id="rId44">
                    <w:r>
                      <w:drawing>
                        <wp:inline>
                          <wp:extent cx="4572000" cy="6134100"/>
                          <wp:effectExtent b="0" l="0" r="0" t="0"/>
                          <wp:docPr descr="George Boole (1815-1864). Portrait by unknown artist." title="" id="42" name="Picture"/>
                          <a:graphic>
                            <a:graphicData uri="http://schemas.openxmlformats.org/drawingml/2006/picture">
                              <pic:pic>
                                <pic:nvPicPr>
                                  <pic:cNvPr descr="pics/module04_George_Boole.png" id="43" name="Picture"/>
                                  <pic:cNvPicPr>
                                    <a:picLocks noChangeArrowheads="1" noChangeAspect="1"/>
                                  </pic:cNvPicPr>
                                </pic:nvPicPr>
                                <pic:blipFill>
                                  <a:blip r:embed="rId41"/>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Cs/>
                <w:b/>
              </w:rPr>
              <w:t xml:space="preserve">TRUE</w:t>
            </w:r>
            <w:r>
              <w:t xml:space="preserve"> </w:t>
            </w:r>
            <w:r>
              <w:t xml:space="preserve">or</w:t>
            </w:r>
            <w:r>
              <w:t xml:space="preserve"> </w:t>
            </w:r>
            <w:r>
              <w:rPr>
                <w:bCs/>
                <w:b/>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numPr>
                <w:ilvl w:val="0"/>
                <w:numId w:val="1007"/>
              </w:numPr>
              <w:pStyle w:val="Compact"/>
            </w:pPr>
            <w:r>
              <w:rPr>
                <w:rStyle w:val="VerbatimChar"/>
              </w:rPr>
              <w:t xml:space="preserve">&amp;</w:t>
            </w:r>
            <w:r>
              <w:t xml:space="preserve"> </w:t>
            </w:r>
            <w:r>
              <w:t xml:space="preserve">AND</w:t>
            </w:r>
          </w:p>
          <w:p>
            <w:pPr>
              <w:numPr>
                <w:ilvl w:val="0"/>
                <w:numId w:val="1007"/>
              </w:numPr>
              <w:pStyle w:val="Compact"/>
            </w:pPr>
            <w:r>
              <w:rPr>
                <w:rStyle w:val="VerbatimChar"/>
              </w:rPr>
              <w:t xml:space="preserve">|</w:t>
            </w:r>
            <w:r>
              <w:t xml:space="preserve"> </w:t>
            </w:r>
            <w:r>
              <w:t xml:space="preserve">OR</w:t>
            </w:r>
          </w:p>
          <w:p>
            <w:pPr>
              <w:numPr>
                <w:ilvl w:val="0"/>
                <w:numId w:val="1007"/>
              </w:numPr>
              <w:pStyle w:val="Compact"/>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Cs/>
                <w:b/>
              </w:rPr>
              <w:t xml:space="preserve">comparison operators</w:t>
            </w:r>
            <w:r>
              <w:t xml:space="preserve"> </w:t>
            </w:r>
            <w:r>
              <w:t xml:space="preserve">to chain some complex statements together.</w:t>
            </w:r>
          </w:p>
          <w:p>
            <w:pPr>
              <w:numPr>
                <w:ilvl w:val="0"/>
                <w:numId w:val="1008"/>
              </w:numPr>
              <w:pStyle w:val="Compact"/>
            </w:pPr>
            <w:r>
              <w:rPr>
                <w:rStyle w:val="VerbatimChar"/>
              </w:rPr>
              <w:t xml:space="preserve">==</w:t>
            </w:r>
            <w:r>
              <w:t xml:space="preserve"> </w:t>
            </w:r>
            <w:r>
              <w:t xml:space="preserve">EQUAL (or EQUIVALENT) TO</w:t>
            </w:r>
          </w:p>
          <w:p>
            <w:pPr>
              <w:numPr>
                <w:ilvl w:val="0"/>
                <w:numId w:val="1008"/>
              </w:numPr>
              <w:pStyle w:val="Compact"/>
            </w:pPr>
            <w:r>
              <w:rPr>
                <w:rStyle w:val="VerbatimChar"/>
              </w:rPr>
              <w:t xml:space="preserve">!=</w:t>
            </w:r>
            <w:r>
              <w:t xml:space="preserve"> </w:t>
            </w:r>
            <w:r>
              <w:t xml:space="preserve">NOT EQUAL (or EQUIVALENT) TO</w:t>
            </w:r>
          </w:p>
          <w:p>
            <w:pPr>
              <w:numPr>
                <w:ilvl w:val="0"/>
                <w:numId w:val="1008"/>
              </w:numPr>
              <w:pStyle w:val="Compact"/>
            </w:pPr>
            <w:r>
              <w:rPr>
                <w:rStyle w:val="VerbatimChar"/>
              </w:rPr>
              <w:t xml:space="preserve">&lt;</w:t>
            </w:r>
            <w:r>
              <w:t xml:space="preserve"> </w:t>
            </w:r>
            <w:r>
              <w:t xml:space="preserve">LESS THAN</w:t>
            </w:r>
          </w:p>
          <w:p>
            <w:pPr>
              <w:numPr>
                <w:ilvl w:val="0"/>
                <w:numId w:val="1008"/>
              </w:numPr>
              <w:pStyle w:val="Compact"/>
            </w:pPr>
            <w:r>
              <w:rPr>
                <w:rStyle w:val="VerbatimChar"/>
              </w:rPr>
              <w:t xml:space="preserve">&gt;</w:t>
            </w:r>
            <w:r>
              <w:t xml:space="preserve"> </w:t>
            </w:r>
            <w:r>
              <w:t xml:space="preserve">GREATER THAN</w:t>
            </w:r>
          </w:p>
          <w:p>
            <w:pPr>
              <w:numPr>
                <w:ilvl w:val="0"/>
                <w:numId w:val="1008"/>
              </w:numPr>
              <w:pStyle w:val="Compact"/>
            </w:pPr>
            <w:r>
              <w:rPr>
                <w:rStyle w:val="VerbatimChar"/>
              </w:rPr>
              <w:t xml:space="preserve">&lt;=</w:t>
            </w:r>
            <w:r>
              <w:t xml:space="preserve"> </w:t>
            </w:r>
            <w:r>
              <w:t xml:space="preserve">LESS THAN OR EQUAL TO</w:t>
            </w:r>
          </w:p>
          <w:p>
            <w:pPr>
              <w:numPr>
                <w:ilvl w:val="0"/>
                <w:numId w:val="1008"/>
              </w:numPr>
              <w:pStyle w:val="Compact"/>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Cs/>
                <w:b/>
              </w:rPr>
              <w:t xml:space="preserve">GREATER THAN OR EQUAL TO</w:t>
            </w:r>
            <w:r>
              <w:t xml:space="preserve"> </w:t>
            </w:r>
            <w:r>
              <w:t xml:space="preserve">to 33 years of age,</w:t>
            </w:r>
            <w:r>
              <w:t xml:space="preserve"> </w:t>
            </w:r>
            <w:r>
              <w:rPr>
                <w:bCs/>
                <w:b/>
              </w:rPr>
              <w:t xml:space="preserve">AND</w:t>
            </w:r>
            <w:r>
              <w:t xml:space="preserve"> </w:t>
            </w:r>
            <w:r>
              <w:t xml:space="preserve">has eaten the potato salad,</w:t>
            </w:r>
            <w:r>
              <w:t xml:space="preserve"> </w:t>
            </w:r>
            <w:r>
              <w:rPr>
                <w:bCs/>
                <w:b/>
              </w:rPr>
              <w:t xml:space="preserve">AND</w:t>
            </w:r>
            <w:r>
              <w:t xml:space="preserve"> </w:t>
            </w:r>
            <w:r>
              <w:t xml:space="preserve">has reported fever</w:t>
            </w:r>
            <w:r>
              <w:t xml:space="preserve"> </w:t>
            </w:r>
            <w:r>
              <w:rPr>
                <w:bCs/>
                <w:b/>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5">
              <w:r>
                <w:rPr>
                  <w:rStyle w:val="Hyperlink"/>
                </w:rPr>
                <w:t xml:space="preserve">Logical Vectors from the R for Data online textbook!</w:t>
              </w:r>
            </w:hyperlink>
          </w:p>
        </w:tc>
      </w:tr>
    </w:tbl>
    <w:p>
      <w:pPr>
        <w:pStyle w:val="BodyText"/>
      </w:pPr>
      <w:r>
        <w:t xml:space="preserve">Let’s use summarise() to try out our Boolean logic within the sum() function using just the first food item, and the</w:t>
      </w:r>
      <w:r>
        <w:t xml:space="preserve"> </w:t>
      </w:r>
      <w:r>
        <w:rPr>
          <w:bCs/>
          <w:b/>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serious symptom outcomes. Let’s take a minute though to stop and double check that the calculations are correct. Sometimes using statements with multiple logic operators can get tricky - so it’s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 filter() functions, and count() the number of rows left over. We’ll filter for both serious cases only, then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Cs/>
          <w:b/>
        </w:rPr>
        <w:t xml:space="preserve">general illnesses</w:t>
      </w:r>
      <w:r>
        <w:t xml:space="preserve">. Feel free to use either long-form, and write out a new line for each food item, or go back and review earlier in this module, as well as</w:t>
      </w:r>
      <w:r>
        <w:t xml:space="preserve"> </w:t>
      </w:r>
      <w:r>
        <w:rPr>
          <w:bCs/>
          <w:b/>
        </w:rPr>
        <w:t xml:space="preserve">Module 3</w:t>
      </w:r>
      <w:r>
        <w:t xml:space="preserve"> </w:t>
      </w:r>
      <w:r>
        <w:t xml:space="preserve">where we practiced with using</w:t>
      </w:r>
      <w:r>
        <w:t xml:space="preserve"> </w:t>
      </w:r>
      <w:r>
        <w:rPr>
          <w:bCs/>
          <w:b/>
        </w:rPr>
        <w:t xml:space="preserve">across()</w:t>
      </w:r>
      <w:r>
        <w:t xml:space="preserve"> </w:t>
      </w:r>
      <w:r>
        <w:t xml:space="preserve">within the</w:t>
      </w:r>
      <w:r>
        <w:t xml:space="preserve"> </w:t>
      </w:r>
      <w:r>
        <w:rPr>
          <w:bCs/>
          <w:b/>
        </w:rPr>
        <w:t xml:space="preserve">summarise()</w:t>
      </w:r>
      <w:r>
        <w:t xml:space="preserve"> </w:t>
      </w:r>
      <w:r>
        <w:t xml:space="preserve">function, and try to work out how to do the calculations all in one go! Note: when we used</w:t>
      </w:r>
      <w:r>
        <w:t xml:space="preserve"> </w:t>
      </w:r>
      <w:r>
        <w:rPr>
          <w:bCs/>
          <w:b/>
        </w:rPr>
        <w:t xml:space="preserve">across()</w:t>
      </w:r>
      <w:r>
        <w:t xml:space="preserve"> </w:t>
      </w:r>
      <w:r>
        <w:t xml:space="preserve">previously, we were calculating based on multiple input variables only, and not outputting multiple variables. You may need to</w:t>
      </w:r>
      <w:r>
        <w:t xml:space="preserve"> </w:t>
      </w:r>
      <w:hyperlink r:id="rId46">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 Repeat the analysis using the serious illness case definition and compare your results. What are your best epidemiological recommendations at this time? Are there other analyses that you would want to complete to be more confident in your assertions?</w:t>
      </w:r>
    </w:p>
    <w:bookmarkEnd w:id="47"/>
    <w:bookmarkStart w:id="62"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that film, and would like it if you could pass him something ta make it easy to read and understand whats been going on.</w:t>
      </w:r>
    </w:p>
    <w:p>
      <w:pPr>
        <w:pStyle w:val="BlockText"/>
      </w:pPr>
      <w:r>
        <w:t xml:space="preserve">Thanks,</w:t>
      </w:r>
    </w:p>
    <w:p>
      <w:pPr>
        <w:pStyle w:val="BlockText"/>
      </w:pPr>
      <w:r>
        <w:t xml:space="preserve">Patrick the Steward</w:t>
      </w:r>
    </w:p>
    <w:p>
      <w:pPr>
        <w:pStyle w:val="FirstParagraph"/>
      </w:pPr>
      <w:r>
        <w:t xml:space="preserve">As if you didn’t have enough things to worry about, the captain has requested an epidemiological update from you, in a nicely formatted report. As much as this is extra work on your plate - the captain and his steward, Patrick, have touched on something really important in public health: if you can’t easily translate the information and evidence that you’ve gathered, then what was the point in collecting it in the first place? The job of an epidemiologist is only one piece of the larger puzzle that goes into serving public health, and we need to make sure that the information and messaging that we provide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working-method, we should recognize that it is not very accessible for those that haven’t had specialized training in these areas. Therefore, we’ll explore some ways to create custom, easy-to-read tables for our results!</w:t>
      </w:r>
    </w:p>
    <w:bookmarkStart w:id="51"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Cs/>
          <w:b/>
        </w:rPr>
        <w:t xml:space="preserve">S. S. Rainbow Cake</w:t>
      </w:r>
      <w:r>
        <w:t xml:space="preserve">!). While not a</w:t>
      </w:r>
      <w:r>
        <w:t xml:space="preserve"> </w:t>
      </w:r>
      <w:r>
        <w:rPr>
          <w:iCs/>
          <w:i/>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SourceCode"/>
      </w:pPr>
      <w:r>
        <w:br/>
      </w:r>
      <w:r>
        <w:rPr>
          <w:rStyle w:val="FunctionTok"/>
        </w:rPr>
        <w:t xml:space="preserve">p_load</w:t>
      </w:r>
      <w:r>
        <w:rPr>
          <w:rStyle w:val="NormalTok"/>
        </w:rPr>
        <w:t xml:space="preserve">(flextable)</w:t>
      </w:r>
    </w:p>
    <w:p>
      <w:pPr>
        <w:pStyle w:val="FirstParagraph"/>
      </w:pPr>
      <w:r>
        <w:t xml:space="preserve">The flextable() function uses a</w:t>
      </w:r>
      <w:r>
        <w:t xml:space="preserve"> </w:t>
      </w:r>
      <w:r>
        <w:rPr>
          <w:bCs/>
          <w:b/>
        </w:rPr>
        <w:t xml:space="preserve">data frame</w:t>
      </w:r>
      <w:r>
        <w:t xml:space="preserve"> </w:t>
      </w:r>
      <w:r>
        <w:t xml:space="preserve">as input, and returns a</w:t>
      </w:r>
      <w:r>
        <w:t xml:space="preserve"> </w:t>
      </w:r>
      <w:r>
        <w:rPr>
          <w:bCs/>
          <w:b/>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CaptionedFigure"/>
      </w:pPr>
      <w:r>
        <w:drawing>
          <wp:inline>
            <wp:extent cx="5334000" cy="2323329"/>
            <wp:effectExtent b="0" l="0" r="0" t="0"/>
            <wp:docPr descr="Example of the default output from flextable" title="" id="49" name="Picture"/>
            <a:graphic>
              <a:graphicData uri="http://schemas.openxmlformats.org/drawingml/2006/picture">
                <pic:pic>
                  <pic:nvPicPr>
                    <pic:cNvPr descr="pics/module04_flextable_example.jpeg" id="50" name="Picture"/>
                    <pic:cNvPicPr>
                      <a:picLocks noChangeArrowheads="1" noChangeAspect="1"/>
                    </pic:cNvPicPr>
                  </pic:nvPicPr>
                  <pic:blipFill>
                    <a:blip r:embed="rId48"/>
                    <a:stretch>
                      <a:fillRect/>
                    </a:stretch>
                  </pic:blipFill>
                  <pic:spPr bwMode="auto">
                    <a:xfrm>
                      <a:off x="0" y="0"/>
                      <a:ext cx="5334000" cy="2323329"/>
                    </a:xfrm>
                    <a:prstGeom prst="rect">
                      <a:avLst/>
                    </a:prstGeom>
                    <a:noFill/>
                    <a:ln w="9525">
                      <a:noFill/>
                      <a:headEnd/>
                      <a:tailEnd/>
                    </a:ln>
                  </pic:spPr>
                </pic:pic>
              </a:graphicData>
            </a:graphic>
          </wp:inline>
        </w:drawing>
      </w:r>
    </w:p>
    <w:p>
      <w:pPr>
        <w:pStyle w:val="ImageCaption"/>
      </w:pPr>
      <w:r>
        <w:t xml:space="preserve">Example of the default output from flextable</w:t>
      </w:r>
    </w:p>
    <w:bookmarkEnd w:id="51"/>
    <w:bookmarkStart w:id="60" w:name="building-a-table-of-attack-rates"/>
    <w:p>
      <w:pPr>
        <w:pStyle w:val="Heading3"/>
      </w:pPr>
      <w:r>
        <w:t xml:space="preserve">Building a table of attack rates</w:t>
      </w:r>
    </w:p>
    <w:p>
      <w:pPr>
        <w:pStyle w:val="FirstParagraph"/>
      </w:pPr>
      <w:r>
        <w:t xml:space="preserve">We recently just produced an output of the attack rates of different food items, but as you saw, the results weren’t very pretty, and were poorly formatted to include in any kind of report or email that would could share with others. Instead of going through the painstaking process of drafting a table in a word processing software and manually copying over the values, let’s instead put our efforts into automating a nice flextable that we can then export to use directly in a report.</w:t>
      </w:r>
    </w:p>
    <w:bookmarkStart w:id="55" w:name="formatting-the-data-for-use-in-a-table"/>
    <w:p>
      <w:pPr>
        <w:pStyle w:val="Heading4"/>
      </w:pPr>
      <w:r>
        <w:t xml:space="preserve">Formatting the data for use in a table</w:t>
      </w:r>
    </w:p>
    <w:p>
      <w:pPr>
        <w:pStyle w:val="FirstParagraph"/>
      </w:pPr>
      <w:r>
        <w:t xml:space="preserve">First, we’ll start by revisiting the attack rate table that we created earlier.</w:t>
      </w:r>
    </w:p>
    <w:p>
      <w:pPr>
        <w:pStyle w:val="SourceCode"/>
      </w:pP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table is in wide-format. This isn’t great for readability, so lets first pivot it into long format using pivot_longer().</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of menu items, and a column of their attack rate for illness. Let’s save this as an object before moving on to more complex tasks. Since attack rates are usually expressed as a percent, we’ll add a line in to multiply that column by 100 too.</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we used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which by itself works very well with documents in MS Word, or PDF, and also allows for lots of attractive formatting options!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m Files\RStudio\resources\app\bin\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By simply wrapping that whole chunk of code from earlier inside the flextable() function and saving it as an object, we were able to easily create a flextable object. 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wrapping the code in the flextable function.</w:t>
            </w:r>
          </w:p>
          <w:p>
            <w:pPr>
              <w:pStyle w:val="BodyText"/>
            </w:pPr>
            <w:pPr>
              <w:spacing w:after="16"/>
            </w:pPr>
            <w:r>
              <w:t xml:space="preserve">As you face more complex R operations in the future, you’ll find that large complex problems can</w:t>
            </w:r>
            <w:r>
              <w:t xml:space="preserve"> </w:t>
            </w:r>
            <w:r>
              <w:rPr>
                <w:bCs/>
                <w:b/>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tc>
      </w:tr>
    </w:tbl>
    <w:bookmarkEnd w:id="55"/>
    <w:bookmarkStart w:id="59" w:name="working-with-a-flextable-object"/>
    <w:p>
      <w:pPr>
        <w:pStyle w:val="Heading4"/>
      </w:pPr>
      <w:r>
        <w:t xml:space="preserve">Working with a flextable object</w:t>
      </w:r>
    </w:p>
    <w:p>
      <w:pPr>
        <w:pStyle w:val="FirstParagraph"/>
      </w:pPr>
      <w:r>
        <w:t xml:space="preserve">Now that we have our basic flextable made up, let’s turn to some of our formatting options within the package to make the table a little nicer looking.</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Cs/>
          <w:i/>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w:t>
      </w:r>
      <w:r>
        <w:t xml:space="preserve"> </w:t>
      </w:r>
      <w:r>
        <w:t xml:space="preserve">argument.</w:t>
      </w:r>
    </w:p>
    <w:p>
      <w:pPr>
        <w:pStyle w:val="BodyText"/>
      </w:pPr>
      <w:r>
        <w:t xml:space="preserve">Then,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56">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seemingly endless applications and extensions to the package. Take a few minutes to explore some further options for formatting your flextable using the documentation</w:t>
      </w:r>
      <w:r>
        <w:t xml:space="preserve"> </w:t>
      </w:r>
      <w:hyperlink r:id="rId57">
        <w:r>
          <w:rPr>
            <w:rStyle w:val="Hyperlink"/>
          </w:rPr>
          <w:t xml:space="preserve">here</w:t>
        </w:r>
      </w:hyperlink>
      <w:r>
        <w:t xml:space="preserve">, as well as leveraging your favorite AI tool for ideas and help.</w:t>
      </w:r>
    </w:p>
    <w:p>
      <w:pPr>
        <w:pStyle w:val="BodyText"/>
      </w:pPr>
      <w:r>
        <w:t xml:space="preserve">Finally, if you’d like a cheatsheet as a quick reference for flextable, you can also download one</w:t>
      </w:r>
      <w:r>
        <w:t xml:space="preserve"> </w:t>
      </w:r>
      <w:hyperlink r:id="rId58">
        <w:r>
          <w:rPr>
            <w:rStyle w:val="Hyperlink"/>
          </w:rPr>
          <w:t xml:space="preserve">here</w:t>
        </w:r>
      </w:hyperlink>
      <w:r>
        <w:t xml:space="preserve">.</w:t>
      </w:r>
    </w:p>
    <w:bookmarkEnd w:id="59"/>
    <w:bookmarkEnd w:id="60"/>
    <w:bookmarkStart w:id="61"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Cs/>
          <w:b/>
        </w:rPr>
        <w:t xml:space="preserve">general</w:t>
      </w:r>
      <w:r>
        <w:t xml:space="preserve"> </w:t>
      </w:r>
      <w:r>
        <w:t xml:space="preserve">illness case definition, but did not include the</w:t>
      </w:r>
      <w:r>
        <w:t xml:space="preserve"> </w:t>
      </w:r>
      <w:r>
        <w:rPr>
          <w:bCs/>
          <w:b/>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numPr>
          <w:ilvl w:val="0"/>
          <w:numId w:val="1009"/>
        </w:numPr>
        <w:pStyle w:val="Compact"/>
      </w:pPr>
      <w:r>
        <w:t xml:space="preserve">Menu item</w:t>
      </w:r>
    </w:p>
    <w:p>
      <w:pPr>
        <w:numPr>
          <w:ilvl w:val="0"/>
          <w:numId w:val="1009"/>
        </w:numPr>
        <w:pStyle w:val="Compact"/>
      </w:pPr>
      <w:r>
        <w:t xml:space="preserve">General illness AR</w:t>
      </w:r>
    </w:p>
    <w:p>
      <w:pPr>
        <w:numPr>
          <w:ilvl w:val="0"/>
          <w:numId w:val="1009"/>
        </w:numPr>
        <w:pStyle w:val="Compact"/>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w:t>
            </w:r>
          </w:p>
        </w:tc>
      </w:tr>
    </w:tbl>
    <w:bookmarkEnd w:id="61"/>
    <w:bookmarkEnd w:id="62"/>
    <w:bookmarkStart w:id="63"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Cs/>
          <w:b/>
        </w:rPr>
        <w:t xml:space="preserve">S. S. Rainbow Cake</w:t>
      </w:r>
      <w:r>
        <w:t xml:space="preserve">.</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1" Target="media/rId21.jpg" /><Relationship Type="http://schemas.openxmlformats.org/officeDocument/2006/relationships/image" Id="rId48" Target="media/rId48.jpg" /><Relationship Type="http://schemas.openxmlformats.org/officeDocument/2006/relationships/image" Id="rId24" Target="media/rId24.jpg" /><Relationship Type="http://schemas.openxmlformats.org/officeDocument/2006/relationships/hyperlink" Id="rId57" Target="https://ardata-fr.github.io/flextable-book/index.html" TargetMode="External" /><Relationship Type="http://schemas.openxmlformats.org/officeDocument/2006/relationships/hyperlink" Id="rId58" Target="https://ardata-fr.github.io/flextable-book/static/pdf/cheat_sheet_flextable.pdf" TargetMode="External" /><Relationship Type="http://schemas.openxmlformats.org/officeDocument/2006/relationships/hyperlink" Id="rId56" Target="https://ardata.fr/en/flextable-gallery/" TargetMode="External" /><Relationship Type="http://schemas.openxmlformats.org/officeDocument/2006/relationships/hyperlink" Id="rId46" Target="https://dplyr.tidyverse.org/reference/across.html" TargetMode="External" /><Relationship Type="http://schemas.openxmlformats.org/officeDocument/2006/relationships/hyperlink" Id="rId44"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5"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57" Target="https://ardata-fr.github.io/flextable-book/index.html" TargetMode="External" /><Relationship Type="http://schemas.openxmlformats.org/officeDocument/2006/relationships/hyperlink" Id="rId58" Target="https://ardata-fr.github.io/flextable-book/static/pdf/cheat_sheet_flextable.pdf" TargetMode="External" /><Relationship Type="http://schemas.openxmlformats.org/officeDocument/2006/relationships/hyperlink" Id="rId56" Target="https://ardata.fr/en/flextable-gallery/" TargetMode="External" /><Relationship Type="http://schemas.openxmlformats.org/officeDocument/2006/relationships/hyperlink" Id="rId46" Target="https://dplyr.tidyverse.org/reference/across.html" TargetMode="External" /><Relationship Type="http://schemas.openxmlformats.org/officeDocument/2006/relationships/hyperlink" Id="rId44"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5"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2026-01-22T20:27:05Z</dcterms:created>
  <dcterms:modified xsi:type="dcterms:W3CDTF">2026-01-22T20:27:05Z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