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00" w:after="120"/>
        <w:jc w:val="start"/>
        <w:rPr>
          <w:rFonts w:ascii="Arial;sans-serif" w:hAnsi="Arial;sans-serif"/>
          <w:b/>
          <w:i w:val="false"/>
          <w:caps w:val="false"/>
          <w:smallCaps w:val="false"/>
          <w:strike w:val="false"/>
          <w:dstrike w:val="false"/>
          <w:color w:val="1A365D"/>
          <w:sz w:val="48"/>
          <w:szCs w:val="24"/>
          <w:u w:val="none"/>
          <w:effect w:val="none"/>
          <w:shd w:fill="auto" w:val="clear"/>
        </w:rPr>
      </w:pPr>
      <w:bookmarkStart w:id="0" w:name="docs-internal-guid-6ddf2547-7fff-e7f6-ad"/>
      <w:bookmarkEnd w:id="0"/>
      <w:r>
        <w:rPr>
          <w:rFonts w:ascii="Arial;sans-serif" w:hAnsi="Arial;sans-serif"/>
          <w:b/>
          <w:i w:val="false"/>
          <w:caps w:val="false"/>
          <w:smallCaps w:val="false"/>
          <w:strike w:val="false"/>
          <w:dstrike w:val="false"/>
          <w:color w:val="1A365D"/>
          <w:sz w:val="48"/>
          <w:szCs w:val="24"/>
          <w:u w:val="none"/>
          <w:effect w:val="none"/>
          <w:shd w:fill="auto" w:val="clear"/>
        </w:rPr>
        <w:t>Guida di Riferimento: Windows Server Standard vs Datacenter</w:t>
      </w:r>
    </w:p>
    <w:p>
      <w:pPr>
        <w:pStyle w:val="BodyText"/>
        <w:bidi w:val="0"/>
        <w:spacing w:lineRule="auto" w:line="360" w:before="0" w:after="225"/>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La scelta dell'edizione di Windows Server cambia radicalmente le regole del gioco in termini di architettura, licenze e funzionalità disponibili. Questa guida analizza in profondità tutti gli aspetti determinanti per supportare la scelta ottimale sia in produzione che all'interno di un ambiente Homelab.</w:t>
      </w:r>
    </w:p>
    <w:p>
      <w:pPr>
        <w:pStyle w:val="Heading2"/>
        <w:bidi w:val="0"/>
        <w:spacing w:lineRule="auto" w:line="360" w:before="0" w:after="225"/>
        <w:ind w:hanging="0" w:start="0" w:end="0"/>
        <w:rPr>
          <w:rFonts w:ascii="Arial;sans-serif" w:hAnsi="Arial;sans-serif"/>
          <w:b/>
          <w:i w:val="false"/>
          <w:caps w:val="false"/>
          <w:smallCaps w:val="false"/>
          <w:strike w:val="false"/>
          <w:dstrike w:val="false"/>
          <w:color w:val="2B6CB0"/>
          <w:sz w:val="36"/>
          <w:szCs w:val="24"/>
          <w:u w:val="none"/>
          <w:effect w:val="none"/>
          <w:shd w:fill="auto" w:val="clear"/>
        </w:rPr>
      </w:pPr>
      <w:r>
        <w:rPr>
          <w:rFonts w:ascii="Arial;sans-serif" w:hAnsi="Arial;sans-serif"/>
          <w:b/>
          <w:i w:val="false"/>
          <w:caps w:val="false"/>
          <w:smallCaps w:val="false"/>
          <w:strike w:val="false"/>
          <w:dstrike w:val="false"/>
          <w:color w:val="2B6CB0"/>
          <w:sz w:val="36"/>
          <w:szCs w:val="24"/>
          <w:u w:val="none"/>
          <w:effect w:val="none"/>
          <w:shd w:fill="auto" w:val="clear"/>
        </w:rPr>
        <w:t>1. Storage Replica ed Effetti di Licenza</w:t>
      </w:r>
    </w:p>
    <w:p>
      <w:pPr>
        <w:pStyle w:val="BodyText"/>
        <w:bidi w:val="0"/>
        <w:spacing w:lineRule="auto" w:line="36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Storage Replica è una tecnologia fondamentale per il disaster recovery e la business continuity, ma presenta forti disparità tra le due edizioni:</w:t>
      </w:r>
    </w:p>
    <w:p>
      <w:pPr>
        <w:pStyle w:val="BodyText"/>
        <w:numPr>
          <w:ilvl w:val="0"/>
          <w:numId w:val="1"/>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Windows Server Standard:</w:t>
      </w:r>
      <w:r>
        <w:rPr>
          <w:rFonts w:ascii="Arial;sans-serif" w:hAnsi="Arial;sans-serif"/>
          <w:b w:val="false"/>
          <w:i w:val="false"/>
          <w:caps w:val="false"/>
          <w:smallCaps w:val="false"/>
          <w:strike w:val="false"/>
          <w:dstrike w:val="false"/>
          <w:color w:val="000000"/>
          <w:sz w:val="22"/>
          <w:u w:val="none"/>
          <w:effect w:val="none"/>
          <w:shd w:fill="auto" w:val="clear"/>
        </w:rPr>
        <w:t xml:space="preserve"> Fortemente limitato. Permette la creazione di una sola partnership e di un singolo volume con dimensione massima di 2 TB. Inoltre, se la replica si interrompe bruscamente o la configurazione iniziale fallisce, il kernel può bloccarsi nel famigerato bug della licenza commerciale, mantenendo occupato lo slot logico a prescindere dallo stato dei dischi o dalla reinstallazione del ruolo (Errore ResourceBusy / MI RESULT 27).</w:t>
      </w:r>
    </w:p>
    <w:p>
      <w:pPr>
        <w:pStyle w:val="BodyText"/>
        <w:numPr>
          <w:ilvl w:val="0"/>
          <w:numId w:val="1"/>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Windows Server Datacenter:</w:t>
      </w:r>
      <w:r>
        <w:rPr>
          <w:rFonts w:ascii="Arial;sans-serif" w:hAnsi="Arial;sans-serif"/>
          <w:b w:val="false"/>
          <w:i w:val="false"/>
          <w:caps w:val="false"/>
          <w:smallCaps w:val="false"/>
          <w:strike w:val="false"/>
          <w:dstrike w:val="false"/>
          <w:color w:val="000000"/>
          <w:sz w:val="22"/>
          <w:u w:val="none"/>
          <w:effect w:val="none"/>
          <w:shd w:fill="auto" w:val="clear"/>
        </w:rPr>
        <w:t xml:space="preserve"> Sblocca il servizio in modo totale. Consente il funzionamento di Windows Storage Replica senza limiti di partnership e senza vincoli sulla dimensione complessiva dei volumi (infiniti Terabyte), evitando i bug di blocco del contatore delle licenze tipici del kernel Standard.</w:t>
      </w:r>
    </w:p>
    <w:p>
      <w:pPr>
        <w:pStyle w:val="Heading2"/>
        <w:bidi w:val="0"/>
        <w:spacing w:lineRule="auto" w:line="360" w:before="225" w:after="225"/>
        <w:ind w:hanging="0" w:start="0" w:end="0"/>
        <w:rPr>
          <w:rFonts w:ascii="Arial;sans-serif" w:hAnsi="Arial;sans-serif"/>
          <w:b/>
          <w:i w:val="false"/>
          <w:caps w:val="false"/>
          <w:smallCaps w:val="false"/>
          <w:strike w:val="false"/>
          <w:dstrike w:val="false"/>
          <w:color w:val="2B6CB0"/>
          <w:sz w:val="36"/>
          <w:szCs w:val="24"/>
          <w:u w:val="none"/>
          <w:effect w:val="none"/>
          <w:shd w:fill="auto" w:val="clear"/>
        </w:rPr>
      </w:pPr>
      <w:r>
        <w:rPr>
          <w:rFonts w:ascii="Arial;sans-serif" w:hAnsi="Arial;sans-serif"/>
          <w:b/>
          <w:i w:val="false"/>
          <w:caps w:val="false"/>
          <w:smallCaps w:val="false"/>
          <w:strike w:val="false"/>
          <w:dstrike w:val="false"/>
          <w:color w:val="2B6CB0"/>
          <w:sz w:val="36"/>
          <w:szCs w:val="24"/>
          <w:u w:val="none"/>
          <w:effect w:val="none"/>
          <w:shd w:fill="auto" w:val="clear"/>
        </w:rPr>
        <w:t>2. Virtualizzazione e Gestione dei Container</w:t>
      </w:r>
    </w:p>
    <w:p>
      <w:pPr>
        <w:pStyle w:val="BodyText"/>
        <w:bidi w:val="0"/>
        <w:spacing w:lineRule="auto" w:line="36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xml:space="preserve">Il fattore principale che spinge le aziende e i data center moderni verso la </w:t>
      </w:r>
      <w:r>
        <w:rPr>
          <w:rFonts w:ascii="Arial;sans-serif" w:hAnsi="Arial;sans-serif"/>
          <w:b w:val="false"/>
          <w:i w:val="false"/>
          <w:caps w:val="false"/>
          <w:smallCaps w:val="false"/>
          <w:strike w:val="false"/>
          <w:dstrike w:val="false"/>
          <w:color w:val="000000"/>
          <w:sz w:val="22"/>
          <w:u w:val="none"/>
          <w:effect w:val="none"/>
          <w:shd w:fill="auto" w:val="clear"/>
        </w:rPr>
        <w:t>versione</w:t>
      </w:r>
      <w:r>
        <w:rPr>
          <w:rFonts w:ascii="Arial;sans-serif" w:hAnsi="Arial;sans-serif"/>
          <w:b w:val="false"/>
          <w:i w:val="false"/>
          <w:caps w:val="false"/>
          <w:smallCaps w:val="false"/>
          <w:strike w:val="false"/>
          <w:dstrike w:val="false"/>
          <w:color w:val="000000"/>
          <w:sz w:val="22"/>
          <w:u w:val="none"/>
          <w:effect w:val="none"/>
          <w:shd w:fill="auto" w:val="clear"/>
        </w:rPr>
        <w:t xml:space="preserve"> Datacenter riguarda il calcolo dei diritti di virtualizzazione delle macchine virtuali (VM):</w:t>
      </w:r>
    </w:p>
    <w:p>
      <w:pPr>
        <w:pStyle w:val="BodyText"/>
        <w:numPr>
          <w:ilvl w:val="0"/>
          <w:numId w:val="2"/>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Windows Server Standard:</w:t>
      </w:r>
      <w:r>
        <w:rPr>
          <w:rFonts w:ascii="Arial;sans-serif" w:hAnsi="Arial;sans-serif"/>
          <w:b w:val="false"/>
          <w:i w:val="false"/>
          <w:caps w:val="false"/>
          <w:smallCaps w:val="false"/>
          <w:strike w:val="false"/>
          <w:dstrike w:val="false"/>
          <w:color w:val="000000"/>
          <w:sz w:val="22"/>
          <w:u w:val="none"/>
          <w:effect w:val="none"/>
          <w:shd w:fill="auto" w:val="clear"/>
        </w:rPr>
        <w:t xml:space="preserve"> Copre l'hardware fisico e permette di installare al massimo 2 Macchine Virtuali Windows Server all'interno di quell'host (oppure fino a 2 Hyper-V isolation container). Se si intende creare una terza o quarta VM, è obbligatorio ricomprare interamente la licenza Standard per tutti i core del server fisico.</w:t>
      </w:r>
    </w:p>
    <w:p>
      <w:pPr>
        <w:pStyle w:val="BodyText"/>
        <w:numPr>
          <w:ilvl w:val="0"/>
          <w:numId w:val="2"/>
        </w:numPr>
        <w:pBdr/>
        <w:tabs>
          <w:tab w:val="clear" w:pos="709"/>
          <w:tab w:val="left" w:pos="0" w:leader="none"/>
        </w:tabs>
        <w:bidi w:val="0"/>
        <w:spacing w:lineRule="auto" w:line="360" w:before="0" w:after="0"/>
        <w:ind w:hanging="283" w:start="709" w:end="0"/>
        <w:rPr>
          <w:shd w:fill="auto" w:val="clear"/>
        </w:rPr>
      </w:pPr>
      <w:r>
        <w:rPr>
          <w:rFonts w:ascii="Arial;sans-serif" w:hAnsi="Arial;sans-serif"/>
          <w:b/>
          <w:i w:val="false"/>
          <w:caps w:val="false"/>
          <w:smallCaps w:val="false"/>
          <w:strike w:val="false"/>
          <w:dstrike w:val="false"/>
          <w:color w:val="000000"/>
          <w:sz w:val="22"/>
          <w:u w:val="none"/>
          <w:effect w:val="none"/>
          <w:shd w:fill="auto" w:val="clear"/>
        </w:rPr>
        <w:t>Windows Server Datacenter:</w:t>
      </w:r>
      <w:r>
        <w:rPr>
          <w:rFonts w:ascii="Arial;sans-serif" w:hAnsi="Arial;sans-serif"/>
          <w:b w:val="false"/>
          <w:i w:val="false"/>
          <w:caps w:val="false"/>
          <w:smallCaps w:val="false"/>
          <w:strike w:val="false"/>
          <w:dstrike w:val="false"/>
          <w:color w:val="000000"/>
          <w:sz w:val="22"/>
          <w:u w:val="none"/>
          <w:effect w:val="none"/>
          <w:shd w:fill="auto" w:val="clear"/>
        </w:rPr>
        <w:t xml:space="preserve"> Ti dà il diritto di creare infinite Macchine Virtuali Windows Server sullo stesso hardware fisico licenziato, sbloccando scenari ad altissima densità di consolidamento.</w:t>
      </w:r>
    </w:p>
    <w:p>
      <w:pPr>
        <w:pStyle w:val="Heading2"/>
        <w:bidi w:val="0"/>
        <w:spacing w:lineRule="auto" w:line="360" w:before="225" w:after="225"/>
        <w:ind w:hanging="0" w:start="0" w:end="0"/>
        <w:rPr>
          <w:rFonts w:ascii="Arial;sans-serif" w:hAnsi="Arial;sans-serif"/>
          <w:b/>
          <w:i w:val="false"/>
          <w:caps w:val="false"/>
          <w:smallCaps w:val="false"/>
          <w:strike w:val="false"/>
          <w:dstrike w:val="false"/>
          <w:color w:val="2B6CB0"/>
          <w:sz w:val="36"/>
          <w:szCs w:val="24"/>
          <w:u w:val="none"/>
          <w:effect w:val="none"/>
          <w:shd w:fill="auto" w:val="clear"/>
        </w:rPr>
      </w:pPr>
      <w:r>
        <w:rPr>
          <w:rFonts w:ascii="Arial;sans-serif" w:hAnsi="Arial;sans-serif"/>
          <w:b/>
          <w:i w:val="false"/>
          <w:caps w:val="false"/>
          <w:smallCaps w:val="false"/>
          <w:strike w:val="false"/>
          <w:dstrike w:val="false"/>
          <w:color w:val="2B6CB0"/>
          <w:sz w:val="36"/>
          <w:szCs w:val="24"/>
          <w:u w:val="none"/>
          <w:effect w:val="none"/>
          <w:shd w:fill="auto" w:val="clear"/>
        </w:rPr>
        <w:t>3. Tecnologie Esclusive dell'Edizione Datacenter</w:t>
      </w:r>
    </w:p>
    <w:p>
      <w:pPr>
        <w:pStyle w:val="BodyText"/>
        <w:bidi w:val="0"/>
        <w:spacing w:lineRule="auto" w:line="36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La versione Datacenter include un codice software avanzato che sblocca tecnologie per l'alta affidabilità e la sicurezza assenti nella Standard:</w:t>
      </w:r>
    </w:p>
    <w:p>
      <w:pPr>
        <w:pStyle w:val="BodyText"/>
        <w:numPr>
          <w:ilvl w:val="0"/>
          <w:numId w:val="3"/>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AVMA (Automatic Virtual Machine Activation):</w:t>
      </w:r>
      <w:r>
        <w:rPr>
          <w:rFonts w:ascii="Arial;sans-serif" w:hAnsi="Arial;sans-serif"/>
          <w:b w:val="false"/>
          <w:i w:val="false"/>
          <w:caps w:val="false"/>
          <w:smallCaps w:val="false"/>
          <w:strike w:val="false"/>
          <w:dstrike w:val="false"/>
          <w:color w:val="000000"/>
          <w:sz w:val="22"/>
          <w:u w:val="none"/>
          <w:effect w:val="none"/>
          <w:shd w:fill="auto" w:val="clear"/>
        </w:rPr>
        <w:t xml:space="preserve"> Consente alle VM Windows Server che girano all'interno di un host Hyper-V Datacenter di attivarsi automaticamente in modo isolato, senza inserire codici di licenza singoli e senza necessità di internet o di server KMS aziendali.</w:t>
      </w:r>
    </w:p>
    <w:p>
      <w:pPr>
        <w:pStyle w:val="BodyText"/>
        <w:numPr>
          <w:ilvl w:val="0"/>
          <w:numId w:val="3"/>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Storage Spaces Direct (S2D):</w:t>
      </w:r>
      <w:r>
        <w:rPr>
          <w:rFonts w:ascii="Arial;sans-serif" w:hAnsi="Arial;sans-serif"/>
          <w:b w:val="false"/>
          <w:i w:val="false"/>
          <w:caps w:val="false"/>
          <w:smallCaps w:val="false"/>
          <w:strike w:val="false"/>
          <w:dstrike w:val="false"/>
          <w:color w:val="000000"/>
          <w:sz w:val="22"/>
          <w:u w:val="none"/>
          <w:effect w:val="none"/>
          <w:shd w:fill="auto" w:val="clear"/>
        </w:rPr>
        <w:t xml:space="preserve"> Tecnologia di Software-Defined Storage che unisce i dischi locali di più server per creare un unico enorme ed ultra-veloce pool di archiviazione virtuale condiviso, eliminando la necessità di acquistare costose SAN esterne.</w:t>
      </w:r>
    </w:p>
    <w:p>
      <w:pPr>
        <w:pStyle w:val="BodyText"/>
        <w:numPr>
          <w:ilvl w:val="0"/>
          <w:numId w:val="3"/>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Software Defined Networking (SDN):</w:t>
      </w:r>
      <w:r>
        <w:rPr>
          <w:rFonts w:ascii="Arial;sans-serif" w:hAnsi="Arial;sans-serif"/>
          <w:b w:val="false"/>
          <w:i w:val="false"/>
          <w:caps w:val="false"/>
          <w:smallCaps w:val="false"/>
          <w:strike w:val="false"/>
          <w:dstrike w:val="false"/>
          <w:color w:val="000000"/>
          <w:sz w:val="22"/>
          <w:u w:val="none"/>
          <w:effect w:val="none"/>
          <w:shd w:fill="auto" w:val="clear"/>
        </w:rPr>
        <w:t xml:space="preserve"> Infrastruttura avanzata per gestire intere reti aziendali via software, abilitando funzionalità come il bilanciamento del carico software (SLB), i gateway di rete virtuale multi-tenant e policy di firewall distribuite direttamente a livello di hypervisor.</w:t>
      </w:r>
    </w:p>
    <w:p>
      <w:pPr>
        <w:pStyle w:val="BodyText"/>
        <w:numPr>
          <w:ilvl w:val="0"/>
          <w:numId w:val="3"/>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Shielded Virtual Machines:</w:t>
      </w:r>
      <w:r>
        <w:rPr>
          <w:rFonts w:ascii="Arial;sans-serif" w:hAnsi="Arial;sans-serif"/>
          <w:b w:val="false"/>
          <w:i w:val="false"/>
          <w:caps w:val="false"/>
          <w:smallCaps w:val="false"/>
          <w:strike w:val="false"/>
          <w:dstrike w:val="false"/>
          <w:color w:val="000000"/>
          <w:sz w:val="22"/>
          <w:u w:val="none"/>
          <w:effect w:val="none"/>
          <w:shd w:fill="auto" w:val="clear"/>
        </w:rPr>
        <w:t xml:space="preserve"> Fornisce una protezione avanzata e la cifratura del dato delle VM sia a riposo che in esecuzione, impedendo l'accesso non autorizzato e la manipolazione da parte di attacchi interni o di amministratori dell'host fisico compromessi.</w:t>
      </w:r>
    </w:p>
    <w:p>
      <w:pPr>
        <w:pStyle w:val="Heading2"/>
        <w:bidi w:val="0"/>
        <w:spacing w:lineRule="auto" w:line="360" w:before="225" w:after="225"/>
        <w:ind w:hanging="0" w:start="0" w:end="0"/>
        <w:rPr>
          <w:rFonts w:ascii="Arial;sans-serif" w:hAnsi="Arial;sans-serif"/>
          <w:b/>
          <w:i w:val="false"/>
          <w:caps w:val="false"/>
          <w:smallCaps w:val="false"/>
          <w:strike w:val="false"/>
          <w:dstrike w:val="false"/>
          <w:color w:val="2B6CB0"/>
          <w:sz w:val="36"/>
          <w:szCs w:val="24"/>
          <w:u w:val="none"/>
          <w:effect w:val="none"/>
          <w:shd w:fill="auto" w:val="clear"/>
        </w:rPr>
      </w:pPr>
      <w:r>
        <w:rPr>
          <w:rFonts w:ascii="Arial;sans-serif" w:hAnsi="Arial;sans-serif"/>
          <w:b/>
          <w:i w:val="false"/>
          <w:caps w:val="false"/>
          <w:smallCaps w:val="false"/>
          <w:strike w:val="false"/>
          <w:dstrike w:val="false"/>
          <w:color w:val="2B6CB0"/>
          <w:sz w:val="36"/>
          <w:szCs w:val="24"/>
          <w:u w:val="none"/>
          <w:effect w:val="none"/>
          <w:shd w:fill="auto" w:val="clear"/>
        </w:rPr>
        <w:t>4. Scalabilità Hardware e Limiti Fisici</w:t>
      </w:r>
    </w:p>
    <w:p>
      <w:pPr>
        <w:pStyle w:val="BodyText"/>
        <w:bidi w:val="0"/>
        <w:spacing w:lineRule="auto" w:line="36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Nelle versioni moderne di Windows Server (come 2016, 2019, 2022 e 2025), i limiti di scalabilità hardware fisica sono identici:</w:t>
      </w:r>
    </w:p>
    <w:p>
      <w:pPr>
        <w:pStyle w:val="BodyText"/>
        <w:numPr>
          <w:ilvl w:val="0"/>
          <w:numId w:val="4"/>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Sia l'edizione Standard che l'edizione Datacenter supportano gli stessi massimi fisici hardware: fino a 64 socket e fino a 48 TB di RAM per singolo server. Di conseguenza, la scelta non depende più dalla capacità computazionale grezza del ferro, ma esclusivamente dalle funzionalità software e dalle licenze di virtualizzazione richieste.</w:t>
      </w:r>
    </w:p>
    <w:p>
      <w:pPr>
        <w:pStyle w:val="Heading2"/>
        <w:bidi w:val="0"/>
        <w:spacing w:lineRule="auto" w:line="360" w:before="225" w:after="225"/>
        <w:ind w:hanging="0" w:start="0" w:end="0"/>
        <w:rPr>
          <w:rFonts w:ascii="Arial;sans-serif" w:hAnsi="Arial;sans-serif"/>
          <w:b/>
          <w:i w:val="false"/>
          <w:caps w:val="false"/>
          <w:smallCaps w:val="false"/>
          <w:strike w:val="false"/>
          <w:dstrike w:val="false"/>
          <w:color w:val="2B6CB0"/>
          <w:sz w:val="36"/>
          <w:szCs w:val="24"/>
          <w:u w:val="none"/>
          <w:effect w:val="none"/>
          <w:shd w:fill="auto" w:val="clear"/>
        </w:rPr>
      </w:pPr>
      <w:r>
        <w:rPr>
          <w:rFonts w:ascii="Arial;sans-serif" w:hAnsi="Arial;sans-serif"/>
          <w:b/>
          <w:i w:val="false"/>
          <w:caps w:val="false"/>
          <w:smallCaps w:val="false"/>
          <w:strike w:val="false"/>
          <w:dstrike w:val="false"/>
          <w:color w:val="2B6CB0"/>
          <w:sz w:val="36"/>
          <w:szCs w:val="24"/>
          <w:u w:val="none"/>
          <w:effect w:val="none"/>
          <w:shd w:fill="auto" w:val="clear"/>
        </w:rPr>
        <w:t>5. Tabella Comparativa Riassuntiva</w:t>
      </w:r>
    </w:p>
    <w:tbl>
      <w:tblPr>
        <w:tblW w:w="9638" w:type="dxa"/>
        <w:jc w:val="start"/>
        <w:tblInd w:w="-7" w:type="dxa"/>
        <w:tblLayout w:type="fixed"/>
        <w:tblCellMar>
          <w:top w:w="180" w:type="dxa"/>
          <w:start w:w="180" w:type="dxa"/>
          <w:bottom w:w="180" w:type="dxa"/>
          <w:end w:w="180" w:type="dxa"/>
        </w:tblCellMar>
      </w:tblPr>
      <w:tblGrid>
        <w:gridCol w:w="3207"/>
        <w:gridCol w:w="3192"/>
        <w:gridCol w:w="3239"/>
      </w:tblGrid>
      <w:tr>
        <w:trPr>
          <w:tblHeader w:val="true"/>
        </w:trPr>
        <w:tc>
          <w:tcPr>
            <w:tcW w:w="3207" w:type="dxa"/>
            <w:tcBorders>
              <w:top w:val="single" w:sz="6" w:space="0" w:color="DDDDDD"/>
              <w:start w:val="single" w:sz="6" w:space="0" w:color="DDDDDD"/>
              <w:bottom w:val="single" w:sz="6" w:space="0" w:color="DDDDDD"/>
              <w:end w:val="single" w:sz="6" w:space="0" w:color="DDDDDD"/>
            </w:tcBorders>
            <w:shd w:fill="F2F2F2" w:val="clear"/>
            <w:vAlign w:val="center"/>
          </w:tcPr>
          <w:p>
            <w:pPr>
              <w:pStyle w:val="Titolotabella"/>
              <w:widowControl/>
              <w:bidi w:val="0"/>
              <w:spacing w:lineRule="auto" w:line="288" w:before="180" w:after="180"/>
              <w:ind w:hanging="0" w:start="0" w:end="0"/>
              <w:jc w:val="start"/>
              <w:rPr>
                <w:rFonts w:ascii="Arial;sans-serif" w:hAnsi="Arial;sans-serif"/>
                <w:b/>
                <w:i w:val="false"/>
                <w:caps w:val="false"/>
                <w:smallCaps w:val="false"/>
                <w:strike w:val="false"/>
                <w:dstrike w:val="false"/>
                <w:color w:val="1A365D"/>
                <w:sz w:val="22"/>
                <w:u w:val="none"/>
                <w:effect w:val="none"/>
                <w:shd w:fill="auto" w:val="clear"/>
              </w:rPr>
            </w:pPr>
            <w:r>
              <w:rPr>
                <w:rFonts w:ascii="Arial;sans-serif" w:hAnsi="Arial;sans-serif"/>
                <w:b/>
                <w:i w:val="false"/>
                <w:caps w:val="false"/>
                <w:smallCaps w:val="false"/>
                <w:strike w:val="false"/>
                <w:dstrike w:val="false"/>
                <w:color w:val="1A365D"/>
                <w:sz w:val="22"/>
                <w:u w:val="none"/>
                <w:effect w:val="none"/>
                <w:shd w:fill="auto" w:val="clear"/>
              </w:rPr>
              <w:t>Funzionalità</w:t>
            </w:r>
          </w:p>
        </w:tc>
        <w:tc>
          <w:tcPr>
            <w:tcW w:w="3192" w:type="dxa"/>
            <w:tcBorders>
              <w:top w:val="single" w:sz="6" w:space="0" w:color="DDDDDD"/>
              <w:start w:val="single" w:sz="6" w:space="0" w:color="DDDDDD"/>
              <w:bottom w:val="single" w:sz="6" w:space="0" w:color="DDDDDD"/>
              <w:end w:val="single" w:sz="6" w:space="0" w:color="DDDDDD"/>
            </w:tcBorders>
            <w:shd w:fill="F2F2F2" w:val="clear"/>
            <w:vAlign w:val="center"/>
          </w:tcPr>
          <w:p>
            <w:pPr>
              <w:pStyle w:val="Titolotabella"/>
              <w:widowControl/>
              <w:bidi w:val="0"/>
              <w:spacing w:lineRule="auto" w:line="288" w:before="180" w:after="180"/>
              <w:ind w:hanging="0" w:start="0" w:end="0"/>
              <w:jc w:val="start"/>
              <w:rPr>
                <w:rFonts w:ascii="Arial;sans-serif" w:hAnsi="Arial;sans-serif"/>
                <w:b/>
                <w:i w:val="false"/>
                <w:caps w:val="false"/>
                <w:smallCaps w:val="false"/>
                <w:strike w:val="false"/>
                <w:dstrike w:val="false"/>
                <w:color w:val="1A365D"/>
                <w:sz w:val="22"/>
                <w:u w:val="none"/>
                <w:effect w:val="none"/>
                <w:shd w:fill="auto" w:val="clear"/>
              </w:rPr>
            </w:pPr>
            <w:r>
              <w:rPr>
                <w:rFonts w:ascii="Arial;sans-serif" w:hAnsi="Arial;sans-serif"/>
                <w:b/>
                <w:i w:val="false"/>
                <w:caps w:val="false"/>
                <w:smallCaps w:val="false"/>
                <w:strike w:val="false"/>
                <w:dstrike w:val="false"/>
                <w:color w:val="1A365D"/>
                <w:sz w:val="22"/>
                <w:u w:val="none"/>
                <w:effect w:val="none"/>
                <w:shd w:fill="auto" w:val="clear"/>
              </w:rPr>
              <w:t>Windows Server Standard</w:t>
            </w:r>
          </w:p>
        </w:tc>
        <w:tc>
          <w:tcPr>
            <w:tcW w:w="3239" w:type="dxa"/>
            <w:tcBorders>
              <w:top w:val="single" w:sz="6" w:space="0" w:color="DDDDDD"/>
              <w:start w:val="single" w:sz="6" w:space="0" w:color="DDDDDD"/>
              <w:bottom w:val="single" w:sz="6" w:space="0" w:color="DDDDDD"/>
              <w:end w:val="single" w:sz="6" w:space="0" w:color="DDDDDD"/>
            </w:tcBorders>
            <w:shd w:fill="F2F2F2" w:val="clear"/>
            <w:vAlign w:val="center"/>
          </w:tcPr>
          <w:p>
            <w:pPr>
              <w:pStyle w:val="Titolotabella"/>
              <w:widowControl/>
              <w:bidi w:val="0"/>
              <w:spacing w:lineRule="auto" w:line="288" w:before="180" w:after="180"/>
              <w:ind w:hanging="0" w:start="0" w:end="0"/>
              <w:jc w:val="start"/>
              <w:rPr>
                <w:rFonts w:ascii="Arial;sans-serif" w:hAnsi="Arial;sans-serif"/>
                <w:b/>
                <w:i w:val="false"/>
                <w:caps w:val="false"/>
                <w:smallCaps w:val="false"/>
                <w:strike w:val="false"/>
                <w:dstrike w:val="false"/>
                <w:color w:val="1A365D"/>
                <w:sz w:val="22"/>
                <w:u w:val="none"/>
                <w:effect w:val="none"/>
                <w:shd w:fill="auto" w:val="clear"/>
              </w:rPr>
            </w:pPr>
            <w:r>
              <w:rPr>
                <w:rFonts w:ascii="Arial;sans-serif" w:hAnsi="Arial;sans-serif"/>
                <w:b/>
                <w:i w:val="false"/>
                <w:caps w:val="false"/>
                <w:smallCaps w:val="false"/>
                <w:strike w:val="false"/>
                <w:dstrike w:val="false"/>
                <w:color w:val="1A365D"/>
                <w:sz w:val="22"/>
                <w:u w:val="none"/>
                <w:effect w:val="none"/>
                <w:shd w:fill="auto" w:val="clear"/>
              </w:rPr>
              <w:t>Windows Server Datacenter</w:t>
            </w:r>
          </w:p>
          <w:p>
            <w:pPr>
              <w:pStyle w:val="Titolotabella"/>
              <w:widowControl/>
              <w:bidi w:val="0"/>
              <w:spacing w:lineRule="auto" w:line="288" w:before="0" w:after="0"/>
              <w:ind w:hanging="0" w:start="0" w:end="0"/>
              <w:jc w:val="start"/>
              <w:rPr>
                <w:rFonts w:ascii="Google Sans;sans-serif" w:hAnsi="Google Sans;sans-serif"/>
                <w:caps w:val="false"/>
                <w:smallCaps w:val="false"/>
                <w:strike w:val="false"/>
                <w:dstrike w:val="false"/>
                <w:color w:val="000000"/>
                <w:u w:val="none"/>
                <w:effect w:val="none"/>
                <w:shd w:fill="auto" w:val="clear"/>
              </w:rPr>
            </w:pPr>
            <w:r>
              <w:rPr>
                <w:rFonts w:ascii="Google Sans;sans-serif" w:hAnsi="Google Sans;sans-serif"/>
                <w:caps w:val="false"/>
                <w:smallCaps w:val="false"/>
                <w:strike w:val="false"/>
                <w:dstrike w:val="false"/>
                <w:color w:val="000000"/>
                <w:u w:val="none"/>
                <w:effect w:val="none"/>
                <w:shd w:fill="auto" w:val="clear"/>
              </w:rPr>
              <w:t> </w:t>
            </w:r>
          </w:p>
        </w:tc>
      </w:tr>
      <w:tr>
        <w:trPr/>
        <w:tc>
          <w:tcPr>
            <w:tcW w:w="3207" w:type="dxa"/>
            <w:tcBorders>
              <w:top w:val="single" w:sz="6" w:space="0" w:color="DDDDDD"/>
              <w:start w:val="single" w:sz="6" w:space="0" w:color="DDDDDD"/>
              <w:bottom w:val="single" w:sz="6" w:space="0" w:color="DDDDDD"/>
              <w:end w:val="single" w:sz="6" w:space="0" w:color="DDDDDD"/>
            </w:tcBorders>
            <w:shd w:fill="FAFAFA"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Storage Replica</w:t>
            </w:r>
          </w:p>
        </w:tc>
        <w:tc>
          <w:tcPr>
            <w:tcW w:w="3192" w:type="dxa"/>
            <w:tcBorders>
              <w:top w:val="single" w:sz="6" w:space="0" w:color="DDDDDD"/>
              <w:start w:val="single" w:sz="6" w:space="0" w:color="DDDDDD"/>
              <w:bottom w:val="single" w:sz="6" w:space="0" w:color="DDDDDD"/>
              <w:end w:val="single" w:sz="6" w:space="0" w:color="DDDDDD"/>
            </w:tcBorders>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Limitato (1 Partnership, Max 2TB)</w:t>
            </w:r>
          </w:p>
        </w:tc>
        <w:tc>
          <w:tcPr>
            <w:tcW w:w="3239" w:type="dxa"/>
            <w:tcBorders>
              <w:top w:val="single" w:sz="6" w:space="0" w:color="DDDDDD"/>
              <w:start w:val="single" w:sz="6" w:space="0" w:color="DDDDDD"/>
              <w:bottom w:val="single" w:sz="6" w:space="0" w:color="DDDDDD"/>
              <w:end w:val="single" w:sz="6" w:space="0" w:color="DDDDDD"/>
            </w:tcBorders>
            <w:shd w:fill="FAFAFA"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i w:val="false"/>
                <w:caps w:val="false"/>
                <w:smallCaps w:val="false"/>
                <w:strike w:val="false"/>
                <w:dstrike w:val="false"/>
                <w:color w:val="2B6CB0"/>
                <w:sz w:val="22"/>
                <w:u w:val="none"/>
                <w:effect w:val="none"/>
                <w:shd w:fill="auto" w:val="clear"/>
              </w:rPr>
            </w:pPr>
            <w:r>
              <w:rPr>
                <w:rFonts w:ascii="Arial;sans-serif" w:hAnsi="Arial;sans-serif"/>
                <w:b/>
                <w:i w:val="false"/>
                <w:caps w:val="false"/>
                <w:smallCaps w:val="false"/>
                <w:strike w:val="false"/>
                <w:dstrike w:val="false"/>
                <w:color w:val="2B6CB0"/>
                <w:sz w:val="22"/>
                <w:u w:val="none"/>
                <w:effect w:val="none"/>
                <w:shd w:fill="auto" w:val="clear"/>
              </w:rPr>
              <w:t>Illimitato (Consigliato per Storage Replica)</w:t>
            </w:r>
          </w:p>
        </w:tc>
      </w:tr>
      <w:tr>
        <w:trPr/>
        <w:tc>
          <w:tcPr>
            <w:tcW w:w="3207"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Licenze VM Windows Server</w:t>
            </w:r>
          </w:p>
        </w:tc>
        <w:tc>
          <w:tcPr>
            <w:tcW w:w="3192"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Massimo 2 VM</w:t>
            </w:r>
          </w:p>
        </w:tc>
        <w:tc>
          <w:tcPr>
            <w:tcW w:w="3239"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Infinite VM</w:t>
            </w:r>
          </w:p>
        </w:tc>
      </w:tr>
      <w:tr>
        <w:trPr/>
        <w:tc>
          <w:tcPr>
            <w:tcW w:w="3207" w:type="dxa"/>
            <w:tcBorders>
              <w:top w:val="single" w:sz="6" w:space="0" w:color="DDDDDD"/>
              <w:start w:val="single" w:sz="6" w:space="0" w:color="DDDDDD"/>
              <w:bottom w:val="single" w:sz="6" w:space="0" w:color="DDDDDD"/>
              <w:end w:val="single" w:sz="6" w:space="0" w:color="DDDDDD"/>
            </w:tcBorders>
            <w:shd w:fill="FAFAFA"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Attivazione VM (AVMA)</w:t>
            </w:r>
          </w:p>
        </w:tc>
        <w:tc>
          <w:tcPr>
            <w:tcW w:w="3192" w:type="dxa"/>
            <w:tcBorders>
              <w:top w:val="single" w:sz="6" w:space="0" w:color="DDDDDD"/>
              <w:start w:val="single" w:sz="6" w:space="0" w:color="DDDDDD"/>
              <w:bottom w:val="single" w:sz="6" w:space="0" w:color="DDDDDD"/>
              <w:end w:val="single" w:sz="6" w:space="0" w:color="DDDDDD"/>
            </w:tcBorders>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No</w:t>
            </w:r>
          </w:p>
        </w:tc>
        <w:tc>
          <w:tcPr>
            <w:tcW w:w="3239" w:type="dxa"/>
            <w:tcBorders>
              <w:top w:val="single" w:sz="6" w:space="0" w:color="DDDDDD"/>
              <w:start w:val="single" w:sz="6" w:space="0" w:color="DDDDDD"/>
              <w:bottom w:val="single" w:sz="6" w:space="0" w:color="DDDDDD"/>
              <w:end w:val="single" w:sz="6" w:space="0" w:color="DDDDDD"/>
            </w:tcBorders>
            <w:shd w:fill="FAFAFA"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Sì</w:t>
            </w:r>
          </w:p>
        </w:tc>
      </w:tr>
      <w:tr>
        <w:trPr/>
        <w:tc>
          <w:tcPr>
            <w:tcW w:w="3207"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Storage Spaces Direct (S2D)</w:t>
            </w:r>
          </w:p>
        </w:tc>
        <w:tc>
          <w:tcPr>
            <w:tcW w:w="3192"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No</w:t>
            </w:r>
          </w:p>
        </w:tc>
        <w:tc>
          <w:tcPr>
            <w:tcW w:w="3239"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Sì</w:t>
            </w:r>
          </w:p>
        </w:tc>
      </w:tr>
      <w:tr>
        <w:trPr/>
        <w:tc>
          <w:tcPr>
            <w:tcW w:w="3207" w:type="dxa"/>
            <w:tcBorders>
              <w:top w:val="single" w:sz="6" w:space="0" w:color="DDDDDD"/>
              <w:start w:val="single" w:sz="6" w:space="0" w:color="DDDDDD"/>
              <w:bottom w:val="single" w:sz="6" w:space="0" w:color="DDDDDD"/>
              <w:end w:val="single" w:sz="6" w:space="0" w:color="DDDDDD"/>
            </w:tcBorders>
            <w:shd w:fill="FAFAFA"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Software Defined Net. (SDN)</w:t>
            </w:r>
          </w:p>
        </w:tc>
        <w:tc>
          <w:tcPr>
            <w:tcW w:w="3192" w:type="dxa"/>
            <w:tcBorders>
              <w:top w:val="single" w:sz="6" w:space="0" w:color="DDDDDD"/>
              <w:start w:val="single" w:sz="6" w:space="0" w:color="DDDDDD"/>
              <w:bottom w:val="single" w:sz="6" w:space="0" w:color="DDDDDD"/>
              <w:end w:val="single" w:sz="6" w:space="0" w:color="DDDDDD"/>
            </w:tcBorders>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No</w:t>
            </w:r>
          </w:p>
        </w:tc>
        <w:tc>
          <w:tcPr>
            <w:tcW w:w="3239" w:type="dxa"/>
            <w:tcBorders>
              <w:top w:val="single" w:sz="6" w:space="0" w:color="DDDDDD"/>
              <w:start w:val="single" w:sz="6" w:space="0" w:color="DDDDDD"/>
              <w:bottom w:val="single" w:sz="6" w:space="0" w:color="DDDDDD"/>
              <w:end w:val="single" w:sz="6" w:space="0" w:color="DDDDDD"/>
            </w:tcBorders>
            <w:shd w:fill="FAFAFA"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Sì</w:t>
            </w:r>
          </w:p>
        </w:tc>
      </w:tr>
      <w:tr>
        <w:trPr/>
        <w:tc>
          <w:tcPr>
            <w:tcW w:w="3207"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Shielded Virtual Machines</w:t>
            </w:r>
          </w:p>
        </w:tc>
        <w:tc>
          <w:tcPr>
            <w:tcW w:w="3192"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No</w:t>
            </w:r>
          </w:p>
        </w:tc>
        <w:tc>
          <w:tcPr>
            <w:tcW w:w="3239" w:type="dxa"/>
            <w:tcBorders>
              <w:top w:val="single" w:sz="6" w:space="0" w:color="DDDDDD"/>
              <w:start w:val="single" w:sz="6" w:space="0" w:color="DDDDDD"/>
              <w:bottom w:val="single" w:sz="6" w:space="0" w:color="DDDDDD"/>
              <w:end w:val="single" w:sz="6" w:space="0" w:color="DDDDDD"/>
            </w:tcBorders>
            <w:shd w:fill="F9F9F9"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Sì</w:t>
            </w:r>
          </w:p>
        </w:tc>
      </w:tr>
      <w:tr>
        <w:trPr/>
        <w:tc>
          <w:tcPr>
            <w:tcW w:w="3207" w:type="dxa"/>
            <w:tcBorders>
              <w:top w:val="single" w:sz="6" w:space="0" w:color="DDDDDD"/>
              <w:start w:val="single" w:sz="6" w:space="0" w:color="DDDDDD"/>
              <w:bottom w:val="single" w:sz="6" w:space="0" w:color="DDDDDD"/>
              <w:end w:val="single" w:sz="6" w:space="0" w:color="DDDDDD"/>
            </w:tcBorders>
            <w:shd w:fill="FAFAFA"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Limiti Hardware Massimi</w:t>
            </w:r>
          </w:p>
        </w:tc>
        <w:tc>
          <w:tcPr>
            <w:tcW w:w="3192" w:type="dxa"/>
            <w:tcBorders>
              <w:top w:val="single" w:sz="6" w:space="0" w:color="DDDDDD"/>
              <w:start w:val="single" w:sz="6" w:space="0" w:color="DDDDDD"/>
              <w:bottom w:val="single" w:sz="6" w:space="0" w:color="DDDDDD"/>
              <w:end w:val="single" w:sz="6" w:space="0" w:color="DDDDDD"/>
            </w:tcBorders>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64 Sockets, 48 TB RAM</w:t>
            </w:r>
          </w:p>
        </w:tc>
        <w:tc>
          <w:tcPr>
            <w:tcW w:w="3239" w:type="dxa"/>
            <w:tcBorders>
              <w:top w:val="single" w:sz="6" w:space="0" w:color="DDDDDD"/>
              <w:start w:val="single" w:sz="6" w:space="0" w:color="DDDDDD"/>
              <w:bottom w:val="single" w:sz="6" w:space="0" w:color="DDDDDD"/>
              <w:end w:val="single" w:sz="6" w:space="0" w:color="DDDDDD"/>
            </w:tcBorders>
            <w:shd w:fill="FAFAFA" w:val="clear"/>
            <w:tcMar>
              <w:top w:w="150" w:type="dxa"/>
              <w:start w:w="150" w:type="dxa"/>
              <w:bottom w:w="150" w:type="dxa"/>
              <w:end w:w="150" w:type="dxa"/>
            </w:tcMar>
            <w:vAlign w:val="center"/>
          </w:tcPr>
          <w:p>
            <w:pPr>
              <w:pStyle w:val="Contenutotabella"/>
              <w:widowControl/>
              <w:bidi w:val="0"/>
              <w:spacing w:lineRule="auto" w:line="288" w:before="150" w:after="15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64 Sockets, 48 TB RAM</w:t>
            </w:r>
          </w:p>
        </w:tc>
      </w:tr>
    </w:tbl>
    <w:p>
      <w:pPr>
        <w:pStyle w:val="Heading2"/>
        <w:bidi w:val="0"/>
        <w:spacing w:lineRule="auto" w:line="360" w:before="300" w:after="225"/>
        <w:ind w:hanging="0" w:start="0" w:end="0"/>
        <w:rPr>
          <w:rFonts w:ascii="Arial;sans-serif" w:hAnsi="Arial;sans-serif"/>
          <w:b/>
          <w:i w:val="false"/>
          <w:caps w:val="false"/>
          <w:smallCaps w:val="false"/>
          <w:strike w:val="false"/>
          <w:dstrike w:val="false"/>
          <w:color w:val="2B6CB0"/>
          <w:sz w:val="36"/>
          <w:szCs w:val="24"/>
          <w:u w:val="none"/>
          <w:effect w:val="none"/>
          <w:shd w:fill="auto" w:val="clear"/>
        </w:rPr>
      </w:pPr>
      <w:r>
        <w:rPr>
          <w:rFonts w:ascii="Arial;sans-serif" w:hAnsi="Arial;sans-serif"/>
          <w:b/>
          <w:i w:val="false"/>
          <w:caps w:val="false"/>
          <w:smallCaps w:val="false"/>
          <w:strike w:val="false"/>
          <w:dstrike w:val="false"/>
          <w:color w:val="2B6CB0"/>
          <w:sz w:val="36"/>
          <w:szCs w:val="24"/>
          <w:u w:val="none"/>
          <w:effect w:val="none"/>
          <w:shd w:fill="auto" w:val="clear"/>
        </w:rPr>
        <w:t>6. Il verdetto per l'Homelab (Regola pratica)</w:t>
      </w:r>
    </w:p>
    <w:p>
      <w:pPr>
        <w:pStyle w:val="BodyText"/>
        <w:numPr>
          <w:ilvl w:val="0"/>
          <w:numId w:val="5"/>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Usa la versione Standard solo se:</w:t>
      </w:r>
      <w:r>
        <w:rPr>
          <w:rFonts w:ascii="Arial;sans-serif" w:hAnsi="Arial;sans-serif"/>
          <w:b w:val="false"/>
          <w:i w:val="false"/>
          <w:caps w:val="false"/>
          <w:smallCaps w:val="false"/>
          <w:strike w:val="false"/>
          <w:dstrike w:val="false"/>
          <w:color w:val="000000"/>
          <w:sz w:val="22"/>
          <w:u w:val="none"/>
          <w:effect w:val="none"/>
          <w:shd w:fill="auto" w:val="clear"/>
        </w:rPr>
        <w:t xml:space="preserve"> Devi configurare un server fisico dedicato che fa una sola cosa pesante (es. un server di database SQL isolato) o un Domain Controller primario senza ruoli di storage avanzati o cluster.</w:t>
      </w:r>
    </w:p>
    <w:p>
      <w:pPr>
        <w:pStyle w:val="BodyText"/>
        <w:numPr>
          <w:ilvl w:val="0"/>
          <w:numId w:val="5"/>
        </w:numPr>
        <w:pBdr/>
        <w:tabs>
          <w:tab w:val="clear" w:pos="709"/>
          <w:tab w:val="left" w:pos="0" w:leader="none"/>
        </w:tabs>
        <w:bidi w:val="0"/>
        <w:spacing w:lineRule="auto" w:line="360"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 xml:space="preserve">Usa la versione Datacenter </w:t>
      </w:r>
      <w:r>
        <w:rPr>
          <w:rFonts w:ascii="Arial;sans-serif" w:hAnsi="Arial;sans-serif"/>
          <w:b/>
          <w:i w:val="false"/>
          <w:caps w:val="false"/>
          <w:smallCaps w:val="false"/>
          <w:strike w:val="false"/>
          <w:dstrike w:val="false"/>
          <w:color w:val="000000"/>
          <w:sz w:val="22"/>
          <w:u w:val="none"/>
          <w:effect w:val="none"/>
          <w:shd w:fill="auto" w:val="clear"/>
        </w:rPr>
        <w:t>solo se</w:t>
      </w:r>
      <w:r>
        <w:rPr>
          <w:rFonts w:ascii="Arial;sans-serif" w:hAnsi="Arial;sans-serif"/>
          <w:b/>
          <w:i w:val="false"/>
          <w:caps w:val="false"/>
          <w:smallCaps w:val="false"/>
          <w:strike w:val="false"/>
          <w:dstrike w:val="false"/>
          <w:color w:val="000000"/>
          <w:sz w:val="22"/>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 xml:space="preserve"> Stai creando un laboratorio di test, cluster, hypervisor o se devi fare qualsiasi esperimento legato alla replica dei dati. In un ambiente di test non ci sono costi reali di licenza, quindi la Datacenter ti garantisce l'assenza totale di paletti artificiali nel kernel e l'immunità dai bug di blocco delle licenze commerciali.</w:t>
      </w:r>
    </w:p>
    <w:p>
      <w:pPr>
        <w:pStyle w:val="BodyText"/>
        <w:bidi w:val="0"/>
        <w:spacing w:before="200" w:after="120"/>
        <w:jc w:val="start"/>
        <w:rPr>
          <w:rFonts w:ascii="Google Sans;sans-serif" w:hAnsi="Google Sans;sans-serif"/>
        </w:rPr>
      </w:pPr>
      <w:r>
        <w:rPr>
          <w:rFonts w:ascii="Google Sans;sans-serif" w:hAnsi="Google Sans;sans-serif"/>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altName w:val="sans-serif"/>
    <w:charset w:val="00" w:characterSet="windows-1252"/>
    <w:family w:val="auto"/>
    <w:pitch w:val="default"/>
  </w:font>
  <w:font w:name="Google Sans">
    <w:altName w:val="sans-serif"/>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it-IT" w:eastAsia="zh-CN" w:bidi="hi-IN"/>
    </w:rPr>
  </w:style>
  <w:style w:type="paragraph" w:styleId="Heading1">
    <w:name w:val="heading 1"/>
    <w:basedOn w:val="Titolo"/>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olo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olouser"/>
    <w:next w:val="BodyText"/>
    <w:qFormat/>
    <w:pPr>
      <w:spacing w:before="140" w:after="120"/>
      <w:outlineLvl w:val="2"/>
    </w:pPr>
    <w:rPr>
      <w:rFonts w:ascii="Liberation Serif" w:hAnsi="Liberation Serif" w:eastAsia="NSimSun" w:cs="Lucida Sans"/>
      <w:b/>
      <w:bCs/>
      <w:sz w:val="28"/>
      <w:szCs w:val="28"/>
    </w:rPr>
  </w:style>
  <w:style w:type="character" w:styleId="Puntiuser">
    <w:name w:val="Punti (user)"/>
    <w:qFormat/>
    <w:rPr>
      <w:rFonts w:ascii="OpenSymbol" w:hAnsi="OpenSymbol" w:eastAsia="OpenSymbol" w:cs="OpenSymbol"/>
    </w:rPr>
  </w:style>
  <w:style w:type="character" w:styleId="Testosorgenteuser">
    <w:name w:val="Testo sorgente (user)"/>
    <w:qFormat/>
    <w:rPr>
      <w:rFonts w:ascii="Liberation Mono" w:hAnsi="Liberation Mono" w:eastAsia="NSimSun" w:cs="Liberation Mono"/>
    </w:rPr>
  </w:style>
  <w:style w:type="character" w:styleId="Strong">
    <w:name w:val="Strong"/>
    <w:qFormat/>
    <w:rPr>
      <w:b/>
      <w:bCs/>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Lineaorizzontaleuser">
    <w:name w:val="Linea orizzontale (user)"/>
    <w:basedOn w:val="Normal"/>
    <w:next w:val="BodyText"/>
    <w:qFormat/>
    <w:pPr>
      <w:suppressLineNumbers/>
      <w:pBdr>
        <w:bottom w:val="double" w:sz="2" w:space="0" w:color="808080"/>
      </w:pBdr>
      <w:spacing w:before="0" w:after="283"/>
    </w:pPr>
    <w:rPr>
      <w:sz w:val="12"/>
      <w:szCs w:val="12"/>
    </w:rPr>
  </w:style>
  <w:style w:type="paragraph" w:styleId="Contenutotabellauser">
    <w:name w:val="Contenuto tabella (user)"/>
    <w:basedOn w:val="Normal"/>
    <w:qFormat/>
    <w:pPr>
      <w:widowControl w:val="false"/>
      <w:suppressLineNumbers/>
    </w:pPr>
    <w:rPr/>
  </w:style>
  <w:style w:type="paragraph" w:styleId="Titolotabellauser">
    <w:name w:val="Titolo tabella (user)"/>
    <w:basedOn w:val="Contenutotabellauser"/>
    <w:qFormat/>
    <w:pPr>
      <w:suppressLineNumbers/>
      <w:jc w:val="center"/>
    </w:pPr>
    <w:rPr>
      <w:b/>
      <w:bCs/>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LibreOffice/25.8.6.2$Windows_X86_64 LibreOffice_project/b4b39682cd9868fa725bc664aff94278d315bd04</Application>
  <AppVersion>15.0000</AppVersion>
  <Pages>3</Pages>
  <Words>732</Words>
  <Characters>4192</Characters>
  <CharactersWithSpaces>4867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2026-05-18T15:43:50Z</dcterms:created>
  <dc:creator/>
  <dc:description/>
  <dc:language>it-IT</dc:language>
  <cp:lastModifiedBy/>
  <dcterms:modified xsi:type="dcterms:W3CDTF">2026-05-18T16:08:52Z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