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Arial" w:cs="Arial" w:eastAsia="Arial" w:hAnsi="Arial"/>
          <w:b/>
          <w:bCs/>
          <w:color w:val="0064B4"/>
          <w:spacing w:val="40"/>
          <w:sz w:val="18"/>
          <w:szCs w:val="18"/>
        </w:rPr>
        <w:t xml:space="preserve">PROPUESTA EJECUTIVA · AGENTE DE INTELIGENCIA ARTIFICIAL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10C22"/>
          <w:sz w:val="52"/>
          <w:szCs w:val="52"/>
        </w:rPr>
        <w:t xml:space="preserve">Un agente de IA que convierte cada entrevista de </w:t>
      </w:r>
      <w:r>
        <w:rPr>
          <w:rFonts w:ascii="Arial" w:cs="Arial" w:eastAsia="Arial" w:hAnsi="Arial"/>
          <w:b/>
          <w:bCs/>
          <w:color w:val="0064B4"/>
          <w:sz w:val="52"/>
          <w:szCs w:val="52"/>
        </w:rPr>
        <w:t xml:space="preserve">ASUNTOS CENTRALES</w:t>
      </w:r>
      <w:r>
        <w:rPr>
          <w:rFonts w:ascii="Arial" w:cs="Arial" w:eastAsia="Arial" w:hAnsi="Arial"/>
          <w:b/>
          <w:bCs/>
          <w:color w:val="010C22"/>
          <w:sz w:val="52"/>
          <w:szCs w:val="52"/>
        </w:rPr>
        <w:t xml:space="preserve"> en contenido listo para publicar</w:t>
      </w:r>
    </w:p>
    <w:p>
      <w:pPr>
        <w:spacing w:after="220" w:before="120"/>
        <w:jc w:val="both"/>
      </w:pPr>
      <w:r>
        <w:rPr>
          <w:rFonts w:ascii="Arial" w:cs="Arial" w:eastAsia="Arial" w:hAnsi="Arial"/>
          <w:color w:val="516079"/>
          <w:sz w:val="23"/>
          <w:szCs w:val="23"/>
        </w:rPr>
        <w:t xml:space="preserve">Un agente de inteligencia artificial de uso interno que toma las entrevistas y streamings del canal, documentos o enlaces, y en minutos propone titulares, capturas estilo noticia, clips verticales, notas y artes con la identidad del canal. El gerente aprueba desde WhatsApp y el agente publica en Facebook y archiva todo en Google Drive, con registro completo de cada decisión.</w:t>
      </w:r>
    </w:p>
    <w:p>
      <w:pPr>
        <w:spacing w:after="280"/>
        <w:jc w:val="center"/>
      </w:pPr>
      <w:r>
        <w:rPr>
          <w:rFonts w:ascii="Arial" w:cs="Arial" w:eastAsia="Arial" w:hAnsi="Arial"/>
          <w:b/>
          <w:bCs/>
          <w:color w:val="00B4C8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color w:val="010C22"/>
          <w:sz w:val="18"/>
          <w:szCs w:val="18"/>
        </w:rPr>
        <w:t xml:space="preserve">Titulares + capturas</w:t>
      </w:r>
      <w:r>
        <w:rPr>
          <w:rFonts w:ascii="Arial" w:cs="Arial" w:eastAsia="Arial" w:hAnsi="Arial"/>
          <w:b/>
          <w:bCs/>
          <w:color w:val="00B4C8"/>
          <w:sz w:val="18"/>
          <w:szCs w:val="18"/>
        </w:rPr>
        <w:t xml:space="preserve">     ·     </w:t>
      </w:r>
      <w:r>
        <w:rPr>
          <w:rFonts w:ascii="Arial" w:cs="Arial" w:eastAsia="Arial" w:hAnsi="Arial"/>
          <w:b/>
          <w:bCs/>
          <w:color w:val="010C22"/>
          <w:sz w:val="18"/>
          <w:szCs w:val="18"/>
        </w:rPr>
        <w:t xml:space="preserve">Clips verticales</w:t>
      </w:r>
      <w:r>
        <w:rPr>
          <w:rFonts w:ascii="Arial" w:cs="Arial" w:eastAsia="Arial" w:hAnsi="Arial"/>
          <w:b/>
          <w:bCs/>
          <w:color w:val="00B4C8"/>
          <w:sz w:val="18"/>
          <w:szCs w:val="18"/>
        </w:rPr>
        <w:t xml:space="preserve">     ·     </w:t>
      </w:r>
      <w:r>
        <w:rPr>
          <w:rFonts w:ascii="Arial" w:cs="Arial" w:eastAsia="Arial" w:hAnsi="Arial"/>
          <w:b/>
          <w:bCs/>
          <w:color w:val="010C22"/>
          <w:sz w:val="18"/>
          <w:szCs w:val="18"/>
        </w:rPr>
        <w:t xml:space="preserve">Notas y artes</w:t>
      </w:r>
      <w:r>
        <w:rPr>
          <w:rFonts w:ascii="Arial" w:cs="Arial" w:eastAsia="Arial" w:hAnsi="Arial"/>
          <w:b/>
          <w:bCs/>
          <w:color w:val="00B4C8"/>
          <w:sz w:val="18"/>
          <w:szCs w:val="18"/>
        </w:rPr>
        <w:t xml:space="preserve">     ·     </w:t>
      </w:r>
      <w:r>
        <w:rPr>
          <w:rFonts w:ascii="Arial" w:cs="Arial" w:eastAsia="Arial" w:hAnsi="Arial"/>
          <w:b/>
          <w:bCs/>
          <w:color w:val="010C22"/>
          <w:sz w:val="18"/>
          <w:szCs w:val="18"/>
        </w:rPr>
        <w:t xml:space="preserve">Aprobación por WhatsApp</w:t>
      </w:r>
      <w:r>
        <w:rPr>
          <w:rFonts w:ascii="Arial" w:cs="Arial" w:eastAsia="Arial" w:hAnsi="Arial"/>
          <w:b/>
          <w:bCs/>
          <w:color w:val="00B4C8"/>
          <w:sz w:val="18"/>
          <w:szCs w:val="18"/>
        </w:rPr>
        <w:t xml:space="preserve">     ·     </w:t>
      </w:r>
      <w:r>
        <w:rPr>
          <w:rFonts w:ascii="Arial" w:cs="Arial" w:eastAsia="Arial" w:hAnsi="Arial"/>
          <w:b/>
          <w:bCs/>
          <w:color w:val="010C22"/>
          <w:sz w:val="18"/>
          <w:szCs w:val="18"/>
        </w:rPr>
        <w:t xml:space="preserve">Publicación en Facebook</w:t>
      </w:r>
    </w:p>
    <w:p>
      <w:pPr>
        <w:pBdr>
          <w:bottom w:val="single" w:color="00B4C8" w:sz="12" w:space="1"/>
        </w:pBd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before="160"/>
      </w:pPr>
      <w:r>
        <w:rPr>
          <w:rFonts w:ascii="Arial" w:cs="Arial" w:eastAsia="Arial" w:hAnsi="Arial"/>
          <w:color w:val="516079"/>
          <w:sz w:val="19"/>
          <w:szCs w:val="19"/>
        </w:rPr>
        <w:t xml:space="preserve">Presentada a </w:t>
      </w:r>
      <w:r>
        <w:rPr>
          <w:rFonts w:ascii="Arial" w:cs="Arial" w:eastAsia="Arial" w:hAnsi="Arial"/>
          <w:b/>
          <w:bCs/>
          <w:color w:val="010C22"/>
          <w:sz w:val="19"/>
          <w:szCs w:val="19"/>
        </w:rPr>
        <w:t xml:space="preserve">Asuntos Centrales</w:t>
      </w:r>
      <w:r>
        <w:rPr>
          <w:rFonts w:ascii="Arial" w:cs="Arial" w:eastAsia="Arial" w:hAnsi="Arial"/>
          <w:color w:val="516079"/>
          <w:sz w:val="19"/>
          <w:szCs w:val="19"/>
        </w:rPr>
        <w:t xml:space="preserve">   ·   Bolivia   ·   Versión 1.0 — Confidencial</w:t>
      </w:r>
    </w:p>
    <w:p>
      <w:pPr>
        <w:spacing w:before="30"/>
      </w:pPr>
      <w:r>
        <w:rPr>
          <w:rFonts w:ascii="Arial" w:cs="Arial" w:eastAsia="Arial" w:hAnsi="Arial"/>
          <w:color w:val="516079"/>
          <w:sz w:val="19"/>
          <w:szCs w:val="19"/>
        </w:rPr>
        <w:t xml:space="preserve">Preparada por </w:t>
      </w:r>
      <w:r>
        <w:rPr>
          <w:rFonts w:ascii="Arial" w:cs="Arial" w:eastAsia="Arial" w:hAnsi="Arial"/>
          <w:b/>
          <w:bCs/>
          <w:color w:val="010C22"/>
          <w:sz w:val="19"/>
          <w:szCs w:val="19"/>
        </w:rPr>
        <w:t xml:space="preserve">Quinto Eje Ingeniería</w:t>
      </w:r>
      <w:r>
        <w:rPr>
          <w:rFonts w:ascii="Arial" w:cs="Arial" w:eastAsia="Arial" w:hAnsi="Arial"/>
          <w:color w:val="516079"/>
          <w:sz w:val="19"/>
          <w:szCs w:val="19"/>
        </w:rPr>
        <w:t xml:space="preserve"> · Transformación Digital con IA   ·   Octubre 2026</w:t>
      </w:r>
    </w:p>
    <w:p>
      <w:r>
        <w:br w:type="pag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64B4"/>
          <w:spacing w:val="30"/>
          <w:sz w:val="17"/>
          <w:szCs w:val="17"/>
        </w:rPr>
        <w:t xml:space="preserve">DIAGNÓSTICO</w:t>
      </w:r>
    </w:p>
    <w:p>
      <w:pPr>
        <w:keepNext/>
        <w:spacing w:after="120"/>
      </w:pPr>
      <w:r>
        <w:rPr>
          <w:rFonts w:ascii="Arial" w:cs="Arial" w:eastAsia="Arial" w:hAnsi="Arial"/>
          <w:b/>
          <w:bCs/>
          <w:color w:val="010C22"/>
          <w:sz w:val="40"/>
          <w:szCs w:val="40"/>
        </w:rPr>
        <w:t xml:space="preserve">Oportunidades detectadas en la producción</w:t>
      </w:r>
    </w:p>
    <w:p>
      <w:pPr>
        <w:spacing w:after="200"/>
        <w:jc w:val="both"/>
      </w:pPr>
      <w:r>
        <w:rPr>
          <w:rFonts w:ascii="Arial" w:cs="Arial" w:eastAsia="Arial" w:hAnsi="Arial"/>
          <w:color w:val="516079"/>
          <w:sz w:val="21"/>
          <w:szCs w:val="21"/>
        </w:rPr>
        <w:t xml:space="preserve">A partir del flujo actual de producción del canal, identificamos 6 puntos donde un agente de IA libera tiempo del equipo, acelera la publicación y multiplica el aprovechamiento de cada entrevista.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126"/>
        <w:gridCol w:w="2000"/>
      </w:tblGrid>
      <w:tr>
        <w:trPr>
          <w:tblHeader/>
        </w:trPr>
        <w:tc>
          <w:tcPr>
            <w:tcW w:type="dxa" w:w="19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010C2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6"/>
                <w:szCs w:val="16"/>
              </w:rPr>
              <w:t xml:space="preserve">ÁREA</w:t>
            </w:r>
          </w:p>
        </w:tc>
        <w:tc>
          <w:tcPr>
            <w:tcW w:type="dxa" w:w="512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010C2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6"/>
                <w:szCs w:val="16"/>
              </w:rPr>
              <w:t xml:space="preserve">BRECHA DETECTADA</w:t>
            </w:r>
          </w:p>
        </w:tc>
        <w:tc>
          <w:tcPr>
            <w:tcW w:type="dxa" w:w="20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010C2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6"/>
                <w:szCs w:val="16"/>
              </w:rPr>
              <w:t xml:space="preserve">IMPACTO</w:t>
            </w:r>
          </w:p>
        </w:tc>
      </w:tr>
      <w:tr>
        <w:tc>
          <w:tcPr>
            <w:tcW w:type="dxa" w:w="19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AF1F8" w:val="clear"/>
            <w:tcMar>
              <w:top w:type="dxa" w:w="100"/>
              <w:left w:type="dxa" w:w="130"/>
              <w:bottom w:type="dxa" w:w="10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64B4"/>
                <w:sz w:val="22"/>
                <w:szCs w:val="22"/>
              </w:rPr>
              <w:t xml:space="preserve">01</w:t>
            </w:r>
          </w:p>
          <w:p>
            <w:r>
              <w:rPr>
                <w:rFonts w:ascii="Arial" w:cs="Arial" w:eastAsia="Arial" w:hAnsi="Arial"/>
                <w:b/>
                <w:bCs/>
                <w:color w:val="010C22"/>
                <w:spacing w:val="8"/>
                <w:sz w:val="14"/>
                <w:szCs w:val="14"/>
              </w:rPr>
              <w:t xml:space="preserve">TIEMPO DE PRODUCCIÓN</w:t>
            </w:r>
          </w:p>
        </w:tc>
        <w:tc>
          <w:tcPr>
            <w:tcW w:type="dxa" w:w="512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10C22"/>
                <w:sz w:val="20"/>
                <w:szCs w:val="20"/>
              </w:rPr>
              <w:t xml:space="preserve">Sacar titulares, miniaturas y clips toma medio día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Revisar una entrevista o un streaming completo para encontrar las frases más fuertes, tomar capturas, cortar clips y redactar textos es un trabajo manual que consume horas del equipo por cada video.</w:t>
            </w:r>
          </w:p>
        </w:tc>
        <w:tc>
          <w:tcPr>
            <w:tcW w:type="dxa" w:w="20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8F4E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7A52"/>
                <w:sz w:val="16"/>
                <w:szCs w:val="16"/>
              </w:rPr>
              <w:t xml:space="preserve">Horas de edición por entrevista</w:t>
            </w:r>
          </w:p>
        </w:tc>
      </w:tr>
      <w:tr>
        <w:tc>
          <w:tcPr>
            <w:tcW w:type="dxa" w:w="19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AF1F8" w:val="clear"/>
            <w:tcMar>
              <w:top w:type="dxa" w:w="100"/>
              <w:left w:type="dxa" w:w="130"/>
              <w:bottom w:type="dxa" w:w="10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64B4"/>
                <w:sz w:val="22"/>
                <w:szCs w:val="22"/>
              </w:rPr>
              <w:t xml:space="preserve">02</w:t>
            </w:r>
          </w:p>
          <w:p>
            <w:r>
              <w:rPr>
                <w:rFonts w:ascii="Arial" w:cs="Arial" w:eastAsia="Arial" w:hAnsi="Arial"/>
                <w:b/>
                <w:bCs/>
                <w:color w:val="010C22"/>
                <w:spacing w:val="8"/>
                <w:sz w:val="14"/>
                <w:szCs w:val="14"/>
              </w:rPr>
              <w:t xml:space="preserve">VELOCIDAD</w:t>
            </w:r>
          </w:p>
        </w:tc>
        <w:tc>
          <w:tcPr>
            <w:tcW w:type="dxa" w:w="512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10C22"/>
                <w:sz w:val="20"/>
                <w:szCs w:val="20"/>
              </w:rPr>
              <w:t xml:space="preserve">En noticias, el que publica primero gana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Cuando termina un streaming, el contenido derivado llega a redes horas después. El momento de mayor interés de la audiencia se pierde mientras el equipo procesa el material.</w:t>
            </w:r>
          </w:p>
        </w:tc>
        <w:tc>
          <w:tcPr>
            <w:tcW w:type="dxa" w:w="20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8F4E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7A52"/>
                <w:sz w:val="16"/>
                <w:szCs w:val="16"/>
              </w:rPr>
              <w:t xml:space="preserve">Alcance perdido por demora</w:t>
            </w:r>
          </w:p>
        </w:tc>
      </w:tr>
      <w:tr>
        <w:tc>
          <w:tcPr>
            <w:tcW w:type="dxa" w:w="19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AF1F8" w:val="clear"/>
            <w:tcMar>
              <w:top w:type="dxa" w:w="100"/>
              <w:left w:type="dxa" w:w="130"/>
              <w:bottom w:type="dxa" w:w="10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64B4"/>
                <w:sz w:val="22"/>
                <w:szCs w:val="22"/>
              </w:rPr>
              <w:t xml:space="preserve">03</w:t>
            </w:r>
          </w:p>
          <w:p>
            <w:r>
              <w:rPr>
                <w:rFonts w:ascii="Arial" w:cs="Arial" w:eastAsia="Arial" w:hAnsi="Arial"/>
                <w:b/>
                <w:bCs/>
                <w:color w:val="010C22"/>
                <w:spacing w:val="8"/>
                <w:sz w:val="14"/>
                <w:szCs w:val="14"/>
              </w:rPr>
              <w:t xml:space="preserve">APROVECHAMIENTO</w:t>
            </w:r>
          </w:p>
        </w:tc>
        <w:tc>
          <w:tcPr>
            <w:tcW w:type="dxa" w:w="512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10C22"/>
                <w:sz w:val="20"/>
                <w:szCs w:val="20"/>
              </w:rPr>
              <w:t xml:space="preserve">Entrevistas largas con momentos que nunca se publican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 streaming de 1 a 2 horas contiene varias declaraciones de alto valor, pero por falta de tiempo se aprovechan solo una o dos. El resto del contenido queda sin explotar.</w:t>
            </w:r>
          </w:p>
        </w:tc>
        <w:tc>
          <w:tcPr>
            <w:tcW w:type="dxa" w:w="20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8F4E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7A52"/>
                <w:sz w:val="16"/>
                <w:szCs w:val="16"/>
              </w:rPr>
              <w:t xml:space="preserve">Contenido valioso desaprovechado</w:t>
            </w:r>
          </w:p>
        </w:tc>
      </w:tr>
      <w:tr>
        <w:tc>
          <w:tcPr>
            <w:tcW w:type="dxa" w:w="19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AF1F8" w:val="clear"/>
            <w:tcMar>
              <w:top w:type="dxa" w:w="100"/>
              <w:left w:type="dxa" w:w="130"/>
              <w:bottom w:type="dxa" w:w="10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64B4"/>
                <w:sz w:val="22"/>
                <w:szCs w:val="22"/>
              </w:rPr>
              <w:t xml:space="preserve">04</w:t>
            </w:r>
          </w:p>
          <w:p>
            <w:r>
              <w:rPr>
                <w:rFonts w:ascii="Arial" w:cs="Arial" w:eastAsia="Arial" w:hAnsi="Arial"/>
                <w:b/>
                <w:bCs/>
                <w:color w:val="010C22"/>
                <w:spacing w:val="8"/>
                <w:sz w:val="14"/>
                <w:szCs w:val="14"/>
              </w:rPr>
              <w:t xml:space="preserve">FORMATOS</w:t>
            </w:r>
          </w:p>
        </w:tc>
        <w:tc>
          <w:tcPr>
            <w:tcW w:type="dxa" w:w="512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10C22"/>
                <w:sz w:val="20"/>
                <w:szCs w:val="20"/>
              </w:rPr>
              <w:t xml:space="preserve">Cada red exige su propio formato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Facebook, Reels y Shorts piden videos verticales con subtítulos, artes con citas destacadas y textos distintos. Producir todas las versiones a mano multiplica el trabajo.</w:t>
            </w:r>
          </w:p>
        </w:tc>
        <w:tc>
          <w:tcPr>
            <w:tcW w:type="dxa" w:w="20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8F4E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7A52"/>
                <w:sz w:val="16"/>
                <w:szCs w:val="16"/>
              </w:rPr>
              <w:t xml:space="preserve">Trabajo repetido por formato</w:t>
            </w:r>
          </w:p>
        </w:tc>
      </w:tr>
      <w:tr>
        <w:tc>
          <w:tcPr>
            <w:tcW w:type="dxa" w:w="19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AF1F8" w:val="clear"/>
            <w:tcMar>
              <w:top w:type="dxa" w:w="100"/>
              <w:left w:type="dxa" w:w="130"/>
              <w:bottom w:type="dxa" w:w="10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64B4"/>
                <w:sz w:val="22"/>
                <w:szCs w:val="22"/>
              </w:rPr>
              <w:t xml:space="preserve">05</w:t>
            </w:r>
          </w:p>
          <w:p>
            <w:r>
              <w:rPr>
                <w:rFonts w:ascii="Arial" w:cs="Arial" w:eastAsia="Arial" w:hAnsi="Arial"/>
                <w:b/>
                <w:bCs/>
                <w:color w:val="010C22"/>
                <w:spacing w:val="8"/>
                <w:sz w:val="14"/>
                <w:szCs w:val="14"/>
              </w:rPr>
              <w:t xml:space="preserve">PRECISIÓN</w:t>
            </w:r>
          </w:p>
        </w:tc>
        <w:tc>
          <w:tcPr>
            <w:tcW w:type="dxa" w:w="512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10C22"/>
                <w:sz w:val="20"/>
                <w:szCs w:val="20"/>
              </w:rPr>
              <w:t xml:space="preserve">Riesgo de citas fuera de contexto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 la presión del tiempo, un titular puede exagerar o atribuir mal una frase, con riesgo para la credibilidad del canal. Hace falta un control que vincule cada titular con lo que realmente se dijo.</w:t>
            </w:r>
          </w:p>
        </w:tc>
        <w:tc>
          <w:tcPr>
            <w:tcW w:type="dxa" w:w="20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8F4E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7A52"/>
                <w:sz w:val="16"/>
                <w:szCs w:val="16"/>
              </w:rPr>
              <w:t xml:space="preserve">Riesgo reputacional y legal</w:t>
            </w:r>
          </w:p>
        </w:tc>
      </w:tr>
      <w:tr>
        <w:tc>
          <w:tcPr>
            <w:tcW w:type="dxa" w:w="19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AF1F8" w:val="clear"/>
            <w:tcMar>
              <w:top w:type="dxa" w:w="100"/>
              <w:left w:type="dxa" w:w="130"/>
              <w:bottom w:type="dxa" w:w="10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64B4"/>
                <w:sz w:val="22"/>
                <w:szCs w:val="22"/>
              </w:rPr>
              <w:t xml:space="preserve">06</w:t>
            </w:r>
          </w:p>
          <w:p>
            <w:r>
              <w:rPr>
                <w:rFonts w:ascii="Arial" w:cs="Arial" w:eastAsia="Arial" w:hAnsi="Arial"/>
                <w:b/>
                <w:bCs/>
                <w:color w:val="010C22"/>
                <w:spacing w:val="8"/>
                <w:sz w:val="14"/>
                <w:szCs w:val="14"/>
              </w:rPr>
              <w:t xml:space="preserve">CONTROL</w:t>
            </w:r>
          </w:p>
        </w:tc>
        <w:tc>
          <w:tcPr>
            <w:tcW w:type="dxa" w:w="512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10C22"/>
                <w:sz w:val="20"/>
                <w:szCs w:val="20"/>
              </w:rPr>
              <w:t xml:space="preserve">Aprobaciones sin registro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Las aprobaciones se dan de forma informal, sin constancia de quién aprobó qué y cuándo, ni un archivo ordenado de lo publicado.</w:t>
            </w:r>
          </w:p>
        </w:tc>
        <w:tc>
          <w:tcPr>
            <w:tcW w:type="dxa" w:w="20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8F4E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7A52"/>
                <w:sz w:val="16"/>
                <w:szCs w:val="16"/>
              </w:rPr>
              <w:t xml:space="preserve">Sin trazabilidad</w:t>
            </w:r>
          </w:p>
        </w:tc>
      </w:tr>
    </w:tbl>
    <w:p>
      <w:pPr>
        <w:pageBreakBefore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0064B4"/>
          <w:spacing w:val="30"/>
          <w:sz w:val="17"/>
          <w:szCs w:val="17"/>
        </w:rPr>
        <w:t xml:space="preserve">SOLUCIÓN PROPUESTA</w:t>
      </w:r>
    </w:p>
    <w:p>
      <w:pPr>
        <w:keepNext/>
        <w:spacing w:after="120"/>
      </w:pPr>
      <w:r>
        <w:rPr>
          <w:rFonts w:ascii="Arial" w:cs="Arial" w:eastAsia="Arial" w:hAnsi="Arial"/>
          <w:b/>
          <w:bCs/>
          <w:color w:val="010C22"/>
          <w:sz w:val="40"/>
          <w:szCs w:val="40"/>
        </w:rPr>
        <w:t xml:space="preserve">Agente de IA de contenido para Asuntos Centrales</w:t>
      </w:r>
    </w:p>
    <w:p>
      <w:pPr>
        <w:spacing w:after="200"/>
        <w:jc w:val="both"/>
      </w:pPr>
      <w:r>
        <w:rPr>
          <w:rFonts w:ascii="Arial" w:cs="Arial" w:eastAsia="Arial" w:hAnsi="Arial"/>
          <w:color w:val="516079"/>
          <w:sz w:val="21"/>
          <w:szCs w:val="21"/>
        </w:rPr>
        <w:t xml:space="preserve">Un sistema integrado, de uso interno, que cubre todo el ciclo: desde la entrevista hasta la publicación aprobada. Ya fue validado en una demostración con una entrevista real del canal.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26"/>
        <w:gridCol w:w="2000"/>
      </w:tblGrid>
      <w:tr>
        <w:trPr>
          <w:tblHeader/>
        </w:trPr>
        <w:tc>
          <w:tcPr>
            <w:tcW w:type="dxa" w:w="26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010C2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6"/>
                <w:szCs w:val="16"/>
              </w:rPr>
              <w:t xml:space="preserve">MÓDULO</w:t>
            </w:r>
          </w:p>
        </w:tc>
        <w:tc>
          <w:tcPr>
            <w:tcW w:type="dxa" w:w="442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010C2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6"/>
                <w:szCs w:val="16"/>
              </w:rPr>
              <w:t xml:space="preserve">QUÉ INCLUYE</w:t>
            </w:r>
          </w:p>
        </w:tc>
        <w:tc>
          <w:tcPr>
            <w:tcW w:type="dxa" w:w="20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010C2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6"/>
                <w:szCs w:val="16"/>
              </w:rPr>
              <w:t xml:space="preserve">PRIORIDAD</w:t>
            </w:r>
          </w:p>
        </w:tc>
      </w:tr>
      <w:tr>
        <w:tc>
          <w:tcPr>
            <w:tcW w:type="dxa" w:w="26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AF1F8" w:val="clear"/>
            <w:tcMar>
              <w:top w:type="dxa" w:w="110"/>
              <w:left w:type="dxa" w:w="140"/>
              <w:bottom w:type="dxa" w:w="11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10C22"/>
                <w:sz w:val="19"/>
                <w:szCs w:val="19"/>
              </w:rPr>
              <w:t xml:space="preserve">1 · Agente IA de Contenido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516079"/>
                <w:sz w:val="15"/>
                <w:szCs w:val="15"/>
              </w:rPr>
              <w:t xml:space="preserve">El núcleo del sistema</w:t>
            </w:r>
          </w:p>
        </w:tc>
        <w:tc>
          <w:tcPr>
            <w:tcW w:type="dxa" w:w="442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Analiza la entrevista completa y propone, con el estilo del canal, piezas listas para revisar. Cada titular va respaldado por la cita textual y el minuto exacto en que se dijo.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 titulares con captura estilo noticia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 clips verticales con subtítulos animados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Nota periodística y textos para redes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Artes con citas destacadas y la marca del canal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Verificación automática de citas: nada inventado</w:t>
            </w:r>
          </w:p>
        </w:tc>
        <w:tc>
          <w:tcPr>
            <w:tcW w:type="dxa" w:w="20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B4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AF1F8" w:val="clear"/>
            <w:tcMar>
              <w:top w:type="dxa" w:w="110"/>
              <w:left w:type="dxa" w:w="140"/>
              <w:bottom w:type="dxa" w:w="11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10C22"/>
                <w:sz w:val="19"/>
                <w:szCs w:val="19"/>
              </w:rPr>
              <w:t xml:space="preserve">2 · Ingesta multifuente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516079"/>
                <w:sz w:val="15"/>
                <w:szCs w:val="15"/>
              </w:rPr>
              <w:t xml:space="preserve">El agente recibe contenido desde cualquier origen y arranca solo cuando el canal publica.</w:t>
            </w:r>
          </w:p>
        </w:tc>
        <w:tc>
          <w:tcPr>
            <w:tcW w:type="dxa" w:w="442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Streamings y videos del canal de YouTube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Enlaces de otros canales (solo análisis)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Archivos subidos, documentos PDF/Word y links web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Detección automática de nuevas publicaciones</w:t>
            </w:r>
          </w:p>
        </w:tc>
        <w:tc>
          <w:tcPr>
            <w:tcW w:type="dxa" w:w="20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B4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AF1F8" w:val="clear"/>
            <w:tcMar>
              <w:top w:type="dxa" w:w="110"/>
              <w:left w:type="dxa" w:w="140"/>
              <w:bottom w:type="dxa" w:w="11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10C22"/>
                <w:sz w:val="19"/>
                <w:szCs w:val="19"/>
              </w:rPr>
              <w:t xml:space="preserve">3 · Panel de revisión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516079"/>
                <w:sz w:val="15"/>
                <w:szCs w:val="15"/>
              </w:rPr>
              <w:t xml:space="preserve">Aplicación web interna con acceso por cuenta de Google y roles (gerente, producción, administrador).</w:t>
            </w:r>
          </w:p>
        </w:tc>
        <w:tc>
          <w:tcPr>
            <w:tcW w:type="dxa" w:w="442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Ver, editar y descargar cada pieza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Pedir variantes: “más fuerte”, “otro momento”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Historial de todas las entrevistas procesadas</w:t>
            </w:r>
          </w:p>
        </w:tc>
        <w:tc>
          <w:tcPr>
            <w:tcW w:type="dxa" w:w="20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B4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AF1F8" w:val="clear"/>
            <w:tcMar>
              <w:top w:type="dxa" w:w="110"/>
              <w:left w:type="dxa" w:w="140"/>
              <w:bottom w:type="dxa" w:w="11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10C22"/>
                <w:sz w:val="19"/>
                <w:szCs w:val="19"/>
              </w:rPr>
              <w:t xml:space="preserve">4 · Aprobación por WhatsApp + constancia por email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516079"/>
                <w:sz w:val="15"/>
                <w:szCs w:val="15"/>
              </w:rPr>
              <w:t xml:space="preserve">El gerente recibe las propuestas en su WhatsApp y decide con un toque. El email deja registro formal.</w:t>
            </w:r>
          </w:p>
        </w:tc>
        <w:tc>
          <w:tcPr>
            <w:tcW w:type="dxa" w:w="442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Botones Aprobar / Cambios / Rechazar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Cambios por mensaje: el agente regenera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Email de constancia con lo propuesto y aprobado</w:t>
            </w:r>
          </w:p>
        </w:tc>
        <w:tc>
          <w:tcPr>
            <w:tcW w:type="dxa" w:w="20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B4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AF1F8" w:val="clear"/>
            <w:tcMar>
              <w:top w:type="dxa" w:w="110"/>
              <w:left w:type="dxa" w:w="140"/>
              <w:bottom w:type="dxa" w:w="11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10C22"/>
                <w:sz w:val="19"/>
                <w:szCs w:val="19"/>
              </w:rPr>
              <w:t xml:space="preserve">5 · Publicación en Facebook y archivo en Drive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516079"/>
                <w:sz w:val="15"/>
                <w:szCs w:val="15"/>
              </w:rPr>
              <w:t xml:space="preserve">Lo aprobado se publica en la Página del canal y se archiva ordenado en Google Drive.</w:t>
            </w:r>
          </w:p>
        </w:tc>
        <w:tc>
          <w:tcPr>
            <w:tcW w:type="dxa" w:w="442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Publicación inmediata o programada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Reels, videos, fotos y posts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Archivo histórico por fecha en Google Drive</w:t>
            </w:r>
          </w:p>
        </w:tc>
        <w:tc>
          <w:tcPr>
            <w:tcW w:type="dxa" w:w="20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B4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AF1F8" w:val="clear"/>
            <w:tcMar>
              <w:top w:type="dxa" w:w="110"/>
              <w:left w:type="dxa" w:w="140"/>
              <w:bottom w:type="dxa" w:w="11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10C22"/>
                <w:sz w:val="19"/>
                <w:szCs w:val="19"/>
              </w:rPr>
              <w:t xml:space="preserve">6 · Seguridad y mejora continua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516079"/>
                <w:sz w:val="15"/>
                <w:szCs w:val="15"/>
              </w:rPr>
              <w:t xml:space="preserve">Operación profesional y un agente que aprende el gusto editorial del canal.</w:t>
            </w:r>
          </w:p>
        </w:tc>
        <w:tc>
          <w:tcPr>
            <w:tcW w:type="dxa" w:w="442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Login seguro, roles y auditoría de acciones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Respaldos diarios y monitoreo de fallas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Aprendizaje con los titulares aprobados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Reporte mensual de uso, resultados y costos</w:t>
            </w:r>
          </w:p>
        </w:tc>
        <w:tc>
          <w:tcPr>
            <w:tcW w:type="dxa" w:w="20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B4"/>
                <w:sz w:val="16"/>
                <w:szCs w:val="16"/>
              </w:rPr>
              <w:t xml:space="preserve">Media — Meses 2 a 6</w:t>
            </w:r>
          </w:p>
        </w:tc>
      </w:tr>
    </w:tbl>
    <w:p>
      <w:pPr>
        <w:pageBreakBefore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0064B4"/>
          <w:spacing w:val="30"/>
          <w:sz w:val="17"/>
          <w:szCs w:val="17"/>
        </w:rPr>
        <w:t xml:space="preserve">ARQUITECTURA TECNOLÓGICA</w:t>
      </w:r>
    </w:p>
    <w:p>
      <w:pPr>
        <w:keepNext/>
        <w:spacing w:after="120"/>
      </w:pPr>
      <w:r>
        <w:rPr>
          <w:rFonts w:ascii="Arial" w:cs="Arial" w:eastAsia="Arial" w:hAnsi="Arial"/>
          <w:b/>
          <w:bCs/>
          <w:color w:val="010C22"/>
          <w:sz w:val="40"/>
          <w:szCs w:val="40"/>
        </w:rPr>
        <w:t xml:space="preserve">Tecnologías de nivel profesional</w:t>
      </w:r>
    </w:p>
    <w:p>
      <w:pPr>
        <w:spacing w:after="200"/>
        <w:jc w:val="both"/>
      </w:pPr>
      <w:r>
        <w:rPr>
          <w:rFonts w:ascii="Arial" w:cs="Arial" w:eastAsia="Arial" w:hAnsi="Arial"/>
          <w:color w:val="516079"/>
          <w:sz w:val="21"/>
          <w:szCs w:val="21"/>
        </w:rPr>
        <w:t xml:space="preserve">El agente se construye con servicios administrados y estándares de la industria en calidad, seguridad y velocidad. Todo funciona en la nube: no requiere equipos ni servidores en las oficinas del canal.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Inteligencia artificial — Claude (Anthropic): modelos líderes en análisis y redacción en español. Lee transcripciones, documentos y enlaces, y devuelve resultados estructurados y verificables.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Transcripción — Whisper vía Groq: convierte el audio en texto con marcas de tiempo por palabra en segundos, base de las citas exactas, los subtítulos y los cortes de los clips.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Procesamiento de video — ffmpeg en la nube (Render): genera los clips verticales, capturas y subtítulos animados con la identidad visual del canal.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Base de datos, acceso y archivos — Supabase (PostgreSQL): registro de entrevistas, propuestas, aprobaciones y publicaciones; login con cuentas de Google, permisos por rol y respaldos automáticos.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Panel web — aplicación interna desplegada en Render con conexión cifrada (HTTPS) y dominio propio.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Mensajería y publicación — APIs oficiales de Meta: WhatsApp Cloud API para la aprobación y Facebook Graph API para publicar en la Página del canal, aprovechando que el negocio ya está verificado en Meta.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Archivo — Google Drive del canal para los productos aprobados; email transaccional para las constancias.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Control de calidad — verificación automática de que cada cita existe literalmente en la transcripción, aprobación humana obligatoria antes de publicar, monitoreo de errores y registro del costo de cada proceso.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Seguridad — las credenciales viven solo en el servidor, las cuentas de los servicios quedan a nombre de Asuntos Centrales y cada acción queda registrada en una bitácora de auditoría.</w:t>
      </w:r>
    </w:p>
    <w:p>
      <w:pPr>
        <w:pageBreakBefore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0064B4"/>
          <w:spacing w:val="30"/>
          <w:sz w:val="17"/>
          <w:szCs w:val="17"/>
        </w:rPr>
        <w:t xml:space="preserve">PLAN DE EJECUCIÓN</w:t>
      </w:r>
    </w:p>
    <w:p>
      <w:pPr>
        <w:keepNext/>
        <w:spacing w:after="120"/>
      </w:pPr>
      <w:r>
        <w:rPr>
          <w:rFonts w:ascii="Arial" w:cs="Arial" w:eastAsia="Arial" w:hAnsi="Arial"/>
          <w:b/>
          <w:bCs/>
          <w:color w:val="010C22"/>
          <w:sz w:val="40"/>
          <w:szCs w:val="40"/>
        </w:rPr>
        <w:t xml:space="preserve">Agente operativo en un mes, acompañamiento por seis</w:t>
      </w:r>
    </w:p>
    <w:p>
      <w:pPr>
        <w:spacing w:after="200"/>
        <w:jc w:val="both"/>
      </w:pPr>
      <w:r>
        <w:rPr>
          <w:rFonts w:ascii="Arial" w:cs="Arial" w:eastAsia="Arial" w:hAnsi="Arial"/>
          <w:color w:val="516079"/>
          <w:sz w:val="21"/>
          <w:szCs w:val="21"/>
        </w:rPr>
        <w:t xml:space="preserve">El primer mes se construye y pone en marcha el agente. Del segundo al sexto mes se acompaña la operación, se corrigen fallas y se mejora el agente con el uso real del equipo.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010C2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6"/>
                <w:szCs w:val="16"/>
              </w:rPr>
              <w:t xml:space="preserve">FASE</w:t>
            </w:r>
          </w:p>
        </w:tc>
        <w:tc>
          <w:tcPr>
            <w:tcW w:type="dxa" w:w="662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010C2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6"/>
                <w:szCs w:val="16"/>
              </w:rPr>
              <w:t xml:space="preserve">ENTREGABLE</w:t>
            </w:r>
          </w:p>
        </w:tc>
      </w:tr>
      <w:tr>
        <w:tc>
          <w:tcPr>
            <w:tcW w:type="dxa" w:w="24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AF1F8" w:val="clear"/>
            <w:tcMar>
              <w:top w:type="dxa" w:w="120"/>
              <w:left w:type="dxa" w:w="140"/>
              <w:bottom w:type="dxa" w:w="12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4B4"/>
                <w:sz w:val="19"/>
                <w:szCs w:val="19"/>
              </w:rPr>
              <w:t xml:space="preserve">Días 1–3</w:t>
            </w:r>
          </w:p>
          <w:p>
            <w:pPr>
              <w:spacing w:before="24"/>
            </w:pPr>
            <w:r>
              <w:rPr>
                <w:rFonts w:ascii="Arial" w:cs="Arial" w:eastAsia="Arial" w:hAnsi="Arial"/>
                <w:color w:val="516079"/>
                <w:sz w:val="14"/>
                <w:szCs w:val="14"/>
              </w:rPr>
              <w:t xml:space="preserve">Arranque</w:t>
            </w:r>
          </w:p>
        </w:tc>
        <w:tc>
          <w:tcPr>
            <w:tcW w:type="dxa" w:w="662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10C22"/>
                <w:sz w:val="20"/>
                <w:szCs w:val="20"/>
              </w:rPr>
              <w:t xml:space="preserve">Accesos, cuentas e insumos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Creación de las cuentas de servicios a nombre del canal, app de Meta y usuario del sistema para publicar, número de WhatsApp del agente, manual de marca, ejemplos de titulares preferidos y reglas editoriales.</w:t>
            </w:r>
          </w:p>
        </w:tc>
      </w:tr>
      <w:tr>
        <w:tc>
          <w:tcPr>
            <w:tcW w:type="dxa" w:w="24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AF1F8" w:val="clear"/>
            <w:tcMar>
              <w:top w:type="dxa" w:w="120"/>
              <w:left w:type="dxa" w:w="140"/>
              <w:bottom w:type="dxa" w:w="12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4B4"/>
                <w:sz w:val="19"/>
                <w:szCs w:val="19"/>
              </w:rPr>
              <w:t xml:space="preserve">Semana 1</w:t>
            </w:r>
          </w:p>
          <w:p>
            <w:pPr>
              <w:spacing w:before="24"/>
            </w:pPr>
            <w:r>
              <w:rPr>
                <w:rFonts w:ascii="Arial" w:cs="Arial" w:eastAsia="Arial" w:hAnsi="Arial"/>
                <w:color w:val="516079"/>
                <w:sz w:val="14"/>
                <w:szCs w:val="14"/>
              </w:rPr>
              <w:t xml:space="preserve">Mes 1</w:t>
            </w:r>
          </w:p>
        </w:tc>
        <w:tc>
          <w:tcPr>
            <w:tcW w:type="dxa" w:w="662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10C22"/>
                <w:sz w:val="20"/>
                <w:szCs w:val="20"/>
              </w:rPr>
              <w:t xml:space="preserve">Base técnica e ingesta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Infraestructura, base de datos, login con roles, recepción de videos, enlaces y documentos, detección automática de nuevas publicaciones y transcripción.</w:t>
            </w:r>
          </w:p>
        </w:tc>
      </w:tr>
      <w:tr>
        <w:tc>
          <w:tcPr>
            <w:tcW w:type="dxa" w:w="24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AF1F8" w:val="clear"/>
            <w:tcMar>
              <w:top w:type="dxa" w:w="120"/>
              <w:left w:type="dxa" w:w="140"/>
              <w:bottom w:type="dxa" w:w="12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4B4"/>
                <w:sz w:val="19"/>
                <w:szCs w:val="19"/>
              </w:rPr>
              <w:t xml:space="preserve">Semana 2</w:t>
            </w:r>
          </w:p>
          <w:p>
            <w:pPr>
              <w:spacing w:before="24"/>
            </w:pPr>
            <w:r>
              <w:rPr>
                <w:rFonts w:ascii="Arial" w:cs="Arial" w:eastAsia="Arial" w:hAnsi="Arial"/>
                <w:color w:val="516079"/>
                <w:sz w:val="14"/>
                <w:szCs w:val="14"/>
              </w:rPr>
              <w:t xml:space="preserve">Mes 1</w:t>
            </w:r>
          </w:p>
        </w:tc>
        <w:tc>
          <w:tcPr>
            <w:tcW w:type="dxa" w:w="662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10C22"/>
                <w:sz w:val="20"/>
                <w:szCs w:val="20"/>
              </w:rPr>
              <w:t xml:space="preserve">Agente de contenido + panel de revisión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Titulares con captura, clips verticales, nota y artes con la marca del canal; verificación de citas; panel para editar y pedir variantes. Demostración intermedia con el equipo.</w:t>
            </w:r>
          </w:p>
        </w:tc>
      </w:tr>
      <w:tr>
        <w:tc>
          <w:tcPr>
            <w:tcW w:type="dxa" w:w="24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AF1F8" w:val="clear"/>
            <w:tcMar>
              <w:top w:type="dxa" w:w="120"/>
              <w:left w:type="dxa" w:w="140"/>
              <w:bottom w:type="dxa" w:w="12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4B4"/>
                <w:sz w:val="19"/>
                <w:szCs w:val="19"/>
              </w:rPr>
              <w:t xml:space="preserve">Semana 3</w:t>
            </w:r>
          </w:p>
          <w:p>
            <w:pPr>
              <w:spacing w:before="24"/>
            </w:pPr>
            <w:r>
              <w:rPr>
                <w:rFonts w:ascii="Arial" w:cs="Arial" w:eastAsia="Arial" w:hAnsi="Arial"/>
                <w:color w:val="516079"/>
                <w:sz w:val="14"/>
                <w:szCs w:val="14"/>
              </w:rPr>
              <w:t xml:space="preserve">Mes 1</w:t>
            </w:r>
          </w:p>
        </w:tc>
        <w:tc>
          <w:tcPr>
            <w:tcW w:type="dxa" w:w="662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10C22"/>
                <w:sz w:val="20"/>
                <w:szCs w:val="20"/>
              </w:rPr>
              <w:t xml:space="preserve">Aprobación, archivo y publicación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Aprobación por WhatsApp, constancia por email, archivo en Google Drive y publicación en la Página de Facebook del canal.</w:t>
            </w:r>
          </w:p>
        </w:tc>
      </w:tr>
      <w:tr>
        <w:tc>
          <w:tcPr>
            <w:tcW w:type="dxa" w:w="24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AF1F8" w:val="clear"/>
            <w:tcMar>
              <w:top w:type="dxa" w:w="120"/>
              <w:left w:type="dxa" w:w="140"/>
              <w:bottom w:type="dxa" w:w="12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4B4"/>
                <w:sz w:val="19"/>
                <w:szCs w:val="19"/>
              </w:rPr>
              <w:t xml:space="preserve">Semana 4</w:t>
            </w:r>
          </w:p>
          <w:p>
            <w:pPr>
              <w:spacing w:before="24"/>
            </w:pPr>
            <w:r>
              <w:rPr>
                <w:rFonts w:ascii="Arial" w:cs="Arial" w:eastAsia="Arial" w:hAnsi="Arial"/>
                <w:color w:val="516079"/>
                <w:sz w:val="14"/>
                <w:szCs w:val="14"/>
              </w:rPr>
              <w:t xml:space="preserve">Mes 1</w:t>
            </w:r>
          </w:p>
        </w:tc>
        <w:tc>
          <w:tcPr>
            <w:tcW w:type="dxa" w:w="662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10C22"/>
                <w:sz w:val="20"/>
                <w:szCs w:val="20"/>
              </w:rPr>
              <w:t xml:space="preserve">Marcha blanca, capacitación y entrega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Procesamiento de 10 entrevistas reales con el equipo, ajustes de estilo, seguridad y respaldos, capacitación al gerente y a producción, manual de uso y acta de entrega.</w:t>
            </w:r>
          </w:p>
        </w:tc>
      </w:tr>
      <w:tr>
        <w:tc>
          <w:tcPr>
            <w:tcW w:type="dxa" w:w="24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AF1F8" w:val="clear"/>
            <w:tcMar>
              <w:top w:type="dxa" w:w="120"/>
              <w:left w:type="dxa" w:w="140"/>
              <w:bottom w:type="dxa" w:w="12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4B4"/>
                <w:sz w:val="19"/>
                <w:szCs w:val="19"/>
              </w:rPr>
              <w:t xml:space="preserve">Meses 2–6</w:t>
            </w:r>
          </w:p>
          <w:p>
            <w:pPr>
              <w:spacing w:before="24"/>
            </w:pPr>
            <w:r>
              <w:rPr>
                <w:rFonts w:ascii="Arial" w:cs="Arial" w:eastAsia="Arial" w:hAnsi="Arial"/>
                <w:color w:val="516079"/>
                <w:sz w:val="14"/>
                <w:szCs w:val="14"/>
              </w:rPr>
              <w:t xml:space="preserve">Acompañamiento</w:t>
            </w:r>
          </w:p>
        </w:tc>
        <w:tc>
          <w:tcPr>
            <w:tcW w:type="dxa" w:w="662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10C22"/>
                <w:sz w:val="20"/>
                <w:szCs w:val="20"/>
              </w:rPr>
              <w:t xml:space="preserve">Operación y mejora continua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Monitoreo, corrección de fallas y adaptación a cambios de YouTube y Meta; aprendizaje con los titulares aprobados, nuevas plantillas de arte, métricas de Facebook y reporte mensual de resultados. Evaluación final en el mes 6.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010C22"/>
          <w:sz w:val="20"/>
          <w:szCs w:val="20"/>
        </w:rPr>
        <w:t xml:space="preserve">IMPACTO ESPERADO </w:t>
      </w:r>
      <w:r>
        <w:rPr>
          <w:rFonts w:ascii="Arial" w:cs="Arial" w:eastAsia="Arial" w:hAnsi="Arial"/>
          <w:color w:val="516079"/>
          <w:sz w:val="16"/>
          <w:szCs w:val="16"/>
        </w:rPr>
        <w:t xml:space="preserve">(estimaciones conservadoras)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010C22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Minutos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F3FB"/>
                <w:sz w:val="15"/>
                <w:szCs w:val="15"/>
              </w:rPr>
              <w:t xml:space="preserve">De la entrevista a las propuestas listas</w:t>
            </w:r>
          </w:p>
        </w:tc>
        <w:tc>
          <w:tcPr>
            <w:tcW w:type="dxa" w:w="3008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010C22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−80%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F3FB"/>
                <w:sz w:val="15"/>
                <w:szCs w:val="15"/>
              </w:rPr>
              <w:t xml:space="preserve">Tiempo de producción por entrevista</w:t>
            </w:r>
          </w:p>
        </w:tc>
        <w:tc>
          <w:tcPr>
            <w:tcW w:type="dxa" w:w="301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010C22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x3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F3FB"/>
                <w:sz w:val="15"/>
                <w:szCs w:val="15"/>
              </w:rPr>
              <w:t xml:space="preserve">Piezas publicables por cada entrevista</w:t>
            </w:r>
          </w:p>
        </w:tc>
      </w:tr>
      <w:tr>
        <w:tc>
          <w:tcPr>
            <w:tcW w:type="dxa" w:w="3008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010C22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F3FB"/>
                <w:sz w:val="15"/>
                <w:szCs w:val="15"/>
              </w:rPr>
              <w:t xml:space="preserve">Citas inventadas: todo verificado</w:t>
            </w:r>
          </w:p>
        </w:tc>
        <w:tc>
          <w:tcPr>
            <w:tcW w:type="dxa" w:w="3008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010C22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 toque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F3FB"/>
                <w:sz w:val="15"/>
                <w:szCs w:val="15"/>
              </w:rPr>
              <w:t xml:space="preserve">Aprobación del gerente desde WhatsApp</w:t>
            </w:r>
          </w:p>
        </w:tc>
        <w:tc>
          <w:tcPr>
            <w:tcW w:type="dxa" w:w="301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010C22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F3FB"/>
                <w:sz w:val="15"/>
                <w:szCs w:val="15"/>
              </w:rPr>
              <w:t xml:space="preserve">Trazabilidad de lo aprobado y publicado</w:t>
            </w:r>
          </w:p>
        </w:tc>
      </w:tr>
    </w:tbl>
    <w:p>
      <w:pPr>
        <w:pageBreakBefore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0064B4"/>
          <w:spacing w:val="30"/>
          <w:sz w:val="17"/>
          <w:szCs w:val="17"/>
        </w:rPr>
        <w:t xml:space="preserve">PROPUESTA ECONÓMICA</w:t>
      </w:r>
    </w:p>
    <w:p>
      <w:pPr>
        <w:keepNext/>
        <w:spacing w:after="120"/>
      </w:pPr>
      <w:r>
        <w:rPr>
          <w:rFonts w:ascii="Arial" w:cs="Arial" w:eastAsia="Arial" w:hAnsi="Arial"/>
          <w:b/>
          <w:bCs/>
          <w:color w:val="010C22"/>
          <w:sz w:val="40"/>
          <w:szCs w:val="40"/>
        </w:rPr>
        <w:t xml:space="preserve">Inversión del proyecto</w:t>
      </w:r>
    </w:p>
    <w:p>
      <w:pPr>
        <w:spacing w:after="200"/>
        <w:jc w:val="both"/>
      </w:pPr>
      <w:r>
        <w:rPr>
          <w:rFonts w:ascii="Arial" w:cs="Arial" w:eastAsia="Arial" w:hAnsi="Arial"/>
          <w:color w:val="516079"/>
          <w:sz w:val="21"/>
          <w:szCs w:val="21"/>
        </w:rPr>
        <w:t xml:space="preserve">La inversión se compone de los honorarios de Quinto Eje por el desarrollo, la implementación y el acompañamiento durante 6 meses, y de los servicios tecnológicos de terceros que asume el canal y se pagan directamente a cada proveedor. Las filas sombreadas corresponden a honorarios de Quinto Eje.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10C22"/>
          <w:sz w:val="24"/>
          <w:szCs w:val="24"/>
        </w:rPr>
        <w:t xml:space="preserve">1 · Honorarios Quinto Eje (6 meses)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776"/>
        <w:gridCol w:w="1300"/>
        <w:gridCol w:w="1700"/>
      </w:tblGrid>
      <w:tr>
        <w:trPr>
          <w:tblHeader/>
        </w:trPr>
        <w:tc>
          <w:tcPr>
            <w:tcW w:type="dxa" w:w="225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010C2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6"/>
                <w:szCs w:val="16"/>
              </w:rPr>
              <w:t xml:space="preserve">CONCEPTO</w:t>
            </w:r>
          </w:p>
        </w:tc>
        <w:tc>
          <w:tcPr>
            <w:tcW w:type="dxa" w:w="377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010C2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6"/>
                <w:szCs w:val="16"/>
              </w:rPr>
              <w:t xml:space="preserve">DETALLE / PROVEEDOR</w:t>
            </w:r>
          </w:p>
        </w:tc>
        <w:tc>
          <w:tcPr>
            <w:tcW w:type="dxa" w:w="13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010C2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6"/>
                <w:szCs w:val="16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010C2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6"/>
                <w:szCs w:val="16"/>
              </w:rPr>
              <w:t xml:space="preserve">COSTO ESTIMADO</w:t>
            </w:r>
          </w:p>
        </w:tc>
      </w:tr>
      <w:tr>
        <w:tc>
          <w:tcPr>
            <w:tcW w:type="dxa" w:w="225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3EEFA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0C22"/>
                <w:sz w:val="16"/>
                <w:szCs w:val="16"/>
              </w:rPr>
              <w:t xml:space="preserve">Desarrollo, implementación y acompañamiento</w:t>
            </w:r>
          </w:p>
        </w:tc>
        <w:tc>
          <w:tcPr>
            <w:tcW w:type="dxa" w:w="377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3EE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Quinto Eje · desarrollo completo del agente en el mes 1; operación, soporte, corrección de fallas y mejora continua en los meses 2 a 6. Incluye un desarrollador dedicado durante los 6 meses con licencia profesional Claude Max de Anthropic para desarrollo asistido por IA, capacitación del equipo, manual de uso y reporte mensual.</w:t>
            </w:r>
          </w:p>
        </w:tc>
        <w:tc>
          <w:tcPr>
            <w:tcW w:type="dxa" w:w="13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3EE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16079"/>
                <w:sz w:val="14"/>
                <w:szCs w:val="14"/>
              </w:rPr>
              <w:t xml:space="preserve">Mensual · 6 meses</w:t>
            </w:r>
          </w:p>
        </w:tc>
        <w:tc>
          <w:tcPr>
            <w:tcW w:type="dxa" w:w="17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3EE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B4"/>
                <w:sz w:val="16"/>
                <w:szCs w:val="16"/>
              </w:rPr>
              <w:t xml:space="preserve">4.000 Bs / mes</w:t>
            </w:r>
          </w:p>
        </w:tc>
      </w:tr>
    </w:tbl>
    <w:p>
      <w:pPr>
        <w:spacing w:before="40"/>
      </w:pPr>
      <w:r>
        <w:rPr>
          <w:rFonts w:ascii="Arial" w:cs="Arial" w:eastAsia="Arial" w:hAnsi="Arial"/>
          <w:i/>
          <w:iCs/>
          <w:color w:val="516079"/>
          <w:sz w:val="14"/>
          <w:szCs w:val="14"/>
        </w:rPr>
        <w:t xml:space="preserve">Desde el mes 7, el plan de mantenimiento y evolución se define de común acuerdo en la evaluación de resultados del mes 6.</w:t>
      </w:r>
    </w:p>
    <w:p>
      <w:pPr>
        <w:spacing w:after="6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10C22"/>
          <w:sz w:val="24"/>
          <w:szCs w:val="24"/>
        </w:rPr>
        <w:t xml:space="preserve">2 · Servicios tecnológicos de terceros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776"/>
        <w:gridCol w:w="1300"/>
        <w:gridCol w:w="1700"/>
      </w:tblGrid>
      <w:tr>
        <w:trPr>
          <w:tblHeader/>
        </w:trPr>
        <w:tc>
          <w:tcPr>
            <w:tcW w:type="dxa" w:w="225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010C2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6"/>
                <w:szCs w:val="16"/>
              </w:rPr>
              <w:t xml:space="preserve">CONCEPTO</w:t>
            </w:r>
          </w:p>
        </w:tc>
        <w:tc>
          <w:tcPr>
            <w:tcW w:type="dxa" w:w="377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010C2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6"/>
                <w:szCs w:val="16"/>
              </w:rPr>
              <w:t xml:space="preserve">DETALLE / PROVEEDOR</w:t>
            </w:r>
          </w:p>
        </w:tc>
        <w:tc>
          <w:tcPr>
            <w:tcW w:type="dxa" w:w="13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010C2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6"/>
                <w:szCs w:val="16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010C2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6"/>
                <w:szCs w:val="16"/>
              </w:rPr>
              <w:t xml:space="preserve">COSTO ESTIMADO</w:t>
            </w:r>
          </w:p>
        </w:tc>
      </w:tr>
      <w:tr>
        <w:tc>
          <w:tcPr>
            <w:tcW w:type="dxa" w:w="225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10C22"/>
                <w:sz w:val="16"/>
                <w:szCs w:val="16"/>
              </w:rPr>
              <w:t xml:space="preserve">Inteligencia artificial</w:t>
            </w:r>
          </w:p>
        </w:tc>
        <w:tc>
          <w:tcPr>
            <w:tcW w:type="dxa" w:w="377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516079"/>
                <w:sz w:val="15"/>
                <w:szCs w:val="15"/>
              </w:rPr>
              <w:t xml:space="preserve">Anthropic · API de Claude (análisis y redacción)</w:t>
            </w:r>
          </w:p>
        </w:tc>
        <w:tc>
          <w:tcPr>
            <w:tcW w:type="dxa" w:w="13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16079"/>
                <w:sz w:val="14"/>
                <w:szCs w:val="14"/>
              </w:rPr>
              <w:t xml:space="preserve">Recurrente</w:t>
            </w:r>
          </w:p>
        </w:tc>
        <w:tc>
          <w:tcPr>
            <w:tcW w:type="dxa" w:w="17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≈ $16–30 / mes</w:t>
            </w:r>
          </w:p>
        </w:tc>
      </w:tr>
      <w:tr>
        <w:tc>
          <w:tcPr>
            <w:tcW w:type="dxa" w:w="225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10C22"/>
                <w:sz w:val="16"/>
                <w:szCs w:val="16"/>
              </w:rPr>
              <w:t xml:space="preserve">Base de datos, acceso y archivos</w:t>
            </w:r>
          </w:p>
        </w:tc>
        <w:tc>
          <w:tcPr>
            <w:tcW w:type="dxa" w:w="377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516079"/>
                <w:sz w:val="15"/>
                <w:szCs w:val="15"/>
              </w:rPr>
              <w:t xml:space="preserve">Supabase · plan Pro</w:t>
            </w:r>
          </w:p>
        </w:tc>
        <w:tc>
          <w:tcPr>
            <w:tcW w:type="dxa" w:w="13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16079"/>
                <w:sz w:val="14"/>
                <w:szCs w:val="14"/>
              </w:rPr>
              <w:t xml:space="preserve">Recurrente</w:t>
            </w:r>
          </w:p>
        </w:tc>
        <w:tc>
          <w:tcPr>
            <w:tcW w:type="dxa" w:w="17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≈ $25 / mes</w:t>
            </w:r>
          </w:p>
        </w:tc>
      </w:tr>
      <w:tr>
        <w:tc>
          <w:tcPr>
            <w:tcW w:type="dxa" w:w="225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10C22"/>
                <w:sz w:val="16"/>
                <w:szCs w:val="16"/>
              </w:rPr>
              <w:t xml:space="preserve">Servidores (panel + procesamiento)</w:t>
            </w:r>
          </w:p>
        </w:tc>
        <w:tc>
          <w:tcPr>
            <w:tcW w:type="dxa" w:w="377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516079"/>
                <w:sz w:val="15"/>
                <w:szCs w:val="15"/>
              </w:rPr>
              <w:t xml:space="preserve">Render · servicio web y trabajador</w:t>
            </w:r>
          </w:p>
        </w:tc>
        <w:tc>
          <w:tcPr>
            <w:tcW w:type="dxa" w:w="13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16079"/>
                <w:sz w:val="14"/>
                <w:szCs w:val="14"/>
              </w:rPr>
              <w:t xml:space="preserve">Recurrente</w:t>
            </w:r>
          </w:p>
        </w:tc>
        <w:tc>
          <w:tcPr>
            <w:tcW w:type="dxa" w:w="17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≈ $32 / mes</w:t>
            </w:r>
          </w:p>
        </w:tc>
      </w:tr>
      <w:tr>
        <w:tc>
          <w:tcPr>
            <w:tcW w:type="dxa" w:w="225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10C22"/>
                <w:sz w:val="16"/>
                <w:szCs w:val="16"/>
              </w:rPr>
              <w:t xml:space="preserve">Transcripción</w:t>
            </w:r>
          </w:p>
        </w:tc>
        <w:tc>
          <w:tcPr>
            <w:tcW w:type="dxa" w:w="377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516079"/>
                <w:sz w:val="15"/>
                <w:szCs w:val="15"/>
              </w:rPr>
              <w:t xml:space="preserve">Groq · Whisper (≈ 60 h de audio al mes)</w:t>
            </w:r>
          </w:p>
        </w:tc>
        <w:tc>
          <w:tcPr>
            <w:tcW w:type="dxa" w:w="13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16079"/>
                <w:sz w:val="14"/>
                <w:szCs w:val="14"/>
              </w:rPr>
              <w:t xml:space="preserve">Recurrente</w:t>
            </w:r>
          </w:p>
        </w:tc>
        <w:tc>
          <w:tcPr>
            <w:tcW w:type="dxa" w:w="17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≈ $3 / mes</w:t>
            </w:r>
          </w:p>
        </w:tc>
      </w:tr>
      <w:tr>
        <w:tc>
          <w:tcPr>
            <w:tcW w:type="dxa" w:w="225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10C22"/>
                <w:sz w:val="16"/>
                <w:szCs w:val="16"/>
              </w:rPr>
              <w:t xml:space="preserve">Descarga desde YouTube</w:t>
            </w:r>
          </w:p>
        </w:tc>
        <w:tc>
          <w:tcPr>
            <w:tcW w:type="dxa" w:w="377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516079"/>
                <w:sz w:val="15"/>
                <w:szCs w:val="15"/>
              </w:rPr>
              <w:t xml:space="preserve">Proxy residencial (Decodo / IPRoyal)</w:t>
            </w:r>
          </w:p>
        </w:tc>
        <w:tc>
          <w:tcPr>
            <w:tcW w:type="dxa" w:w="13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16079"/>
                <w:sz w:val="14"/>
                <w:szCs w:val="14"/>
              </w:rPr>
              <w:t xml:space="preserve">Recurrente</w:t>
            </w:r>
          </w:p>
        </w:tc>
        <w:tc>
          <w:tcPr>
            <w:tcW w:type="dxa" w:w="17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≈ $11–21 / mes</w:t>
            </w:r>
          </w:p>
        </w:tc>
      </w:tr>
      <w:tr>
        <w:tc>
          <w:tcPr>
            <w:tcW w:type="dxa" w:w="225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10C22"/>
                <w:sz w:val="16"/>
                <w:szCs w:val="16"/>
              </w:rPr>
              <w:t xml:space="preserve">WhatsApp de aprobación</w:t>
            </w:r>
          </w:p>
        </w:tc>
        <w:tc>
          <w:tcPr>
            <w:tcW w:type="dxa" w:w="377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516079"/>
                <w:sz w:val="15"/>
                <w:szCs w:val="15"/>
              </w:rPr>
              <w:t xml:space="preserve">Meta · WhatsApp Cloud API</w:t>
            </w:r>
          </w:p>
        </w:tc>
        <w:tc>
          <w:tcPr>
            <w:tcW w:type="dxa" w:w="13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16079"/>
                <w:sz w:val="14"/>
                <w:szCs w:val="14"/>
              </w:rPr>
              <w:t xml:space="preserve">Recurrente</w:t>
            </w:r>
          </w:p>
        </w:tc>
        <w:tc>
          <w:tcPr>
            <w:tcW w:type="dxa" w:w="17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≈ $2 / mes</w:t>
            </w:r>
          </w:p>
        </w:tc>
      </w:tr>
      <w:tr>
        <w:tc>
          <w:tcPr>
            <w:tcW w:type="dxa" w:w="225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10C22"/>
                <w:sz w:val="16"/>
                <w:szCs w:val="16"/>
              </w:rPr>
              <w:t xml:space="preserve">Publicación en Facebook</w:t>
            </w:r>
          </w:p>
        </w:tc>
        <w:tc>
          <w:tcPr>
            <w:tcW w:type="dxa" w:w="377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516079"/>
                <w:sz w:val="15"/>
                <w:szCs w:val="15"/>
              </w:rPr>
              <w:t xml:space="preserve">Meta · Graph API (negocio ya verificado)</w:t>
            </w:r>
          </w:p>
        </w:tc>
        <w:tc>
          <w:tcPr>
            <w:tcW w:type="dxa" w:w="13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16079"/>
                <w:sz w:val="14"/>
                <w:szCs w:val="14"/>
              </w:rPr>
              <w:t xml:space="preserve">Recurrente</w:t>
            </w:r>
          </w:p>
        </w:tc>
        <w:tc>
          <w:tcPr>
            <w:tcW w:type="dxa" w:w="17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Sin costo</w:t>
            </w:r>
          </w:p>
        </w:tc>
      </w:tr>
      <w:tr>
        <w:tc>
          <w:tcPr>
            <w:tcW w:type="dxa" w:w="225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10C22"/>
                <w:sz w:val="16"/>
                <w:szCs w:val="16"/>
              </w:rPr>
              <w:t xml:space="preserve">Email de constancias</w:t>
            </w:r>
          </w:p>
        </w:tc>
        <w:tc>
          <w:tcPr>
            <w:tcW w:type="dxa" w:w="377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516079"/>
                <w:sz w:val="15"/>
                <w:szCs w:val="15"/>
              </w:rPr>
              <w:t xml:space="preserve">Resend · plan gratuito</w:t>
            </w:r>
          </w:p>
        </w:tc>
        <w:tc>
          <w:tcPr>
            <w:tcW w:type="dxa" w:w="13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16079"/>
                <w:sz w:val="14"/>
                <w:szCs w:val="14"/>
              </w:rPr>
              <w:t xml:space="preserve">Recurrente</w:t>
            </w:r>
          </w:p>
        </w:tc>
        <w:tc>
          <w:tcPr>
            <w:tcW w:type="dxa" w:w="17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Sin costo</w:t>
            </w:r>
          </w:p>
        </w:tc>
      </w:tr>
      <w:tr>
        <w:tc>
          <w:tcPr>
            <w:tcW w:type="dxa" w:w="225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10C22"/>
                <w:sz w:val="16"/>
                <w:szCs w:val="16"/>
              </w:rPr>
              <w:t xml:space="preserve">Archivo de productos</w:t>
            </w:r>
          </w:p>
        </w:tc>
        <w:tc>
          <w:tcPr>
            <w:tcW w:type="dxa" w:w="377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516079"/>
                <w:sz w:val="15"/>
                <w:szCs w:val="15"/>
              </w:rPr>
              <w:t xml:space="preserve">Google Drive del canal (cuenta existente)</w:t>
            </w:r>
          </w:p>
        </w:tc>
        <w:tc>
          <w:tcPr>
            <w:tcW w:type="dxa" w:w="13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16079"/>
                <w:sz w:val="14"/>
                <w:szCs w:val="14"/>
              </w:rPr>
              <w:t xml:space="preserve">Recurrente</w:t>
            </w:r>
          </w:p>
        </w:tc>
        <w:tc>
          <w:tcPr>
            <w:tcW w:type="dxa" w:w="17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Sin costo</w:t>
            </w:r>
          </w:p>
        </w:tc>
      </w:tr>
      <w:tr>
        <w:tc>
          <w:tcPr>
            <w:tcW w:type="dxa" w:w="225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10C22"/>
                <w:sz w:val="16"/>
                <w:szCs w:val="16"/>
              </w:rPr>
              <w:t xml:space="preserve">Dominio del panel</w:t>
            </w:r>
          </w:p>
        </w:tc>
        <w:tc>
          <w:tcPr>
            <w:tcW w:type="dxa" w:w="377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516079"/>
                <w:sz w:val="15"/>
                <w:szCs w:val="15"/>
              </w:rPr>
              <w:t xml:space="preserve">Registro de dominio o subdominio</w:t>
            </w:r>
          </w:p>
        </w:tc>
        <w:tc>
          <w:tcPr>
            <w:tcW w:type="dxa" w:w="13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16079"/>
                <w:sz w:val="14"/>
                <w:szCs w:val="14"/>
              </w:rPr>
              <w:t xml:space="preserve">Recurrente</w:t>
            </w:r>
          </w:p>
        </w:tc>
        <w:tc>
          <w:tcPr>
            <w:tcW w:type="dxa" w:w="17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≈ $12 / año</w:t>
            </w:r>
          </w:p>
        </w:tc>
      </w:tr>
    </w:tbl>
    <w:p>
      <w:pPr>
        <w:spacing w:before="40"/>
      </w:pPr>
      <w:r>
        <w:rPr>
          <w:rFonts w:ascii="Arial" w:cs="Arial" w:eastAsia="Arial" w:hAnsi="Arial"/>
          <w:i/>
          <w:iCs/>
          <w:color w:val="516079"/>
          <w:sz w:val="14"/>
          <w:szCs w:val="14"/>
        </w:rPr>
        <w:t xml:space="preserve">Estimación para un volumen de 40 entrevistas al mes de unos 90 minutos. El costo real depende del uso.</w:t>
      </w:r>
    </w:p>
    <w:p>
      <w:pPr>
        <w:spacing w:after="6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10C22"/>
          <w:sz w:val="24"/>
          <w:szCs w:val="24"/>
        </w:rPr>
        <w:t xml:space="preserve">Resumen de inversión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200"/>
        <w:gridCol w:w="1800"/>
      </w:tblGrid>
      <w:tr>
        <w:trPr>
          <w:tblHeader/>
        </w:trPr>
        <w:tc>
          <w:tcPr>
            <w:tcW w:type="dxa" w:w="502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010C2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6"/>
                <w:szCs w:val="16"/>
              </w:rPr>
              <w:t xml:space="preserve">CONCEPTO</w:t>
            </w:r>
          </w:p>
        </w:tc>
        <w:tc>
          <w:tcPr>
            <w:tcW w:type="dxa" w:w="22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010C2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6"/>
                <w:szCs w:val="16"/>
              </w:rPr>
              <w:t xml:space="preserve">DETALLE</w:t>
            </w:r>
          </w:p>
        </w:tc>
        <w:tc>
          <w:tcPr>
            <w:tcW w:type="dxa" w:w="18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010C2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6"/>
                <w:szCs w:val="16"/>
              </w:rPr>
              <w:t xml:space="preserve">ESTIMADO</w:t>
            </w:r>
          </w:p>
        </w:tc>
      </w:tr>
      <w:tr>
        <w:tc>
          <w:tcPr>
            <w:tcW w:type="dxa" w:w="502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3EEFA" w:val="clear"/>
            <w:tcMar>
              <w:top w:type="dxa" w:w="90"/>
              <w:left w:type="dxa" w:w="14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10C22"/>
                <w:sz w:val="17"/>
                <w:szCs w:val="17"/>
              </w:rPr>
              <w:t xml:space="preserve">Honorarios Quinto Eje</w:t>
            </w:r>
          </w:p>
        </w:tc>
        <w:tc>
          <w:tcPr>
            <w:tcW w:type="dxa" w:w="22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3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516079"/>
                <w:sz w:val="15"/>
                <w:szCs w:val="15"/>
              </w:rPr>
              <w:t xml:space="preserve">Desarrollo + acompañamiento, 6 cuotas mensuales</w:t>
            </w:r>
          </w:p>
        </w:tc>
        <w:tc>
          <w:tcPr>
            <w:tcW w:type="dxa" w:w="18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E3EE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B4"/>
                <w:sz w:val="18"/>
                <w:szCs w:val="18"/>
              </w:rPr>
              <w:t xml:space="preserve">4.000 Bs / mes</w:t>
            </w:r>
          </w:p>
        </w:tc>
      </w:tr>
      <w:tr>
        <w:tc>
          <w:tcPr>
            <w:tcW w:type="dxa" w:w="502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10C22"/>
                <w:sz w:val="17"/>
                <w:szCs w:val="17"/>
              </w:rPr>
              <w:t xml:space="preserve">Total honorarios del proyecto</w:t>
            </w:r>
          </w:p>
        </w:tc>
        <w:tc>
          <w:tcPr>
            <w:tcW w:type="dxa" w:w="22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516079"/>
                <w:sz w:val="15"/>
                <w:szCs w:val="15"/>
              </w:rPr>
              <w:t xml:space="preserve">Meses 1 a 6</w:t>
            </w:r>
          </w:p>
        </w:tc>
        <w:tc>
          <w:tcPr>
            <w:tcW w:type="dxa" w:w="18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B4"/>
                <w:sz w:val="18"/>
                <w:szCs w:val="18"/>
              </w:rPr>
              <w:t xml:space="preserve">24.000 Bs</w:t>
            </w:r>
          </w:p>
        </w:tc>
      </w:tr>
      <w:tr>
        <w:tc>
          <w:tcPr>
            <w:tcW w:type="dxa" w:w="502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10C22"/>
                <w:sz w:val="17"/>
                <w:szCs w:val="17"/>
              </w:rPr>
              <w:t xml:space="preserve">Servicios de terceros</w:t>
            </w:r>
          </w:p>
        </w:tc>
        <w:tc>
          <w:tcPr>
            <w:tcW w:type="dxa" w:w="22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516079"/>
                <w:sz w:val="15"/>
                <w:szCs w:val="15"/>
              </w:rPr>
              <w:t xml:space="preserve">Pago directo del canal a cada proveedor</w:t>
            </w:r>
          </w:p>
        </w:tc>
        <w:tc>
          <w:tcPr>
            <w:tcW w:type="dxa" w:w="18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B4"/>
                <w:sz w:val="18"/>
                <w:szCs w:val="18"/>
              </w:rPr>
              <w:t xml:space="preserve">≈ $90–115 / mes</w:t>
            </w:r>
          </w:p>
        </w:tc>
      </w:tr>
      <w:tr>
        <w:tc>
          <w:tcPr>
            <w:tcW w:type="dxa" w:w="5026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10C22"/>
                <w:sz w:val="17"/>
                <w:szCs w:val="17"/>
              </w:rPr>
              <w:t xml:space="preserve">Servicios de terceros en bolivianos</w:t>
            </w:r>
          </w:p>
        </w:tc>
        <w:tc>
          <w:tcPr>
            <w:tcW w:type="dxa" w:w="22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516079"/>
                <w:sz w:val="15"/>
                <w:szCs w:val="15"/>
              </w:rPr>
              <w:t xml:space="preserve">Al tipo de cambio oficial BCB de 11,97 Bs (06/10/2026)</w:t>
            </w:r>
          </w:p>
        </w:tc>
        <w:tc>
          <w:tcPr>
            <w:tcW w:type="dxa" w:w="1800"/>
            <w:tcBorders>
              <w:top w:val="single" w:color="C7D4E2" w:sz="4"/>
              <w:left w:val="single" w:color="C7D4E2" w:sz="4"/>
              <w:bottom w:val="single" w:color="C7D4E2" w:sz="4"/>
              <w:right w:val="single" w:color="C7D4E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B4"/>
                <w:sz w:val="18"/>
                <w:szCs w:val="18"/>
              </w:rPr>
              <w:t xml:space="preserve">≈ 1.080–1.380 Bs / mes</w:t>
            </w:r>
          </w:p>
        </w:tc>
      </w:tr>
    </w:tbl>
    <w:p>
      <w:pPr>
        <w:spacing w:before="160"/>
        <w:jc w:val="both"/>
      </w:pPr>
      <w:r>
        <w:rPr>
          <w:rFonts w:ascii="Arial" w:cs="Arial" w:eastAsia="Arial" w:hAnsi="Arial"/>
          <w:i/>
          <w:iCs/>
          <w:color w:val="516079"/>
          <w:sz w:val="15"/>
          <w:szCs w:val="15"/>
        </w:rPr>
        <w:t xml:space="preserve">Nota 1: Los honorarios se pagan por mes adelantado. El plazo de un mes para el agente operativo corre desde la entrega de los accesos e insumos de la etapa de arranque.</w:t>
      </w:r>
    </w:p>
    <w:p>
      <w:pPr>
        <w:spacing w:before="60"/>
        <w:jc w:val="both"/>
      </w:pPr>
      <w:r>
        <w:rPr>
          <w:rFonts w:ascii="Arial" w:cs="Arial" w:eastAsia="Arial" w:hAnsi="Arial"/>
          <w:i/>
          <w:iCs/>
          <w:color w:val="516079"/>
          <w:sz w:val="15"/>
          <w:szCs w:val="15"/>
        </w:rPr>
        <w:t xml:space="preserve">Nota 2: Las cuentas de los servicios de terceros se crean a nombre de Asuntos Centrales, que es dueño de su información; Quinto Eje las configura y administra. Se requiere una tarjeta habilitada para pagos internacionales.</w:t>
      </w:r>
    </w:p>
    <w:p>
      <w:pPr>
        <w:spacing w:before="60"/>
        <w:jc w:val="both"/>
      </w:pPr>
      <w:r>
        <w:rPr>
          <w:rFonts w:ascii="Arial" w:cs="Arial" w:eastAsia="Arial" w:hAnsi="Arial"/>
          <w:i/>
          <w:iCs/>
          <w:color w:val="516079"/>
          <w:sz w:val="15"/>
          <w:szCs w:val="15"/>
        </w:rPr>
        <w:t xml:space="preserve">Nota 3: Incluye el alcance descrito en esta propuesta. Nuevas funciones, otras redes sociales o formatos adicionales se cotizan por separado.</w:t>
      </w:r>
    </w:p>
    <w:p>
      <w:pPr>
        <w:spacing w:before="60"/>
        <w:jc w:val="both"/>
      </w:pPr>
      <w:r>
        <w:rPr>
          <w:rFonts w:ascii="Arial" w:cs="Arial" w:eastAsia="Arial" w:hAnsi="Arial"/>
          <w:i/>
          <w:iCs/>
          <w:color w:val="516079"/>
          <w:sz w:val="15"/>
          <w:szCs w:val="15"/>
        </w:rPr>
        <w:t xml:space="preserve">Nota 4: Asuntos Centrales es dueño de sus datos, contenidos y configuración, y recibe una licencia de uso del agente. El núcleo tecnológico del agente es propiedad de Quinto Eje Ingeniería.</w:t>
      </w:r>
    </w:p>
    <w:p>
      <w:pPr>
        <w:spacing w:before="60"/>
        <w:jc w:val="both"/>
      </w:pPr>
      <w:r>
        <w:rPr>
          <w:rFonts w:ascii="Arial" w:cs="Arial" w:eastAsia="Arial" w:hAnsi="Arial"/>
          <w:i/>
          <w:iCs/>
          <w:color w:val="516079"/>
          <w:sz w:val="15"/>
          <w:szCs w:val="15"/>
        </w:rPr>
        <w:t xml:space="preserve">Nota 5: Valores referenciales a octubre de 2026. Los honorarios de Quinto Eje se expresan en bolivianos (Bs) y no incluyen impuestos de ley; los costos de terceros se expresan en USD, son fijados por cada proveedor, pueden variar según el volumen de uso y el tipo de cambio, y se pagan directamente a cada proveedor.</w:t>
      </w:r>
    </w:p>
    <w:p>
      <w:pPr>
        <w:pBdr>
          <w:bottom w:val="single" w:color="00B4C8" w:sz="12" w:space="1"/>
        </w:pBd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before="14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10C22"/>
          <w:sz w:val="22"/>
          <w:szCs w:val="22"/>
        </w:rPr>
        <w:t xml:space="preserve">Contacto:</w:t>
      </w:r>
    </w:p>
    <w:p>
      <w:pPr>
        <w:spacing w:after="90"/>
        <w:jc w:val="center"/>
      </w:pPr>
      <w:r>
        <w:rPr>
          <w:rFonts w:ascii="Arial" w:cs="Arial" w:eastAsia="Arial" w:hAnsi="Arial"/>
          <w:b/>
          <w:bCs/>
          <w:color w:val="0064B4"/>
          <w:spacing w:val="14"/>
          <w:sz w:val="23"/>
          <w:szCs w:val="23"/>
        </w:rPr>
        <w:t xml:space="preserve">QUINTO EJE INGENIERÍA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0064B4"/>
          <w:sz w:val="18"/>
          <w:szCs w:val="18"/>
        </w:rPr>
        <w:t xml:space="preserve">quintoejeingenieria.com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0064B4"/>
          <w:sz w:val="18"/>
          <w:szCs w:val="18"/>
        </w:rPr>
        <w:t xml:space="preserve">quintoejeingenieria@gmail.com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516079"/>
          <w:sz w:val="18"/>
          <w:szCs w:val="18"/>
        </w:rPr>
        <w:t xml:space="preserve">+591 76089998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500" w:right="1440" w:bottom="1300" w:left="1440" w:header="680" w:footer="68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4E2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0064B4"/>
        <w:sz w:val="15"/>
        <w:szCs w:val="15"/>
      </w:rPr>
      <w:t xml:space="preserve">Quinto Eje Ingeniería</w:t>
    </w:r>
    <w:r>
      <w:rPr>
        <w:rFonts w:ascii="Arial" w:cs="Arial" w:eastAsia="Arial" w:hAnsi="Arial"/>
        <w:color w:val="516079"/>
        <w:sz w:val="15"/>
        <w:szCs w:val="15"/>
      </w:rPr>
      <w:t xml:space="preserve">  ·  Propuesta para Asuntos Centrales</w:t>
    </w:r>
    <w:r>
      <w:rPr>
        <w:rFonts w:ascii="Arial" w:cs="Arial" w:eastAsia="Arial" w:hAnsi="Arial"/>
        <w:color w:val="516079"/>
        <w:sz w:val="15"/>
        <w:szCs w:val="15"/>
      </w:rPr>
      <w:t xml:space="preserve">	Documento confidencial · </w:t>
    </w:r>
    <w:r>
      <w:rPr>
        <w:rFonts w:ascii="Arial" w:cs="Arial" w:eastAsia="Arial" w:hAnsi="Arial"/>
        <w:color w:val="51607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4E2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0064B4"/>
        <w:sz w:val="15"/>
        <w:szCs w:val="15"/>
      </w:rPr>
      <w:t xml:space="preserve">Quinto Eje Ingeniería</w:t>
    </w:r>
    <w:r>
      <w:rPr>
        <w:rFonts w:ascii="Arial" w:cs="Arial" w:eastAsia="Arial" w:hAnsi="Arial"/>
        <w:color w:val="516079"/>
        <w:sz w:val="15"/>
        <w:szCs w:val="15"/>
      </w:rPr>
      <w:t xml:space="preserve">  ·  Propuesta para Asuntos Centrales</w:t>
    </w:r>
    <w:r>
      <w:rPr>
        <w:rFonts w:ascii="Arial" w:cs="Arial" w:eastAsia="Arial" w:hAnsi="Arial"/>
        <w:color w:val="516079"/>
        <w:sz w:val="15"/>
        <w:szCs w:val="15"/>
      </w:rPr>
      <w:t xml:space="preserve">	Documento confidencial · </w:t>
    </w:r>
    <w:r>
      <w:rPr>
        <w:rFonts w:ascii="Arial" w:cs="Arial" w:eastAsia="Arial" w:hAnsi="Arial"/>
        <w:color w:val="51607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4E2" w:sz="4" w:space="7"/>
      </w:pBdr>
      <w:tabs>
        <w:tab w:val="right" w:pos="9026"/>
      </w:tabs>
      <w:spacing w:after="0"/>
    </w:pPr>
    <w:r>
      <w:drawing>
        <wp:inline distT="0" distB="0" distL="0" distR="0">
          <wp:extent cx="1143000" cy="333375"/>
          <wp:effectExtent t="0" r="0" b="0" l="0"/>
          <wp:docPr id="1" name="logo" descr="Quinto Eje" title="Quinto Ej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 w:val="false"/>
        <w:bCs w:val="false"/>
        <w:color w:val="516079"/>
        <w:sz w:val="15"/>
        <w:szCs w:val="15"/>
      </w:rPr>
      <w:t xml:space="preserve">	Propuesta Agente de IA de Contenido  ·  Asuntos Centrales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4B4" w:sz="6" w:space="7"/>
      </w:pBdr>
      <w:tabs>
        <w:tab w:val="right" w:pos="9026"/>
      </w:tabs>
      <w:spacing w:after="0"/>
    </w:pPr>
    <w:r>
      <w:drawing>
        <wp:inline distT="0" distB="0" distL="0" distR="0">
          <wp:extent cx="1428750" cy="419100"/>
          <wp:effectExtent t="0" r="0" b="0" l="0"/>
          <wp:docPr id="1" name="logo" descr="Quinto Eje" title="Quinto Ej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516079"/>
        <w:sz w:val="15"/>
        <w:szCs w:val="15"/>
      </w:rPr>
      <w:t xml:space="preserve">	Propuesta ejecutiva ·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00B4C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1ef5fe15f511c4704f4116b00b33600b00c1092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a1ef5fe15f511c4704f4116b00b33600b00c109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— Asuntos Centrales</dc:title>
  <dc:creator>Quinto Eje Ingeniería</dc:creator>
  <cp:lastModifiedBy>Un-named</cp:lastModifiedBy>
  <cp:revision>1</cp:revision>
  <dcterms:created xsi:type="dcterms:W3CDTF">2026-10-07T19:16:17.078Z</dcterms:created>
  <dcterms:modified xsi:type="dcterms:W3CDTF">2026-10-07T19:16:17.079Z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