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Policy_ID: CIP-ECC-002 </w:t>
        <w:br w:type="textWrapping"/>
        <w:t xml:space="preserve">Policy_Name: Employee Conduct, Ethics &amp; Anti-Fraud Policy </w:t>
        <w:br w:type="textWrapping"/>
        <w:t xml:space="preserve">Version: 5.2 </w:t>
        <w:br w:type="textWrapping"/>
        <w:t xml:space="preserve">Effective_Date: 2025-11-10 </w:t>
        <w:br w:type="textWrapping"/>
        <w:t xml:space="preserve">Risk_Category: HR &amp; Ethics </w:t>
        <w:br w:type="textWrapping"/>
        <w:t xml:space="preserve">Applicable_Regulations: [FCPA, UK Bribery Act, OECD Principles] </w:t>
        <w:br w:type="textWrapping"/>
        <w:t xml:space="preserve">Owner: Human Resources &amp; Compliance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Employee Conduct, Ethics &amp; Anti-Fraud Policy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Ethical Conduct Standards [Risk Score: 4]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All employees must act with honesty, transparency, and integrity. Prohibited behaviors include: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Discrimination, harassment, or retaliation.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Falsifying time sheets, expenses, or financial documents.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Misuse of company assets for personal gain.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Non-Compliance Impact: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Fraudulent behavior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High Risk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violation resulting in immediate termination and potential legal action.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Gift &amp; Hospitality [Risk Score: 3]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Prohibited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Accepting gifts/entertainment exceeding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$100 USD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Prohibited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Accepting cash, gift cards, or personal favors.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Permitted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Promotional items &lt;$30; Meals &lt;$60 (with approval).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Non-Compliance Impact: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Violating gift limits creates a Conflict of Interest risk (Score 3). Repeated violations may lead to suspension.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Conflict of Interest [Risk Score: 4]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Employees must disclose situations such as: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Family members working for suppliers/competitors.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Personal businesses overlapping with Capstone services.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Romantic relationships affecting reporting lines.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Non-Compliance Impact: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Failure to disclose a conflict of interest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High Risk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violation.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Anti-Fraud Controls [Risk Score: 5]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Segregation of Duties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Mandatory for financial roles.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Approvals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Dual-authorization required for transactions 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$25,000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Reporting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Suspicious activity must be reported within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24 hours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audit@capstone.inc.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Non-Compliance Impact: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Bypassing financial controls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Critical Risk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(Score 5) treated as potential embezzlement.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Harassment &amp; Workplace Safety [Risk Score: 5]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Capstone enforces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Zero-Tolerance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policy for sexual harassment, threats, or discrimination.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Reporting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Anonymous reporting available via Ethics Hotline (+1-800-CAP-SAFE).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Non-Compliance Impact: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Harassment findings result 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Immediate Termination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(Critical Risk).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