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Policy_ID: CIP-GPS-001 </w:t>
        <w:br w:type="textWrapping"/>
        <w:t xml:space="preserve">Policy_Name: Global Data Privacy and Regulatory Compliance Statement </w:t>
        <w:br w:type="textWrapping"/>
        <w:t xml:space="preserve">Version: 2.1 </w:t>
        <w:br w:type="textWrapping"/>
        <w:t xml:space="preserve">Effective_Date: 2026-01-01 </w:t>
        <w:br w:type="textWrapping"/>
        <w:t xml:space="preserve">Risk_Category: Legal &amp; Compliance</w:t>
        <w:br w:type="textWrapping"/>
        <w:t xml:space="preserve">Applicable_Regulations: [GDPR, CCPA/CPRA, HIPAA, DPDPA 2023, UK DPA 2018] </w:t>
        <w:br w:type="textWrapping"/>
        <w:t xml:space="preserve">Owner: Data Protection Office (DPO)</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Data Privacy &amp; Regulatory Compliance Statement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[Risk Score: 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Capstone Inc. ("Capstone") is committed to ensuring that all data processing activities comply with applicable global privacy regulations. This Compliance Statement outlines the legal, procedural, and technical controls governing the collection, processing, storage, transfer, and disposal of personal data.</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Regulatory Framework [Risk Score: 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Capstone's data protection program is mandatorily aligned with the following regulations. Failure to adhere to these frameworks constitutes a critical compliance breach.</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GDPR (EU 2016/679)</w:t>
      </w:r>
      <w:r w:rsidDel="00000000" w:rsidR="00000000" w:rsidRPr="00000000">
        <w:rPr>
          <w:rFonts w:ascii="Google Sans Text" w:cs="Google Sans Text" w:eastAsia="Google Sans Text" w:hAnsi="Google Sans Text"/>
          <w:color w:val="1f1f1f"/>
          <w:rtl w:val="0"/>
        </w:rPr>
        <w:t xml:space="preserve"> &amp; </w:t>
      </w:r>
      <w:r w:rsidDel="00000000" w:rsidR="00000000" w:rsidRPr="00000000">
        <w:rPr>
          <w:rFonts w:ascii="Google Sans Text" w:cs="Google Sans Text" w:eastAsia="Google Sans Text" w:hAnsi="Google Sans Text"/>
          <w:b w:val="1"/>
          <w:bCs w:val="1"/>
          <w:color w:val="1f1f1f"/>
          <w:rtl w:val="0"/>
        </w:rPr>
        <w:t xml:space="preserve">UK-GDPR</w:t>
      </w:r>
      <w:r w:rsidDel="00000000" w:rsidR="00000000" w:rsidRPr="00000000">
        <w:rPr>
          <w:rFonts w:ascii="Google Sans Text" w:cs="Google Sans Text" w:eastAsia="Google Sans Text" w:hAnsi="Google Sans Text"/>
          <w:color w:val="1f1f1f"/>
          <w:rtl w:val="0"/>
        </w:rPr>
        <w:t xml:space="preserve">: Primary basis for global privacy alignment.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CCPA/CPRA (California)</w:t>
      </w:r>
      <w:r w:rsidDel="00000000" w:rsidR="00000000" w:rsidRPr="00000000">
        <w:rPr>
          <w:rFonts w:ascii="Google Sans Text" w:cs="Google Sans Text" w:eastAsia="Google Sans Text" w:hAnsi="Google Sans Text"/>
          <w:color w:val="1f1f1f"/>
          <w:rtl w:val="0"/>
        </w:rPr>
        <w:t xml:space="preserve">: U.S. privacy obligations for residents.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HIPAA (U.S.)</w:t>
      </w:r>
      <w:r w:rsidDel="00000000" w:rsidR="00000000" w:rsidRPr="00000000">
        <w:rPr>
          <w:rFonts w:ascii="Google Sans Text" w:cs="Google Sans Text" w:eastAsia="Google Sans Text" w:hAnsi="Google Sans Text"/>
          <w:color w:val="1f1f1f"/>
          <w:rtl w:val="0"/>
        </w:rPr>
        <w:t xml:space="preserve">: For applicable healthcare data processing.</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Indian DPDPA 2023</w:t>
      </w:r>
      <w:r w:rsidDel="00000000" w:rsidR="00000000" w:rsidRPr="00000000">
        <w:rPr>
          <w:rFonts w:ascii="Google Sans Text" w:cs="Google Sans Text" w:eastAsia="Google Sans Text" w:hAnsi="Google Sans Text"/>
          <w:color w:val="1f1f1f"/>
          <w:rtl w:val="0"/>
        </w:rPr>
        <w:t xml:space="preserve">: Regulatory foundation for Indian operations.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LGPD (Brazil)</w:t>
      </w:r>
      <w:r w:rsidDel="00000000" w:rsidR="00000000" w:rsidRPr="00000000">
        <w:rPr>
          <w:rFonts w:ascii="Google Sans Text" w:cs="Google Sans Text" w:eastAsia="Google Sans Text" w:hAnsi="Google Sans Text"/>
          <w:color w:val="1f1f1f"/>
          <w:rtl w:val="0"/>
        </w:rPr>
        <w:t xml:space="preserve"> &amp; </w:t>
      </w:r>
      <w:r w:rsidDel="00000000" w:rsidR="00000000" w:rsidRPr="00000000">
        <w:rPr>
          <w:rFonts w:ascii="Google Sans Text" w:cs="Google Sans Text" w:eastAsia="Google Sans Text" w:hAnsi="Google Sans Text"/>
          <w:b w:val="1"/>
          <w:bCs w:val="1"/>
          <w:color w:val="1f1f1f"/>
          <w:rtl w:val="0"/>
        </w:rPr>
        <w:t xml:space="preserve">PIPEDA (Canada)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Non-Compliance Impact:</w:t>
      </w:r>
      <w:r w:rsidDel="00000000" w:rsidR="00000000" w:rsidRPr="00000000">
        <w:rPr>
          <w:rFonts w:ascii="Google Sans Text" w:cs="Google Sans Text" w:eastAsia="Google Sans Text" w:hAnsi="Google Sans Text"/>
          <w:color w:val="1f1f1f"/>
          <w:rtl w:val="0"/>
        </w:rPr>
        <w:t xml:space="preserve"> Violation of regulatory frameworks may result in fines up to 4% of global turnover, legal sanctions, and immediate contract termination.</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Data Subject Rights [Risk Score: 4]</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Capstone supports the following rights globally. All requests must be processed within the statutory timeline (default: 30 days).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Right to Access</w:t>
      </w:r>
      <w:r w:rsidDel="00000000" w:rsidR="00000000" w:rsidRPr="00000000">
        <w:rPr>
          <w:rFonts w:ascii="Google Sans Text" w:cs="Google Sans Text" w:eastAsia="Google Sans Text" w:hAnsi="Google Sans Text"/>
          <w:color w:val="1f1f1f"/>
          <w:rtl w:val="0"/>
        </w:rPr>
        <w:t xml:space="preserve">: Individuals may request a copy of their data.</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Right to Rectification</w:t>
      </w:r>
      <w:r w:rsidDel="00000000" w:rsidR="00000000" w:rsidRPr="00000000">
        <w:rPr>
          <w:rFonts w:ascii="Google Sans Text" w:cs="Google Sans Text" w:eastAsia="Google Sans Text" w:hAnsi="Google Sans Text"/>
          <w:color w:val="1f1f1f"/>
          <w:rtl w:val="0"/>
        </w:rPr>
        <w:t xml:space="preserve">: Correction of inaccurate information.</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Right to Erasure ("Right to be Forgotten")</w:t>
      </w:r>
      <w:r w:rsidDel="00000000" w:rsidR="00000000" w:rsidRPr="00000000">
        <w:rPr>
          <w:rFonts w:ascii="Google Sans Text" w:cs="Google Sans Text" w:eastAsia="Google Sans Text" w:hAnsi="Google Sans Text"/>
          <w:color w:val="1f1f1f"/>
          <w:rtl w:val="0"/>
        </w:rPr>
        <w:t xml:space="preserve">: Subject to legal constraints.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Right to Restrict Processing</w:t>
      </w:r>
      <w:r w:rsidDel="00000000" w:rsidR="00000000" w:rsidRPr="00000000">
        <w:rPr>
          <w:rFonts w:ascii="Google Sans Text" w:cs="Google Sans Text" w:eastAsia="Google Sans Text" w:hAnsi="Google Sans Text"/>
          <w:color w:val="1f1f1f"/>
          <w:rtl w:val="0"/>
        </w:rPr>
        <w:t xml:space="preserve">: In specific conditions.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Right to Data Portability</w:t>
      </w:r>
      <w:r w:rsidDel="00000000" w:rsidR="00000000" w:rsidRPr="00000000">
        <w:rPr>
          <w:rFonts w:ascii="Google Sans Text" w:cs="Google Sans Text" w:eastAsia="Google Sans Text" w:hAnsi="Google Sans Text"/>
          <w:color w:val="1f1f1f"/>
          <w:rtl w:val="0"/>
        </w:rPr>
        <w:t xml:space="preserve">: Structured, commonly used formats.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Non-Compliance Impact:</w:t>
      </w:r>
      <w:r w:rsidDel="00000000" w:rsidR="00000000" w:rsidRPr="00000000">
        <w:rPr>
          <w:rFonts w:ascii="Google Sans Text" w:cs="Google Sans Text" w:eastAsia="Google Sans Text" w:hAnsi="Google Sans Text"/>
          <w:color w:val="1f1f1f"/>
          <w:rtl w:val="0"/>
        </w:rPr>
        <w:t xml:space="preserve"> Failure to honor Subject Rights within SLAs (30 days) is a </w:t>
      </w:r>
      <w:r w:rsidDel="00000000" w:rsidR="00000000" w:rsidRPr="00000000">
        <w:rPr>
          <w:rFonts w:ascii="Google Sans Text" w:cs="Google Sans Text" w:eastAsia="Google Sans Text" w:hAnsi="Google Sans Text"/>
          <w:b w:val="1"/>
          <w:bCs w:val="1"/>
          <w:color w:val="1f1f1f"/>
          <w:rtl w:val="0"/>
        </w:rPr>
        <w:t xml:space="preserve">High Risk</w:t>
      </w:r>
      <w:r w:rsidDel="00000000" w:rsidR="00000000" w:rsidRPr="00000000">
        <w:rPr>
          <w:rFonts w:ascii="Google Sans Text" w:cs="Google Sans Text" w:eastAsia="Google Sans Text" w:hAnsi="Google Sans Text"/>
          <w:color w:val="1f1f1f"/>
          <w:rtl w:val="0"/>
        </w:rPr>
        <w:t xml:space="preserve"> violation resulting in regulatory reporting and potential litigation.</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Cross-Border Data Transfer [Risk Score: 5]</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Capstone ensures lawful data transfers through:</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Standard Contractual Clauses (SCCs)</w:t>
      </w:r>
      <w:r w:rsidDel="00000000" w:rsidR="00000000" w:rsidRPr="00000000">
        <w:rPr>
          <w:rFonts w:ascii="Google Sans Text" w:cs="Google Sans Text" w:eastAsia="Google Sans Text" w:hAnsi="Google Sans Text"/>
          <w:color w:val="1f1f1f"/>
          <w:rtl w:val="0"/>
        </w:rPr>
        <w:t xml:space="preserve"> for EU/EEA transfers.</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UK International Data Transfer Addendum (IDTA)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Transfer Impact Assessments (TIA)</w:t>
      </w:r>
      <w:r w:rsidDel="00000000" w:rsidR="00000000" w:rsidRPr="00000000">
        <w:rPr>
          <w:rFonts w:ascii="Google Sans Text" w:cs="Google Sans Text" w:eastAsia="Google Sans Text" w:hAnsi="Google Sans Text"/>
          <w:color w:val="1f1f1f"/>
          <w:rtl w:val="0"/>
        </w:rPr>
        <w:t xml:space="preserve"> for transfers to high-risk jurisdictions.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Non-Compliance Impact:</w:t>
      </w:r>
      <w:r w:rsidDel="00000000" w:rsidR="00000000" w:rsidRPr="00000000">
        <w:rPr>
          <w:rFonts w:ascii="Google Sans Text" w:cs="Google Sans Text" w:eastAsia="Google Sans Text" w:hAnsi="Google Sans Text"/>
          <w:color w:val="1f1f1f"/>
          <w:rtl w:val="0"/>
        </w:rPr>
        <w:t xml:space="preserve"> Unauthorized cross-border transfers are a </w:t>
      </w:r>
      <w:r w:rsidDel="00000000" w:rsidR="00000000" w:rsidRPr="00000000">
        <w:rPr>
          <w:rFonts w:ascii="Google Sans Text" w:cs="Google Sans Text" w:eastAsia="Google Sans Text" w:hAnsi="Google Sans Text"/>
          <w:b w:val="1"/>
          <w:bCs w:val="1"/>
          <w:color w:val="1f1f1f"/>
          <w:rtl w:val="0"/>
        </w:rPr>
        <w:t xml:space="preserve">Critical Risk</w:t>
      </w:r>
      <w:r w:rsidDel="00000000" w:rsidR="00000000" w:rsidRPr="00000000">
        <w:rPr>
          <w:rFonts w:ascii="Google Sans Text" w:cs="Google Sans Text" w:eastAsia="Google Sans Text" w:hAnsi="Google Sans Text"/>
          <w:color w:val="1f1f1f"/>
          <w:rtl w:val="0"/>
        </w:rPr>
        <w:t xml:space="preserve"> (Score 5). Transfers without a valid legal basis (SCC/TIA) are strictly prohibited.</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Data Security &amp; Governance [Risk Score: 5]</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protect personal data, the following controls are mandatory:</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Encryption</w:t>
      </w:r>
      <w:r w:rsidDel="00000000" w:rsidR="00000000" w:rsidRPr="00000000">
        <w:rPr>
          <w:rFonts w:ascii="Google Sans Text" w:cs="Google Sans Text" w:eastAsia="Google Sans Text" w:hAnsi="Google Sans Text"/>
          <w:color w:val="1f1f1f"/>
          <w:rtl w:val="0"/>
        </w:rPr>
        <w:t xml:space="preserve">: AES-256 for data at rest; TLS 1.2+ for transit.</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Access Control</w:t>
      </w:r>
      <w:r w:rsidDel="00000000" w:rsidR="00000000" w:rsidRPr="00000000">
        <w:rPr>
          <w:rFonts w:ascii="Google Sans Text" w:cs="Google Sans Text" w:eastAsia="Google Sans Text" w:hAnsi="Google Sans Text"/>
          <w:color w:val="1f1f1f"/>
          <w:rtl w:val="0"/>
        </w:rPr>
        <w:t xml:space="preserve">: MFA enforcement for all privileged accounts.</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Monitoring</w:t>
      </w:r>
      <w:r w:rsidDel="00000000" w:rsidR="00000000" w:rsidRPr="00000000">
        <w:rPr>
          <w:rFonts w:ascii="Google Sans Text" w:cs="Google Sans Text" w:eastAsia="Google Sans Text" w:hAnsi="Google Sans Text"/>
          <w:color w:val="1f1f1f"/>
          <w:rtl w:val="0"/>
        </w:rPr>
        <w:t xml:space="preserve">: SIEM monitoring with real-time alerting.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Non-Compliance Impact:</w:t>
      </w:r>
      <w:r w:rsidDel="00000000" w:rsidR="00000000" w:rsidRPr="00000000">
        <w:rPr>
          <w:rFonts w:ascii="Google Sans Text" w:cs="Google Sans Text" w:eastAsia="Google Sans Text" w:hAnsi="Google Sans Text"/>
          <w:color w:val="1f1f1f"/>
          <w:rtl w:val="0"/>
        </w:rPr>
        <w:t xml:space="preserve"> Storing personal data in cleartext or sharing it over unencrypted channels is a </w:t>
      </w:r>
      <w:r w:rsidDel="00000000" w:rsidR="00000000" w:rsidRPr="00000000">
        <w:rPr>
          <w:rFonts w:ascii="Google Sans Text" w:cs="Google Sans Text" w:eastAsia="Google Sans Text" w:hAnsi="Google Sans Text"/>
          <w:b w:val="1"/>
          <w:bCs w:val="1"/>
          <w:color w:val="1f1f1f"/>
          <w:rtl w:val="0"/>
        </w:rPr>
        <w:t xml:space="preserve">Critical Risk</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Retention &amp; Deletion [Risk Score: 3]</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Data must be retained only for the defined periods:</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Client Project Data</w:t>
      </w:r>
      <w:r w:rsidDel="00000000" w:rsidR="00000000" w:rsidRPr="00000000">
        <w:rPr>
          <w:rFonts w:ascii="Google Sans Text" w:cs="Google Sans Text" w:eastAsia="Google Sans Text" w:hAnsi="Google Sans Text"/>
          <w:color w:val="1f1f1f"/>
          <w:rtl w:val="0"/>
        </w:rPr>
        <w:t xml:space="preserve">: 7 years post-contract.</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HR Data</w:t>
      </w:r>
      <w:r w:rsidDel="00000000" w:rsidR="00000000" w:rsidRPr="00000000">
        <w:rPr>
          <w:rFonts w:ascii="Google Sans Text" w:cs="Google Sans Text" w:eastAsia="Google Sans Text" w:hAnsi="Google Sans Text"/>
          <w:color w:val="1f1f1f"/>
          <w:rtl w:val="0"/>
        </w:rPr>
        <w:t xml:space="preserve">: 10 years post-employment.</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Security Logs</w:t>
      </w:r>
      <w:r w:rsidDel="00000000" w:rsidR="00000000" w:rsidRPr="00000000">
        <w:rPr>
          <w:rFonts w:ascii="Google Sans Text" w:cs="Google Sans Text" w:eastAsia="Google Sans Text" w:hAnsi="Google Sans Text"/>
          <w:color w:val="1f1f1f"/>
          <w:rtl w:val="0"/>
        </w:rPr>
        <w:t xml:space="preserve">: 7 years.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Non-Compliance Impact:</w:t>
      </w:r>
      <w:r w:rsidDel="00000000" w:rsidR="00000000" w:rsidRPr="00000000">
        <w:rPr>
          <w:rFonts w:ascii="Google Sans Text" w:cs="Google Sans Text" w:eastAsia="Google Sans Text" w:hAnsi="Google Sans Text"/>
          <w:color w:val="1f1f1f"/>
          <w:rtl w:val="0"/>
        </w:rPr>
        <w:t xml:space="preserve"> Keeping data beyond the retention period or deleting it prematurely is a </w:t>
      </w:r>
      <w:r w:rsidDel="00000000" w:rsidR="00000000" w:rsidRPr="00000000">
        <w:rPr>
          <w:rFonts w:ascii="Google Sans Text" w:cs="Google Sans Text" w:eastAsia="Google Sans Text" w:hAnsi="Google Sans Text"/>
          <w:b w:val="1"/>
          <w:bCs w:val="1"/>
          <w:color w:val="1f1f1f"/>
          <w:rtl w:val="0"/>
        </w:rPr>
        <w:t xml:space="preserve">Medium Risk</w:t>
      </w:r>
      <w:r w:rsidDel="00000000" w:rsidR="00000000" w:rsidRPr="00000000">
        <w:rPr>
          <w:rFonts w:ascii="Google Sans Text" w:cs="Google Sans Text" w:eastAsia="Google Sans Text" w:hAnsi="Google Sans Text"/>
          <w:color w:val="1f1f1f"/>
          <w:rtl w:val="0"/>
        </w:rPr>
        <w:t xml:space="preserve"> operational violation.</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Breach Management [Risk Score: 5]</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Regulatory notification timelines must be strictly followed:</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72 Hours</w:t>
      </w:r>
      <w:r w:rsidDel="00000000" w:rsidR="00000000" w:rsidRPr="00000000">
        <w:rPr>
          <w:rFonts w:ascii="Google Sans Text" w:cs="Google Sans Text" w:eastAsia="Google Sans Text" w:hAnsi="Google Sans Text"/>
          <w:color w:val="1f1f1f"/>
          <w:rtl w:val="0"/>
        </w:rPr>
        <w:t xml:space="preserve">: GDPR / UK-GDPR.</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30 Days</w:t>
      </w:r>
      <w:r w:rsidDel="00000000" w:rsidR="00000000" w:rsidRPr="00000000">
        <w:rPr>
          <w:rFonts w:ascii="Google Sans Text" w:cs="Google Sans Text" w:eastAsia="Google Sans Text" w:hAnsi="Google Sans Text"/>
          <w:color w:val="1f1f1f"/>
          <w:rtl w:val="0"/>
        </w:rPr>
        <w:t xml:space="preserve">: Certain U.S. State Laws.</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48 Hours</w:t>
      </w:r>
      <w:r w:rsidDel="00000000" w:rsidR="00000000" w:rsidRPr="00000000">
        <w:rPr>
          <w:rFonts w:ascii="Google Sans Text" w:cs="Google Sans Text" w:eastAsia="Google Sans Text" w:hAnsi="Google Sans Text"/>
          <w:color w:val="1f1f1f"/>
          <w:rtl w:val="0"/>
        </w:rPr>
        <w:t xml:space="preserve">: Industry-specific mandates.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Non-Compliance Impact:</w:t>
      </w:r>
      <w:r w:rsidDel="00000000" w:rsidR="00000000" w:rsidRPr="00000000">
        <w:rPr>
          <w:rFonts w:ascii="Google Sans Text" w:cs="Google Sans Text" w:eastAsia="Google Sans Text" w:hAnsi="Google Sans Text"/>
          <w:color w:val="1f1f1f"/>
          <w:rtl w:val="0"/>
        </w:rPr>
        <w:t xml:space="preserve"> Failure to report a breach within 72 hours is a </w:t>
      </w:r>
      <w:r w:rsidDel="00000000" w:rsidR="00000000" w:rsidRPr="00000000">
        <w:rPr>
          <w:rFonts w:ascii="Google Sans Text" w:cs="Google Sans Text" w:eastAsia="Google Sans Text" w:hAnsi="Google Sans Text"/>
          <w:b w:val="1"/>
          <w:bCs w:val="1"/>
          <w:color w:val="1f1f1f"/>
          <w:rtl w:val="0"/>
        </w:rPr>
        <w:t xml:space="preserve">Critical Risk</w:t>
      </w:r>
      <w:r w:rsidDel="00000000" w:rsidR="00000000" w:rsidRPr="00000000">
        <w:rPr>
          <w:rFonts w:ascii="Google Sans Text" w:cs="Google Sans Text" w:eastAsia="Google Sans Text" w:hAnsi="Google Sans Text"/>
          <w:color w:val="1f1f1f"/>
          <w:rtl w:val="0"/>
        </w:rPr>
        <w:t xml:space="preserve"> triggering maximum regulatory penalties.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