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Policy_ID: CIP-ICF-006 </w:t>
        <w:br w:type="textWrapping"/>
        <w:t xml:space="preserve">Policy_Name: Industry-Specific Regulatory Compliance Framework </w:t>
        <w:br w:type="textWrapping"/>
        <w:t xml:space="preserve">Version: 2.1 </w:t>
        <w:br w:type="textWrapping"/>
        <w:t xml:space="preserve">Effective_Date: 2025-12-05 </w:t>
        <w:br w:type="textWrapping"/>
        <w:t xml:space="preserve">Risk_Category: Legal &amp; Compliance </w:t>
        <w:br w:type="textWrapping"/>
        <w:t xml:space="preserve">Applicable_Regulations: [FFIEC, PCI-DSS, HIPAA, NERC-CIP, SOX, GDPR] </w:t>
        <w:br w:type="textWrapping"/>
        <w:t xml:space="preserve">Owner: Regulatory Affairs &amp; Legal Risk Management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Industry-Specific Regulatory Compliance Framework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Purpose &amp; Scope [Risk Score: 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framework establishes governance for Capstone operations in regulated sectors (Financial Services, Healthcare, Critical Infrastructure). It applies to all systems, data, and workflows delivering regulated services.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Regulatory Landscape [Risk Score: 4]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Capstone operates under stringent regulatory obligations. Business leaders must map relevant obligations: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FFIEC, PCI-DSS, GLBA, RBI (India).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Healthcare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HIPAA, HITECH, EU MDR.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NERC-CIP, NIST Critical Infrastructure.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identify and apply the correct regulatory framework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potentially rendering business operations illegal in specific jurisdictions.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Mandatory Compliance Controls [Risk Score: 5]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baseline controls are mandatory for all regulated operations: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Segregation of Duties (SoD)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Mandatory for financial and risk-sensitive roles.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 Testing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Quarterly or semi-annual cycles required.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Evidence Retention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Must meet industry-specific periods (e.g., 7-10 years for Finance).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Missing a mandatory control test or failing SoD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(Score 5) that can lead to audit failure and loss of operating licenses.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Technical Controls [Risk Score: 5]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Core technical requirements for regulated systems include: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Encryption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Minimum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AES-256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data at rest;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TLS 1.2+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transit.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Authentication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Multi-Factor Authentication (MFA)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mandatory for all regulated systems.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Monitoring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SIEM monitoring and alerting for all high-risk activities.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Deploying a regulated system without MFA or Encryption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Financial Compliance [Risk Score: 5]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FinTech and financial service operations: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AML/KYC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Mandatory screening and documentation.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Accurate financial reporting and suspicious activity reporting (SAR).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Integrity of risk scoring engines must be verified annually.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report suspicious financial activity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carrying potential criminal liability for the firm and individuals.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Third-Party Oversight [Risk Score: 4]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Due Diligence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Mandatory compliance certification checks for vendors.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Periodic third-party audits required.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Immediate suspension of vendors for repeated non-compliance.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Engaging a non-compliant vendor for regulated services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supply chain violation.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Breach Handling [Risk Score: 5]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Root Cause Analysis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Must be completed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72 hours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Notification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Reporting to regulators where legally required.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Isolation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Immediate isolation of impacted systems.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Late reporting of a breach to regulators (e.g., beyond 72 hours)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resulting in maximum statutory fines.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