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Policy_ID: CIP-ISP-001 </w:t>
        <w:br w:type="textWrapping"/>
        <w:t xml:space="preserve">Policy_Name: Information Security &amp; Data Protection </w:t>
        <w:br w:type="textWrapping"/>
        <w:t xml:space="preserve">Policy Version: 3.4 </w:t>
        <w:br w:type="textWrapping"/>
        <w:t xml:space="preserve">Effective_Date: 2025-11-01 </w:t>
        <w:br w:type="textWrapping"/>
        <w:t xml:space="preserve">Risk_Category: Security Applicable_Regulations: [ISO 27001, SOC 2, HIPAA, GDPR] </w:t>
        <w:br w:type="textWrapping"/>
        <w:t xml:space="preserve">Owner: Chief Information Security Officer (CISO)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Information Security &amp; Data Protection Policy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Purpose &amp; Scope [Risk Score: 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policy ensures the confidentiality, integrity, and availability of Capstone information assets. It applies to all employees, contractors, and third parties accessing corporate systems.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Roles &amp; Responsibilities [Risk Score: 2]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CISO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Owns policy and monitors incidents.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Department Heads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Approve access requests only when justified.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Employees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Protect credentials and devices; report incidents promptly.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Negligence in role-based responsibilities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Medium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performance issue.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 Classification [Risk Score: 4]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 must be classified into four tiers: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Safe for release.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Operational use.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Confidential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Financial/Legal/HR data.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Restricted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PII, Client Data, Regulated Data.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Mishandling "Restricted" data on unapproved channels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Access Control [Risk Score: 5]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Least Privilege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Access granted strictly on need-to-know basis.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MFA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Mandatory for all privileged access.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Deprovisioning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Terminated user access must be revoked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 hours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Sharing passwords or failing to revoke access for terminated staff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(Score 5) security breach.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Security Controls [Risk Score: 5]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Encryption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AES-256 for data at rest; TLS 1.2+ for transit.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Endpoint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EDR agent mandatory on all devices; automatic lockdown if tampered.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Zero-Trust segmentation; no direct SSH/RDP without VPN.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Patching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Critical patches applied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72 hours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Disabling endpoint protection (EDR)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 treated as potential malicious activity.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Incident Response [Risk Score: 5]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Incidents must be reported to security@capstone.inc within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 minutes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Follows Identification -&gt; Containment -&gt; Eradication -&gt; Recovery.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Failure to report a security incident within the 30-minute SLA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 Risk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violation.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Financial Impact [Risk Score: 3]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Security incidents have direct costs: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Ransomware Downtime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Estimated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$8,000 per hour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Penalties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Up to $250,000 per violation.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Reserve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$500,000 annual breach compensation fund.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Non-Compliance 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Actions leading to financial loss due to negligence may result in restitution claims against the employee (High Risk).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