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CIP-RCA-005 </w:t>
        <w:br w:type="textWrapping"/>
        <w:t xml:space="preserve">Policy_Name: Regulatory Compliance &amp; Audit Control Standard </w:t>
        <w:br w:type="textWrapping"/>
        <w:t xml:space="preserve">Version: 1.1 </w:t>
        <w:br w:type="textWrapping"/>
        <w:t xml:space="preserve">Effective_Date: 2025-12-05 </w:t>
        <w:br w:type="textWrapping"/>
        <w:t xml:space="preserve">Risk_Category: Legal &amp; Governance </w:t>
        <w:br w:type="textWrapping"/>
        <w:t xml:space="preserve">Applicable_Regulations: [SOX, GDPR, PCI-DSS, ISO 27001, COSO, NIST CSF] </w:t>
        <w:br w:type="textWrapping"/>
        <w:t xml:space="preserve">Owner: Corporate Compliance &amp; Governance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Regulatory Compliance &amp; Audit Control Standard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Purpose &amp; Scope [Risk Score: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standard establishes a uniform framework to ensure Capstone adheres to all statutory, regulatory, and contractual obligations. It applies to all business units, subsidiaries, and operational systems subject to oversight.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Capstone utilizes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NIST Cybersecurity Framework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compliance assurance.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Regulatory Requirements [Risk Score: 5]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Capstone must comply with the following mandates based on geography and operation: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&amp; Privacy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GDPR, DPDPA (India), CCPA/CPRA.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SOX (Sarbanes-Oxley), PCI-DSS (Payment Processing).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Healthcare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HIPAA/HITECH.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ISO 27001/27701.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maintain an updated regulatory inventory or ignoring a statutory mandate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resulting in legal sanctions and financial penalties.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Risk Management &amp; Controls [Risk Score: 4]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 Register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All compliance risks must be documented in the Enterprise Risk Register.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Risk ratings must be updated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Quarterly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upon significant business change.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 Owners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Must validate control effectiveness periodically.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identify or mitigate a known high-risk area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governance failure leading to potential operational paralysis.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Audit Procedures [Risk Score: 4]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Internal and External audits shall follow: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Calendar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Adherence to the Annual Audit Calendar.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All findings must be validated with tamper-proof evidence.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Remediation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Formal remediation plans with deadlines are mandatory for all findings.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Obstructing an audit or falsifying evidence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that may result in immediate termination and legal prosecution.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Reporting &amp; Escalation [Risk Score: 5]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Breach 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Compliance breaches must be reported to the Compliance Office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Escalation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High-severity findings require immediate Executive Committee escalation.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Monthly compliance dashboards must be reviewed by business heads.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Late reporting of a compliance breach (e.g., &gt;24 hours) often triggers statutory fines (e.g., GDPR 72-hour rule) and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Third-Party Compliance [Risk Score: 4]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Assessment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Vendors must be assessed for compliance maturity prior to onboarding.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Contractual Clauses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Vendors must sign specific compliance adherence clauses.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Suspension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Non-compliant vendors may be suspended or terminated immediately.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Engaging a vendor without a compliance assessment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of Third-Party Risk Management (TPRM) protocols.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Documentation &amp; Evidence [Risk Score: 3]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Repository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Evidence must be stored in a centralized, access-controlled repository.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Must follow legal mandates (e.g., 7 years for financial records).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Trails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All logs must be preserved for regulator inspection.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Loss of compliance evidence due to poor archiving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that compromises audit readiness.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Non-Compliance &amp; Penalties [Risk Score: 3]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Non-compliance actions may include: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Disciplinary action up to termination.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Financial penalties levied against specific business units.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Temporary suspension of business operations.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Repeated negligence regarding compliance standards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performance issue.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