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CIP-RWP-010 </w:t>
        <w:br w:type="textWrapping"/>
        <w:t xml:space="preserve">Policy_Name: Remote Work &amp; Asset Usage Policy </w:t>
        <w:br w:type="textWrapping"/>
        <w:t xml:space="preserve">Version: 1.1 Effective_Date: 2025-01-01 </w:t>
        <w:br w:type="textWrapping"/>
        <w:t xml:space="preserve">Risk_Category: HR &amp; Operations </w:t>
        <w:br w:type="textWrapping"/>
        <w:t xml:space="preserve">Applicable_Regulations: [SOC 2, ISO 27001, Local Labor Laws] </w:t>
        <w:br w:type="textWrapping"/>
        <w:t xml:space="preserve">Owner: Office of the Chief Compliance Officer (OCCO)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Remote Work &amp; Asset Usage Policy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Purpose &amp; Eligibility [Risk Score: 3]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policy ensures the security and compliance of Capstone operations performed outside corporate offices.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Eligibility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Remote work requires explicit approval from the direct manager.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Regulated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Employees handling PCI, HIPAA, or SOC 2 restricted data require additional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Information Security Approval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Working remotely without approval, especially with regulated data,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that may result in immediate revocation of remote privileges.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Security Requirements [Risk Score: 5]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Device Protection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company-issued laptops. Full-disk encryption must be enabled.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Public Wi-Fi is allowed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the Capstone Global VPN.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Security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Screens must be locked when stepping away. Devices must never be left unattended in vehicles.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Processing corporate data on a personal device or unencrypted network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(Score 5) violation. Loss of an unencrypted device may lead to termination.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Asset Usage Guidelines [Risk Score: 4]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Strictly Prohibited: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Personal 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Uploading work files to personal Google Drive/Dropbox.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Printing confidential documents at home or public centers without specific approval.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Allowing family members or others to use corporate devices.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Exfiltrating data to personal cloud storage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treated as potential data theft.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Physical Workspace &amp; Privacy [Risk Score: 2]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Employees must maintain a private workspace where screens are not visible to others (e.g., avoiding working on confidential tasks in coffee shops).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Ergonomics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Workspace must meet basic safety and ergonomic standards.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Repeated exposure of screens in public spaces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to 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privacy violation.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Financial Provisions [Risk Score: 2]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Capstone provides the following reimbursements: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Monthly allowance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$25 USD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₹1,800 INR).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Ergonomics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Annual reimbursement up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$150 USD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office equipment.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Employees are financially responsible for damage to assets caused by negligence.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Falsifying reimbursement claims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fraud violation (see Code of Conduct).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Incident Reporting [Risk Score: 5]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Immediate Reporting Required (within 1 hour):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Lost or stolen devices.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Suspected malware or phishing attempts.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Accidental data disclosure.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report a lost device immediately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hampers breach containment, potentially leading to legal liability.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