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CF1261" w14:textId="77777777" w:rsidR="008D2F66" w:rsidRDefault="001C0BFF">
      <w:pPr>
        <w:spacing w:after="40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Decisions Log — Dynamism and the Geography of Labour Reallocation</w:t>
      </w:r>
    </w:p>
    <w:p w14:paraId="4701085A" w14:textId="77777777" w:rsidR="008D2F66" w:rsidRDefault="001C0BFF">
      <w:pPr>
        <w:spacing w:after="150"/>
      </w:pPr>
      <w:r>
        <w:rPr>
          <w:rFonts w:ascii="Calibri" w:eastAsia="Calibri" w:hAnsi="Calibri" w:cs="Calibri"/>
          <w:i/>
          <w:iCs/>
          <w:color w:val="595959"/>
          <w:sz w:val="21"/>
          <w:szCs w:val="21"/>
        </w:rPr>
        <w:t>A running record of the methodological choices behind the ITL2 regional panel: what we decided, and why. Read alongside the Workflow Log (the narrative of what was done) and the data tracker (source-by-source detail). Entries are grouped by theme; add dates per your convention. Last updated: [date].</w:t>
      </w:r>
    </w:p>
    <w:p w14:paraId="0DAA3AF1" w14:textId="77777777" w:rsidR="008D2F66" w:rsidRDefault="001C0BFF">
      <w:pPr>
        <w:pStyle w:val="Heading1"/>
        <w:spacing w:before="300" w:after="110"/>
      </w:pP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>1. Geography &amp; boundaries</w:t>
      </w:r>
    </w:p>
    <w:p w14:paraId="56A3E5A6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Unit of analysis: ITL2, 2025 vintage (46 regions), frozen. </w:t>
      </w:r>
      <w:r>
        <w:rPr>
          <w:rFonts w:ascii="Calibri" w:eastAsia="Calibri" w:hAnsi="Calibri" w:cs="Calibri"/>
          <w:sz w:val="21"/>
          <w:szCs w:val="21"/>
        </w:rPr>
        <w:t>ITL2 (the UK’s current regional classification, formerly NUTS-2) chosen over ITL2 2021 because 2025 is the current standard ONS publishes to, aligns English ITL2 with Mayoral Combined Authorities (matching the project’s city focus), and gives slightly more cross-sectional variation.</w:t>
      </w:r>
    </w:p>
    <w:p w14:paraId="68ADF0B0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Principle: one frozen boundary vintage, many data years. </w:t>
      </w:r>
      <w:r>
        <w:rPr>
          <w:rFonts w:ascii="Calibri" w:eastAsia="Calibri" w:hAnsi="Calibri" w:cs="Calibri"/>
          <w:sz w:val="21"/>
          <w:szCs w:val="21"/>
        </w:rPr>
        <w:t>All years of all sources are mapped onto the single 2025 ITL2 map, so regions stay comparable over time; time variation lives in the data, never in the boundaries.</w:t>
      </w:r>
    </w:p>
    <w:p w14:paraId="73F7728A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Spine: </w:t>
      </w:r>
      <w:r>
        <w:rPr>
          <w:rFonts w:ascii="Calibri" w:eastAsia="Calibri" w:hAnsi="Calibri" w:cs="Calibri"/>
          <w:sz w:val="21"/>
          <w:szCs w:val="21"/>
        </w:rPr>
        <w:t>361 local authorities → 46 ITL2 regions, from the ONS Open Geography Portal LAD (April 2025) → ITL (Jan 2025) lookup. Everything joins onto this.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Split LA rule: </w:t>
      </w:r>
      <w:r>
        <w:rPr>
          <w:rFonts w:ascii="Calibri" w:eastAsia="Calibri" w:hAnsi="Calibri" w:cs="Calibri"/>
          <w:sz w:val="21"/>
          <w:szCs w:val="21"/>
        </w:rPr>
        <w:t xml:space="preserve">North Ayrshire is split across two ITL2s in the lookup (Arran &amp; Cumbrae → TLM2; mainland → TLM9). Assigned wholly to TLM9 (~96% of residents), so the spine has one row per LA; geography.py stops if a new split appears without a rule. This fixed a double count in population_itl2 (TLM2 overstated by ~134k, ~27%), which also corrected TLM2 in gva_per_capita_itl2. All other outputs unchanged (checked).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ITL2 2021 version for initial analysis: </w:t>
      </w:r>
      <w:r>
        <w:rPr>
          <w:rFonts w:ascii="Calibri" w:eastAsia="Calibri" w:hAnsi="Calibri" w:cs="Calibri"/>
          <w:sz w:val="21"/>
          <w:szCs w:val="21"/>
        </w:rPr>
        <w:t xml:space="preserve">the secure job-flows data is currently on ITL2 2021 (41 regions); re-aggregating it to 2025 needs secure access. So key indicators are also built on 2021 boundaries, in clean/itl2_2021/ with the same file names. 30 regions are identical on both maps (~74% of UK population); 16 of the 2025 regions (25.5%) differ — North East, East Anglia, South West, Wales, Scotland. The 2025 panel remains the main panel.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2021 spine: </w:t>
      </w:r>
      <w:r>
        <w:rPr>
          <w:rFonts w:ascii="Calibri" w:eastAsia="Calibri" w:hAnsi="Calibri" w:cs="Calibri"/>
          <w:sz w:val="21"/>
          <w:szCs w:val="21"/>
        </w:rPr>
        <w:t xml:space="preserve">build/geography_2021.py, from the ONS LAD (April 2023) → ITL (January 2021) lookup; same rules (one row per LA; North Ayrshire → TLM9, Argyll &amp; Bute → TLM6, by majority of residents). Built on 2021 boundaries: age, productivity, rurality, population density, population-weighted density, migration. LA-based indicators are exact; productivity uses ONS’s published ITL2 values for the 31 unchanged regions and rebuilds the 10 changed ones from ITL3 (Mid Wales split by 16–64 population).</w:t>
      </w:r>
    </w:p>
    <w:p w14:paraId="76F219D5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commentRangeStart w:id="0"/>
      <w:r>
        <w:rPr>
          <w:rFonts w:ascii="Calibri" w:eastAsia="Calibri" w:hAnsi="Calibri" w:cs="Calibri"/>
          <w:b/>
          <w:bCs/>
          <w:color w:val="BF8F00"/>
          <w:sz w:val="21"/>
          <w:szCs w:val="21"/>
        </w:rPr>
        <w:t xml:space="preserve">Rule: derive ITL2 only from our own spine — never from a source’s “ITL” column. </w:t>
      </w:r>
      <w:r>
        <w:rPr>
          <w:rFonts w:ascii="Calibri" w:eastAsia="Calibri" w:hAnsi="Calibri" w:cs="Calibri"/>
          <w:sz w:val="21"/>
          <w:szCs w:val="21"/>
        </w:rPr>
        <w:t>The ONSPD (Feb 2026) ‘itl25cd’ field was found to contain local-authority codes, not ITL codes; using it directly produced a wrong-geography panel (319 “regions”), caught only by the region-count check.</w:t>
      </w:r>
      <w:commentRangeEnd w:id="0"/>
      <w:r>
        <w:rPr>
          <w:rStyle w:val="CommentReference"/>
          <w:sz w:val="20"/>
          <w:szCs w:val="20"/>
        </w:rPr>
        <w:commentReference w:id="0"/>
      </w:r>
    </w:p>
    <w:p w14:paraId="40D5EA67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Standard validation: region-count check on every source </w:t>
      </w:r>
      <w:r>
        <w:rPr>
          <w:rFonts w:ascii="Calibri" w:eastAsia="Calibri" w:hAnsi="Calibri" w:cs="Calibri"/>
          <w:sz w:val="21"/>
          <w:szCs w:val="21"/>
        </w:rPr>
        <w:t>(expect 46 UK-wide; 39 for England &amp; Wales–only sources) before trusting output.</w:t>
      </w:r>
    </w:p>
    <w:p w14:paraId="698E4C27" w14:textId="77777777" w:rsidR="008D2F66" w:rsidRDefault="001C0BFF">
      <w:pPr>
        <w:pStyle w:val="Heading1"/>
        <w:spacing w:before="300" w:after="110"/>
      </w:pP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>2. Local-authority code harmonisation (crosswalk)</w:t>
      </w:r>
    </w:p>
    <w:p w14:paraId="130C7319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Why: </w:t>
      </w:r>
      <w:r>
        <w:rPr>
          <w:rFonts w:ascii="Calibri" w:eastAsia="Calibri" w:hAnsi="Calibri" w:cs="Calibri"/>
          <w:sz w:val="21"/>
          <w:szCs w:val="21"/>
        </w:rPr>
        <w:t>LA codes change over time (recodes and mergers); historical data must be mapped to current codes before joining the spine, or authorities silently drop out.</w:t>
      </w:r>
    </w:p>
    <w:p w14:paraId="5FA85461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Method: </w:t>
      </w:r>
      <w:r>
        <w:rPr>
          <w:rFonts w:ascii="Calibri" w:eastAsia="Calibri" w:hAnsi="Calibri" w:cs="Calibri"/>
          <w:sz w:val="21"/>
          <w:szCs w:val="21"/>
        </w:rPr>
        <w:t>built from the ONS Code History Database (June 2026). Recodes resolved by name-match (terminated → live code, same entity + name); mergers via the CHD ‘Changes’ predecessor→successor links. Ambiguous successors are flagged, not guessed. Self-validated against Barnsley/Sheffield recodes and the Aylesbury Vale→Buckinghamshire merger.</w:t>
      </w:r>
    </w:p>
    <w:p w14:paraId="57BA0652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Note — error in ONS’s own data: </w:t>
      </w:r>
      <w:r>
        <w:rPr>
          <w:rFonts w:ascii="Calibri" w:eastAsia="Calibri" w:hAnsi="Calibri" w:cs="Calibri"/>
          <w:sz w:val="21"/>
          <w:szCs w:val="21"/>
        </w:rPr>
        <w:t>CHD ‘Changes’ contains a stray row mapping Barnsley’s old code to Sheffield’s new code. Name-match precedence handles it correctly; a self-check in build_crosswalk.py guards against it.</w:t>
      </w:r>
    </w:p>
    <w:p w14:paraId="16916603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Applied before every spine join. </w:t>
      </w:r>
      <w:r>
        <w:rPr>
          <w:rFonts w:ascii="Calibri" w:eastAsia="Calibri" w:hAnsi="Calibri" w:cs="Calibri"/>
          <w:sz w:val="21"/>
          <w:szCs w:val="21"/>
        </w:rPr>
        <w:t>Still doing real work: Nomis (population, APS) and Land Registry data still use the old Barnsley/Sheffield codes.</w:t>
      </w:r>
    </w:p>
    <w:p w14:paraId="63033BFB" w14:textId="77777777" w:rsidR="008D2F66" w:rsidRDefault="001C0BFF">
      <w:pPr>
        <w:pStyle w:val="Heading1"/>
        <w:spacing w:before="300" w:after="110"/>
      </w:pP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>3. Aggregation principles</w:t>
      </w:r>
    </w:p>
    <w:p w14:paraId="0E21038C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Counts &amp; flows SUM to ITL2 </w:t>
      </w:r>
      <w:r>
        <w:rPr>
          <w:rFonts w:ascii="Calibri" w:eastAsia="Calibri" w:hAnsi="Calibri" w:cs="Calibri"/>
          <w:sz w:val="21"/>
          <w:szCs w:val="21"/>
        </w:rPr>
        <w:t>(people, jobs, sales, migrants) — exact, assumption-free.</w:t>
      </w:r>
    </w:p>
    <w:p w14:paraId="2391D2E6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Rates &amp; ratios are never simple-averaged across LAs. </w:t>
      </w:r>
      <w:r>
        <w:rPr>
          <w:rFonts w:ascii="Calibri" w:eastAsia="Calibri" w:hAnsi="Calibri" w:cs="Calibri"/>
          <w:sz w:val="21"/>
          <w:szCs w:val="21"/>
        </w:rPr>
        <w:t>Recompute from summed numerator ÷ summed denominator, i.e. aggregate the counts then form the ratio at ITL2.</w:t>
      </w:r>
    </w:p>
    <w:p w14:paraId="2C548E82" w14:textId="77777777" w:rsidR="008D2F66" w:rsidRPr="0069797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Prices use the median of pooled transactions </w:t>
      </w:r>
      <w:r>
        <w:rPr>
          <w:rFonts w:ascii="Calibri" w:eastAsia="Calibri" w:hAnsi="Calibri" w:cs="Calibri"/>
          <w:sz w:val="21"/>
          <w:szCs w:val="21"/>
        </w:rPr>
        <w:t>at ITL2 (not an average of LA medians).</w:t>
      </w:r>
    </w:p>
    <w:p w14:paraId="7E5C113E" w14:textId="74B3FC6F" w:rsidR="00697976" w:rsidRDefault="00697976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Distributions by LAD within ITL2 (showing ITL2 median) is an option to avert the aggregation issue. </w:t>
      </w:r>
    </w:p>
    <w:p w14:paraId="42EBD99C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Already-ITL2 series join as-is </w:t>
      </w:r>
      <w:r>
        <w:rPr>
          <w:rFonts w:ascii="Calibri" w:eastAsia="Calibri" w:hAnsi="Calibri" w:cs="Calibri"/>
          <w:sz w:val="21"/>
          <w:szCs w:val="21"/>
        </w:rPr>
        <w:t>(e.g. GVA, GDHI) — no aggregation, so no aggregation error.</w:t>
      </w:r>
    </w:p>
    <w:p w14:paraId="6D07FAFA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color w:val="BF8F00"/>
          <w:sz w:val="21"/>
          <w:szCs w:val="21"/>
        </w:rPr>
        <w:t xml:space="preserve">Preference: avoid aggregating ratios across geographies wherever possible. </w:t>
      </w:r>
      <w:r>
        <w:rPr>
          <w:rFonts w:ascii="Calibri" w:eastAsia="Calibri" w:hAnsi="Calibri" w:cs="Calibri"/>
          <w:sz w:val="21"/>
          <w:szCs w:val="21"/>
        </w:rPr>
        <w:t>Prefer summable counts; derive any ratio at ITL2 from clean components. A ratio already published at ITL2 is fine — the danger is only in averaging/weighting LA-level ratios ourselves.</w:t>
      </w:r>
    </w:p>
    <w:p>
      <w:pPr>
        <w:pStyle w:val="Heading1"/>
        <w:spacing w:before="300" w:after="110"/>
      </w:pP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 xml:space="preserve">4. Prices &amp; inflation adjustment (nominal vs real)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Policy: keep nominal, add real alongside. </w:t>
      </w:r>
      <w:r>
        <w:rPr>
          <w:rFonts w:ascii="Calibri" w:eastAsia="Calibri" w:hAnsi="Calibri" w:cs="Calibri"/>
          <w:sz w:val="21"/>
          <w:szCs w:val="21"/>
        </w:rPr>
        <w:t xml:space="preserve">Every clean file keeps current-price (nominal) £ values as the master record. Inflation-adjusted (real) values are added as extra columns, never overwriting nominal. Real columns are labelled with their price base year (e.g. _real_2022gbp) and built inside the notebook from published series, so they are reproducible and rebuild automatically when ONS rebases.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Preferred method — ONS’s own real (chained volume) series. </w:t>
      </w:r>
      <w:r>
        <w:rPr>
          <w:rFonts w:ascii="Calibri" w:eastAsia="Calibri" w:hAnsi="Calibri" w:cs="Calibri"/>
          <w:sz w:val="21"/>
          <w:szCs w:val="21"/>
        </w:rPr>
        <w:t xml:space="preserve">Where ONS publishes a real measure, use it. ONS removes price changes from each region’s output industry by industry (each industry’s national price deflator), then re-adds and chain-links the industries, so each region’s adjustment reflects its own industry mix. ONS publishes these as an index per region (base year = 100), which shows real growth within a region but not levels across regions.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Turning a real index into £: </w:t>
      </w:r>
      <w:r>
        <w:rPr>
          <w:rFonts w:ascii="Calibri" w:eastAsia="Calibri" w:hAnsi="Calibri" w:cs="Calibri"/>
          <w:sz w:val="21"/>
          <w:szCs w:val="21"/>
        </w:rPr>
        <w:t xml:space="preserve">real £ (region, year) = current-price £ (region, base year) × real index (region, year) ÷ 100. In the base year real equals nominal by construction; in every other year the value moves with the region’s real growth. Result: values comparable across regions and over time, in base-year prices.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Otherwise — one national price index, chosen by concept: </w:t>
      </w:r>
      <w:r>
        <w:rPr>
          <w:rFonts w:ascii="Calibri" w:eastAsia="Calibri" w:hAnsi="Calibri" w:cs="Calibri"/>
          <w:sz w:val="21"/>
          <w:szCs w:val="21"/>
        </w:rPr>
        <w:t xml:space="preserve">CPIH for household incomes and earnings (GDHI, ASHE wages); the GDP deflator for output measures without an ONS real series. The UK has no official regional price indices, so we make no adjustment for regional differences in price levels.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Why nominal is kept: </w:t>
      </w:r>
      <w:r>
        <w:rPr>
          <w:rFonts w:ascii="Calibri" w:eastAsia="Calibri" w:hAnsi="Calibri" w:cs="Calibri"/>
          <w:sz w:val="21"/>
          <w:szCs w:val="21"/>
        </w:rPr>
        <w:t xml:space="preserve"/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Fixed effects: </w:t>
      </w:r>
      <w:r>
        <w:rPr>
          <w:rFonts w:ascii="Calibri" w:eastAsia="Calibri" w:hAnsi="Calibri" w:cs="Calibri"/>
          <w:sz w:val="21"/>
          <w:szCs w:val="21"/>
        </w:rPr>
        <w:t xml:space="preserve">with year fixed effects, a single national deflator drops out of the estimates entirely (in logs, nominal = real + that year’s deflator), so deflating that way changes nothing. ONS chained-volume deflation does change results, because it differs by region.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Ratios: </w:t>
      </w:r>
      <w:r>
        <w:rPr>
          <w:rFonts w:ascii="Calibri" w:eastAsia="Calibri" w:hAnsi="Calibri" w:cs="Calibri"/>
          <w:sz w:val="21"/>
          <w:szCs w:val="21"/>
        </w:rPr>
        <w:t xml:space="preserve">ratios between £ series (e.g. house price ÷ earnings) must use nominal values, or values deflated identically — mixing deflators makes ratios meaningless.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Rebasing: </w:t>
      </w:r>
      <w:r>
        <w:rPr>
          <w:rFonts w:ascii="Calibri" w:eastAsia="Calibri" w:hAnsi="Calibri" w:cs="Calibri"/>
          <w:sz w:val="21"/>
          <w:szCs w:val="21"/>
        </w:rPr>
        <w:t xml:space="preserve">ONS rebases real series every release (currently 2022 = 100); nominal plus a stated base year is the stable record.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Not additive: </w:t>
      </w:r>
      <w:r>
        <w:rPr>
          <w:rFonts w:ascii="Calibri" w:eastAsia="Calibri" w:hAnsi="Calibri" w:cs="Calibri"/>
          <w:sz w:val="21"/>
          <w:szCs w:val="21"/>
        </w:rPr>
        <w:t xml:space="preserve">chained-volume (real) values do not sum across regions. Recompute any ratio from components; never add up real values.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Status by file: </w:t>
      </w:r>
      <w:r>
        <w:rPr>
          <w:rFonts w:ascii="Calibri" w:eastAsia="Calibri" w:hAnsi="Calibri" w:cs="Calibri"/>
          <w:sz w:val="21"/>
          <w:szCs w:val="21"/>
        </w:rPr>
        <w:t xml:space="preserve"/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GVA (gva_itl2, gva_per_capita_itl2): </w:t>
      </w:r>
      <w:r>
        <w:rPr>
          <w:rFonts w:ascii="Calibri" w:eastAsia="Calibri" w:hAnsi="Calibri" w:cs="Calibri"/>
          <w:sz w:val="21"/>
          <w:szCs w:val="21"/>
        </w:rPr>
        <w:t xml:space="preserve">already real — ONS chained volume, 2022 money. No action.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Labour productivity (productivity_itl2): </w:t>
      </w:r>
      <w:r>
        <w:rPr>
          <w:rFonts w:ascii="Calibri" w:eastAsia="Calibri" w:hAnsi="Calibri" w:cs="Calibri"/>
          <w:sz w:val="21"/>
          <w:szCs w:val="21"/>
        </w:rPr>
        <w:t xml:space="preserve">nominal and real (2022 prices) both included — see Section 6.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GDHI per head (gdhi_itl2): </w:t>
      </w:r>
      <w:r>
        <w:rPr>
          <w:rFonts w:ascii="Calibri" w:eastAsia="Calibri" w:hAnsi="Calibri" w:cs="Calibri"/>
          <w:sz w:val="21"/>
          <w:szCs w:val="21"/>
        </w:rPr>
        <w:t xml:space="preserve">nominal only. Real version pending (CPIH proposed) — see open decisions.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ASHE earnings (LA files): </w:t>
      </w:r>
      <w:r>
        <w:rPr>
          <w:rFonts w:ascii="Calibri" w:eastAsia="Calibri" w:hAnsi="Calibri" w:cs="Calibri"/>
          <w:sz w:val="21"/>
          <w:szCs w:val="21"/>
        </w:rPr>
        <w:t xml:space="preserve">nominal. Deflate (CPIH proposed) when building ITL2 wages.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House prices (Price Paid medians): </w:t>
      </w:r>
      <w:r>
        <w:rPr>
          <w:rFonts w:ascii="Calibri" w:eastAsia="Calibri" w:hAnsi="Calibri" w:cs="Calibri"/>
          <w:sz w:val="21"/>
          <w:szCs w:val="21"/>
        </w:rPr>
        <w:t xml:space="preserve">nominal. Mainly used as a ratio to earnings (no deflation needed); deflating levels is optional.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All other files </w:t>
      </w:r>
      <w:r>
        <w:rPr>
          <w:rFonts w:ascii="Calibri" w:eastAsia="Calibri" w:hAnsi="Calibri" w:cs="Calibri"/>
          <w:sz w:val="21"/>
          <w:szCs w:val="21"/>
        </w:rPr>
        <w:t xml:space="preserve">(population, age, migration, labour counts) are people or ages — no price adjustment.</w:t>
      </w:r>
    </w:p>
    <w:p w14:paraId="663449B2" w14:textId="77777777" w:rsidR="008D2F66" w:rsidRDefault="001C0BFF">
      <w:pPr>
        <w:pStyle w:val="Heading1"/>
        <w:spacing w:before="300" w:after="110"/>
      </w:pP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>5. Data acquisition &amp; refresh strategy</w:t>
      </w:r>
    </w:p>
    <w:p w14:paraId="7EFC1BAF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Prioritise APIs for refreshability </w:t>
      </w:r>
      <w:r>
        <w:rPr>
          <w:rFonts w:ascii="Calibri" w:eastAsia="Calibri" w:hAnsi="Calibri" w:cs="Calibri"/>
          <w:sz w:val="21"/>
          <w:szCs w:val="21"/>
        </w:rPr>
        <w:t>(multi-year project; we will re-pull for latest data). Separate “acquire” from “process” so “get latest” is a known per-source action.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On API now: </w:t>
      </w:r>
      <w:r>
        <w:rPr>
          <w:rFonts w:ascii="Calibri" w:eastAsia="Calibri" w:hAnsi="Calibri" w:cs="Calibri"/>
          <w:sz w:val="21"/>
          <w:szCs w:val="21"/>
        </w:rPr>
        <w:t xml:space="preserve">population, age, labour, education, ASHE earnings, small-area population (Nomis).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API scan (Oct 2026, build/explore_ons_api_itl2.ipynb): </w:t>
      </w:r>
      <w:r>
        <w:rPr>
          <w:rFonts w:ascii="Calibri" w:eastAsia="Calibri" w:hAnsi="Calibri" w:cs="Calibri"/>
          <w:sz w:val="21"/>
          <w:szCs w:val="21"/>
        </w:rPr>
        <w:t xml:space="preserve">only 12 of 1,617 Nomis datasets offer ITL2, and most only for 2025–26; the ONS beta API has none. LA aggregation remains the main route; GVA, GDHI and productivity stay as ONS spreadsheet downloads.</w:t>
      </w:r>
    </w:p>
    <w:p w14:paraId="43E02A8B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Candidates to convert: </w:t>
      </w:r>
      <w:r>
        <w:rPr>
          <w:rFonts w:ascii="Calibri" w:eastAsia="Calibri" w:hAnsi="Calibri" w:cs="Calibri"/>
          <w:sz w:val="21"/>
          <w:szCs w:val="21"/>
        </w:rPr>
        <w:t>Price Paid via scripted yearly-file downloads. Always resolve the dataset’s latest_version per run rather than hardcoding a URL.</w:t>
      </w:r>
    </w:p>
    <w:p w14:paraId="09CCE8EC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Stay file-based (no suitable API, or deliberately frozen): </w:t>
      </w:r>
      <w:r>
        <w:rPr>
          <w:rFonts w:ascii="Calibri" w:eastAsia="Calibri" w:hAnsi="Calibri" w:cs="Calibri"/>
          <w:sz w:val="21"/>
          <w:szCs w:val="21"/>
        </w:rPr>
        <w:t>internal migration (annual series is workbook-only), geography spine, LA crosswalk, ONSPD.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Raw files in git: </w:t>
      </w:r>
      <w:r>
        <w:rPr>
          <w:rFonts w:ascii="Calibri" w:eastAsia="Calibri" w:hAnsi="Calibri" w:cs="Calibri"/>
          <w:sz w:val="21"/>
          <w:szCs w:val="21"/>
        </w:rPr>
        <w:t xml:space="preserve">hand-downloaded source files the build reads from disk are committed (allow-list in .gitignore). Not committed: dated API extracts (nomis_*.csv, re-pulled every run), files the notebooks download themselves, and very large files. Secure LBD data must never leave the UK Data Service enclave.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Download manually (too large for git): </w:t>
      </w:r>
      <w:r>
        <w:rPr>
          <w:rFonts w:ascii="Calibri" w:eastAsia="Calibri" w:hAnsi="Calibri" w:cs="Calibri"/>
          <w:sz w:val="21"/>
          <w:szCs w:val="21"/>
        </w:rPr>
        <w:t xml:space="preserve"/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Price Paid: </w:t>
      </w:r>
      <w:r>
        <w:rPr>
          <w:rFonts w:ascii="Calibri" w:eastAsia="Calibri" w:hAnsi="Calibri" w:cs="Calibri"/>
          <w:sz w:val="21"/>
          <w:szCs w:val="21"/>
        </w:rPr>
        <w:t xml:space="preserve">HM Land Registry Price Paid Data — complete file pp-complete.csv (~5.5 GB) and yearly files pp-YYYY.csv — from https://www.gov.uk/government/statistical-data-sets/price-paid-data-downloads, into raw/housing/price_paid/.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ONSPD: </w:t>
      </w:r>
      <w:r>
        <w:rPr>
          <w:rFonts w:ascii="Calibri" w:eastAsia="Calibri" w:hAnsi="Calibri" w:cs="Calibri"/>
          <w:sz w:val="21"/>
          <w:szCs w:val="21"/>
        </w:rPr>
        <w:t xml:space="preserve">needed to map Price Paid postcodes to LAs — ONS Postcode Directory (February 2026, ~1.4 GB), https://geoportal.statistics.gov.uk/datasets/3080229224424c9cb53c0b48f5a64d27, into raw/onspd/.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Code History Database: </w:t>
      </w:r>
      <w:r>
        <w:rPr>
          <w:rFonts w:ascii="Calibri" w:eastAsia="Calibri" w:hAnsi="Calibri" w:cs="Calibri"/>
          <w:sz w:val="21"/>
          <w:szCs w:val="21"/>
        </w:rPr>
        <w:t xml:space="preserve">only to rebuild the LA crosswalk (the crosswalk itself is in git) — https://geoportal.statistics.gov.uk/datasets/e0bc41722b1a4b76a6ecfff14f91cbb4, into raw/geography/.</w:t>
      </w:r>
    </w:p>
    <w:p w14:paraId="2E1BCB39" w14:textId="77777777" w:rsidR="008D2F66" w:rsidRDefault="001C0BFF">
      <w:pPr>
        <w:pStyle w:val="Heading1"/>
        <w:spacing w:before="300" w:after="110"/>
      </w:pP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>6. Indicator decisions</w:t>
      </w:r>
    </w:p>
    <w:p w14:paraId="7B501934" w14:textId="77777777" w:rsidR="008D2F66" w:rsidRDefault="001C0BFF">
      <w:pPr>
        <w:pStyle w:val="Heading2"/>
        <w:spacing w:before="170" w:after="60"/>
      </w:pPr>
      <w:r>
        <w:rPr>
          <w:rFonts w:ascii="Calibri" w:eastAsia="Calibri" w:hAnsi="Calibri" w:cs="Calibri"/>
          <w:b/>
          <w:bCs/>
          <w:color w:val="2E5496"/>
          <w:sz w:val="22"/>
          <w:szCs w:val="22"/>
        </w:rPr>
        <w:t>Population</w:t>
      </w:r>
    </w:p>
    <w:p w14:paraId="4AE3D561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1"/>
          <w:szCs w:val="21"/>
        </w:rPr>
        <w:t>Nomis (NM_2002_1), all-ages, summed to ITL2; 46 regions, ~35 years. Doubles as the weight for deriving rates. Watch small steps at census rebasings.</w:t>
      </w:r>
    </w:p>
    <w:p>
      <w:pPr>
        <w:pStyle w:val="Heading2"/>
        <w:spacing w:before="170" w:after="60"/>
      </w:pPr>
      <w:r>
        <w:rPr>
          <w:rFonts w:ascii="Calibri" w:eastAsia="Calibri" w:hAnsi="Calibri" w:cs="Calibri"/>
          <w:b/>
          <w:bCs/>
          <w:color w:val="2E5496"/>
          <w:sz w:val="22"/>
          <w:szCs w:val="22"/>
        </w:rPr>
        <w:t xml:space="preserve">Age structure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Source: </w:t>
      </w:r>
      <w:r>
        <w:rPr>
          <w:rFonts w:ascii="Calibri" w:eastAsia="Calibri" w:hAnsi="Calibri" w:cs="Calibri"/>
          <w:sz w:val="21"/>
          <w:szCs w:val="21"/>
        </w:rPr>
        <w:t xml:space="preserve">Nomis NM_2002_1, persons by single year of age, 1991–2025, summed to ITL2. Replaces an earlier ONS workbook version (2011–2024, pre-revision).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Method: </w:t>
      </w:r>
      <w:r>
        <w:rPr>
          <w:rFonts w:ascii="Calibri" w:eastAsia="Calibri" w:hAnsi="Calibri" w:cs="Calibri"/>
          <w:sz w:val="21"/>
          <w:szCs w:val="21"/>
        </w:rPr>
        <w:t xml:space="preserve">median age interpolated from ITL2 single-year counts (never averaged across LAs); age-band counts, shares and dependency ratios from the same counts. Outputs: age_single_year_itl2, age_itl2, median_age_itl2.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Caveats: </w:t>
      </w:r>
      <w:r>
        <w:rPr>
          <w:rFonts w:ascii="Calibri" w:eastAsia="Calibri" w:hAnsi="Calibri" w:cs="Calibri"/>
          <w:sz w:val="21"/>
          <w:szCs w:val="21"/>
        </w:rPr>
        <w:t xml:space="preserve">E&amp;W 1991–2000 top age group is 85+ (no 85–89 detail; flagged open_ended) — median and bands below 85 unaffected. NI from 2001. Totals match population_itl2 exactly.</w:t>
      </w:r>
    </w:p>
    <w:p w14:paraId="217DBCE3" w14:textId="77777777" w:rsidR="008D2F66" w:rsidRDefault="001C0BFF">
      <w:pPr>
        <w:pStyle w:val="Heading2"/>
        <w:spacing w:before="170" w:after="60"/>
      </w:pPr>
      <w:r>
        <w:rPr>
          <w:rFonts w:ascii="Calibri" w:eastAsia="Calibri" w:hAnsi="Calibri" w:cs="Calibri"/>
          <w:b/>
          <w:bCs/>
          <w:color w:val="2E5496"/>
          <w:sz w:val="22"/>
          <w:szCs w:val="22"/>
        </w:rPr>
        <w:t>Internal migration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Sources: </w:t>
      </w:r>
      <w:r>
        <w:rPr>
          <w:rFonts w:ascii="Calibri" w:eastAsia="Calibri" w:hAnsi="Calibri" w:cs="Calibri"/>
          <w:sz w:val="21"/>
          <w:szCs w:val="21"/>
        </w:rPr>
        <w:t xml:space="preserve">E&amp;W — ONS internal migration tables (T1/T1a LA in/out; T2/T2a LA × LA origin–destination matrix), 2012–2025. NI (TLN0) — the same ONS matrix (NI ↔ every E&amp;W LA and ↔ Scotland; NI is one ITL2, so complete). Scotland — NRS council × council flows and council ↔ rest-of-UK flows, 2012–2024. All 46 regions 2012–2024 (2025: E&amp;W and NI only).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Gross flows: </w:t>
      </w:r>
      <w:r>
        <w:rPr>
          <w:rFonts w:ascii="Calibri" w:eastAsia="Calibri" w:hAnsi="Calibri" w:cs="Calibri"/>
          <w:sz w:val="21"/>
          <w:szCs w:val="21"/>
        </w:rPr>
        <w:t xml:space="preserve">LA-summed inflow/outflow include moves between LAs inside the same ITL2 (median 30%, up to 46% of “inflow”). True ITL2 gross flows (inflow_itl2, outflow_itl2) come from the origin–destination matrix — use these for mobility rates; net migration is unaffected. Region × region flows in migration_flows_itl2.csv; flows between a specific Scottish region and a specific E&amp;W region are not published (kept as one Scotland block).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Robustness: </w:t>
      </w:r>
      <w:r>
        <w:rPr>
          <w:rFonts w:ascii="Calibri" w:eastAsia="Calibri" w:hAnsi="Calibri" w:cs="Calibri"/>
          <w:sz w:val="21"/>
          <w:szCs w:val="21"/>
        </w:rPr>
        <w:t xml:space="preserve">matrix margins reproduce the LA tables; aggregated flows match ONS’s own region matrix (T6) in all years (median gap 6 moves, ≤1.6%, cell rounding); NRS and ONS Scotland ↔ rest-of-UK totals agree within 0.1%. ONS misnamed the 2019 region sheet (IMI2019-T6) — handled.</w:t>
      </w:r>
    </w:p>
    <w:p w14:paraId="4FDA8F13" w14:textId="77777777" w:rsidR="008D2F66" w:rsidRDefault="001C0BFF"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Checked: COVID-era net outflow from inner London in 2020–21 is real, not an artefact; no visible method-break at the mid-2023 ONS method change when viewed at ITL2.</w:t>
      </w:r>
    </w:p>
    <w:p w14:paraId="0EAF9C9A" w14:textId="77777777" w:rsidR="008D2F66" w:rsidRDefault="001C0BFF">
      <w:pPr>
        <w:pStyle w:val="Heading2"/>
        <w:spacing w:before="170" w:after="60"/>
      </w:pPr>
      <w:r>
        <w:rPr>
          <w:rFonts w:ascii="Calibri" w:eastAsia="Calibri" w:hAnsi="Calibri" w:cs="Calibri"/>
          <w:b/>
          <w:bCs/>
          <w:color w:val="2E5496"/>
          <w:sz w:val="22"/>
          <w:szCs w:val="22"/>
        </w:rPr>
        <w:t>GVA (output) &amp; GVA per capita</w:t>
      </w:r>
    </w:p>
    <w:p w14:paraId="02178B7A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1"/>
          <w:szCs w:val="21"/>
        </w:rPr>
        <w:t>ONS Regional GVA (balanced) by industry, Table 2b (real, chained volume £m); already ITL2 2025, 46 regions, 1998–2023. GVA per capita derived with the population series. Corrected-edition file used. This is output, not productivity.</w:t>
      </w:r>
    </w:p>
    <w:p>
      <w:pPr>
        <w:pStyle w:val="Heading2"/>
        <w:spacing w:before="170" w:after="60"/>
      </w:pPr>
      <w:r>
        <w:rPr>
          <w:rFonts w:ascii="Calibri" w:eastAsia="Calibri" w:hAnsi="Calibri" w:cs="Calibri"/>
          <w:b/>
          <w:bCs/>
          <w:color w:val="2E5496"/>
          <w:sz w:val="22"/>
          <w:szCs w:val="22"/>
        </w:rPr>
        <w:t xml:space="preserve">Labour productivity (GVA per hour worked / per filled job)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Source: </w:t>
      </w:r>
      <w:r>
        <w:rPr>
          <w:rFonts w:ascii="Calibri" w:eastAsia="Calibri" w:hAnsi="Calibri" w:cs="Calibri"/>
          <w:sz w:val="21"/>
          <w:szCs w:val="21"/>
        </w:rPr>
        <w:t xml:space="preserve">ONS Subregional productivity, June 2025 release (labourproductivityitls2.xlsx), downloaded from the ONS website — a spreadsheet release, not available via the Nomis or ONS APIs. Saved in raw/productivity/; build/productivity.ipynb re-downloads the current release only if the file is missing. Already ITL2 2025, 46 regions, UK-wide (incl. Scotland and NI). Output: clean/productivity_itl2.csv.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Counts kept: </w:t>
      </w:r>
      <w:r>
        <w:rPr>
          <w:rFonts w:ascii="Calibri" w:eastAsia="Calibri" w:hAnsi="Calibri" w:cs="Calibri"/>
          <w:sz w:val="21"/>
          <w:szCs w:val="21"/>
        </w:rPr>
        <w:t xml:space="preserve">total hours worked in an average week (2004–2023) and filled jobs (2002–2023), as summable denominators — both sum exactly to the ITL1 totals (checked). Annual hours = weekly × 52.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Three productivity forms: </w:t>
      </w:r>
      <w:r>
        <w:rPr>
          <w:rFonts w:ascii="Calibri" w:eastAsia="Calibri" w:hAnsi="Calibri" w:cs="Calibri"/>
          <w:sz w:val="21"/>
          <w:szCs w:val="21"/>
        </w:rPr>
        <w:t xml:space="preserve">current-price £ unsmoothed (consistent with regional GVA; year-to-year analysis); current-price £ smoothed (ONS’s recommended measure for comparing levels across regions — dampens survey noise in hours/jobs); chained-volume index, 2022 = 100 (real growth within a region only).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Real £ in 2022 prices added: </w:t>
      </w:r>
      <w:r>
        <w:rPr>
          <w:rFonts w:ascii="Calibri" w:eastAsia="Calibri" w:hAnsi="Calibri" w:cs="Calibri"/>
          <w:sz w:val="21"/>
          <w:szCs w:val="21"/>
        </w:rPr>
        <w:t xml:space="preserve">gva_per_hour_real_2022gbp and gva_per_job_real_2022gbp = unsmoothed 2022 current-price level × real index ÷ 100 (method in Section 4). Validation: matches real GVA (gva_itl2.csv) ÷ annual hours within 0.02% in every region-year.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Caveats: </w:t>
      </w:r>
      <w:r>
        <w:rPr>
          <w:rFonts w:ascii="Calibri" w:eastAsia="Calibri" w:hAnsi="Calibri" w:cs="Calibri"/>
          <w:sz w:val="21"/>
          <w:szCs w:val="21"/>
        </w:rPr>
        <w:t xml:space="preserve">hours are survey-based (hence ONS’s smoothing); the real series is built from unsmoothed data, as ONS publishes no smoothed real index; the plain £ columns are not inflation-adjusted.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2021 boundaries: </w:t>
      </w:r>
      <w:r>
        <w:rPr>
          <w:rFonts w:ascii="Calibri" w:eastAsia="Calibri" w:hAnsi="Calibri" w:cs="Calibri"/>
          <w:sz w:val="21"/>
          <w:szCs w:val="21"/>
        </w:rPr>
        <w:t xml:space="preserve">see Section 1 — published values for 31 regions, ITL3 rebuild for 10; jobs and £ exact, real values within ~0.2% (median).</w:t>
      </w:r>
    </w:p>
    <w:p w14:paraId="5C4E7E64" w14:textId="77777777" w:rsidR="008D2F66" w:rsidRDefault="001C0BFF">
      <w:pPr>
        <w:pStyle w:val="Heading2"/>
        <w:spacing w:before="170" w:after="60"/>
      </w:pPr>
      <w:r>
        <w:rPr>
          <w:rFonts w:ascii="Calibri" w:eastAsia="Calibri" w:hAnsi="Calibri" w:cs="Calibri"/>
          <w:b/>
          <w:bCs/>
          <w:color w:val="2E5496"/>
          <w:sz w:val="22"/>
          <w:szCs w:val="22"/>
        </w:rPr>
        <w:t>GDHI per head</w:t>
      </w:r>
    </w:p>
    <w:p w14:paraId="4A53AF93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1"/>
          <w:szCs w:val="21"/>
        </w:rPr>
        <w:t xml:space="preserve">ONS Regional GDHI, Table 3 (per head £); already ITL2 2025, 46 regions, 1997–2024. A residence-based prosperity measure complementing workplace-based GVA. </w:t>
      </w:r>
      <w:r>
        <w:rPr>
          <w:rFonts w:ascii="Calibri" w:eastAsia="Calibri" w:hAnsi="Calibri" w:cs="Calibri"/>
          <w:b/>
          <w:bCs/>
          <w:sz w:val="21"/>
          <w:szCs w:val="21"/>
        </w:rPr>
        <w:t>Not in the original application variable list — added deliberately.</w:t>
      </w:r>
    </w:p>
    <w:p w14:paraId="078384CE" w14:textId="77777777" w:rsidR="008D2F66" w:rsidRDefault="001C0BFF">
      <w:pPr>
        <w:pStyle w:val="Heading2"/>
        <w:spacing w:before="170" w:after="60"/>
      </w:pPr>
      <w:r>
        <w:rPr>
          <w:rFonts w:ascii="Calibri" w:eastAsia="Calibri" w:hAnsi="Calibri" w:cs="Calibri"/>
          <w:b/>
          <w:bCs/>
          <w:color w:val="2E5496"/>
          <w:sz w:val="22"/>
          <w:szCs w:val="22"/>
        </w:rPr>
        <w:t>Housing</w:t>
      </w:r>
    </w:p>
    <w:p w14:paraId="5B8A839D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Primary: Land Registry Price Paid median. </w:t>
      </w:r>
      <w:r>
        <w:rPr>
          <w:rFonts w:ascii="Calibri" w:eastAsia="Calibri" w:hAnsi="Calibri" w:cs="Calibri"/>
          <w:sz w:val="21"/>
          <w:szCs w:val="21"/>
        </w:rPr>
        <w:t>Median of pooled category-A residential (D/S/T/F) sales per ITL2-year, via postcode → LA → crosswalk → spine (ONSPD Feb 2026). E&amp;W only (39/46), 1995–2025. New-build/existing and property-type splits for 2018–2025. Region-years with &lt; 30 sales dropped as border-postcode noise.</w:t>
      </w:r>
    </w:p>
    <w:p w14:paraId="6BE80163" w14:textId="77777777" w:rsidR="008D2F66" w:rsidRPr="00697976" w:rsidRDefault="001C0BFF">
      <w:pPr>
        <w:pStyle w:val="ListParagraph"/>
        <w:numPr>
          <w:ilvl w:val="0"/>
          <w:numId w:val="1"/>
        </w:numPr>
        <w:spacing w:after="80"/>
        <w:rPr>
          <w:highlight w:val="yellow"/>
        </w:rPr>
      </w:pPr>
      <w:r>
        <w:rPr>
          <w:rFonts w:ascii="Calibri" w:eastAsia="Calibri" w:hAnsi="Calibri" w:cs="Calibri"/>
          <w:b/>
          <w:bCs/>
          <w:sz w:val="21"/>
          <w:szCs w:val="21"/>
          <w:highlight w:val="yellow"/>
        </w:rPr>
        <w:t xml:space="preserve">Dropped: UK HPI </w:t>
      </w:r>
      <w:r>
        <w:rPr>
          <w:rFonts w:ascii="Calibri" w:eastAsia="Calibri" w:hAnsi="Calibri" w:cs="Calibri"/>
          <w:sz w:val="21"/>
          <w:szCs w:val="21"/>
          <w:highlight w:val="yellow"/>
        </w:rPr>
        <w:t>(collaborator-built) — mix-adjusted average, UK-wide; the only price measure covering Scotland/NI. Its ITL2 version was an unweighted mean of LA averages, so it was deleted (below).</w:t>
      </w:r>
    </w:p>
    <w:p w14:paraId="3E8A2D9F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color w:val="BF8F00"/>
          <w:sz w:val="21"/>
          <w:szCs w:val="21"/>
        </w:rPr>
        <w:t xml:space="preserve">Affordability ratio files (house-price-to-earnings, workplace &amp; residence) dropped. </w:t>
      </w:r>
      <w:r>
        <w:rPr>
          <w:rFonts w:ascii="Calibri" w:eastAsia="Calibri" w:hAnsi="Calibri" w:cs="Calibri"/>
          <w:sz w:val="21"/>
          <w:szCs w:val="21"/>
        </w:rPr>
        <w:t>They require averaging LA-level ratios up to ITL2 — the aggregation trap we avoid. Instead, affordability will be derived at ITL2 after aggregation, as Price Paid median ÷ a clean ITL2 earnings measure (ASHE). Rental-to-income ratio has the same issue and is parked.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Deleted: </w:t>
      </w:r>
      <w:r>
        <w:rPr>
          <w:rFonts w:ascii="Calibri" w:eastAsia="Calibri" w:hAnsi="Calibri" w:cs="Calibri"/>
          <w:sz w:val="21"/>
          <w:szCs w:val="21"/>
        </w:rPr>
        <w:t xml:space="preserve">housing_ratios.ipynb and its outputs (house_prices_itl2, both affordability CSVs) — unweighted means of LA averages/ratios, with suppressed LAs silently dropped. Recoverable from git (commit b3b982c).</w:t>
      </w:r>
    </w:p>
    <w:p w14:paraId="560513F0" w14:textId="77777777" w:rsidR="008D2F66" w:rsidRDefault="001C0BFF">
      <w:pPr>
        <w:pStyle w:val="Heading2"/>
        <w:spacing w:before="170" w:after="60"/>
      </w:pPr>
      <w:r>
        <w:rPr>
          <w:rFonts w:ascii="Calibri" w:eastAsia="Calibri" w:hAnsi="Calibri" w:cs="Calibri"/>
          <w:b/>
          <w:bCs/>
          <w:color w:val="2E5496"/>
          <w:sz w:val="22"/>
          <w:szCs w:val="22"/>
        </w:rPr>
        <w:t>Labour market (APS counts + Claimant Count)</w:t>
      </w:r>
    </w:p>
    <w:p w14:paraId="1BDABC9A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Approach: counts only, derive rates later. </w:t>
      </w:r>
      <w:r>
        <w:rPr>
          <w:rFonts w:ascii="Calibri" w:eastAsia="Calibri" w:hAnsi="Calibri" w:cs="Calibri"/>
          <w:sz w:val="21"/>
          <w:szCs w:val="21"/>
        </w:rPr>
        <w:t>Pull APS counts, sum to ITL2 (exact), and derive participation / inactivity / unemployment rates at ITL2. Output: clean/labour_counts_itl2.csv — all 46 regions, 2004–2025, all checks passing.</w:t>
      </w:r>
    </w:p>
    <w:p w14:paraId="31820E54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>Technical decisions made during the build (each fixes a silent error):</w:t>
      </w:r>
    </w:p>
    <w:p w14:paraId="656C70B3" w14:textId="77777777" w:rsidR="008D2F66" w:rsidRDefault="001C0BFF"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Measure: </w:t>
      </w:r>
      <w:r>
        <w:rPr>
          <w:rFonts w:ascii="Calibri" w:eastAsia="Calibri" w:hAnsi="Calibri" w:cs="Calibri"/>
          <w:sz w:val="21"/>
          <w:szCs w:val="21"/>
        </w:rPr>
        <w:t>APS (NM_17_5) has no “Value” measure — it stores % variables, with counts in the Numerator/Denominator measures. Counts are pulled from those, not a non-existent “Value”.</w:t>
      </w:r>
    </w:p>
    <w:p w14:paraId="0C2C681C" w14:textId="77777777" w:rsidR="008D2F66" w:rsidRDefault="001C0BFF"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Rolling-period fix: </w:t>
      </w:r>
      <w:r>
        <w:rPr>
          <w:rFonts w:ascii="Calibri" w:eastAsia="Calibri" w:hAnsi="Calibri" w:cs="Calibri"/>
          <w:sz w:val="21"/>
          <w:szCs w:val="21"/>
        </w:rPr>
        <w:t>APS is a 12-month rolling series published quarterly; keeping only calendar-year (Jan–Dec) periods avoids a ~4× overcount from overlapping windows.</w:t>
      </w:r>
    </w:p>
    <w:p w14:paraId="1EA2AEEC" w14:textId="77777777" w:rsidR="008D2F66" w:rsidRDefault="001C0BFF"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 xml:space="preserve">Paging: </w:t>
      </w:r>
      <w:r>
        <w:rPr>
          <w:rFonts w:ascii="Calibri" w:eastAsia="Calibri" w:hAnsi="Calibri" w:cs="Calibri"/>
          <w:sz w:val="21"/>
          <w:szCs w:val="21"/>
        </w:rPr>
        <w:t>the Nomis API returns at most 25,000 rows per request and truncates silently; the full LA series (~238k rows) is fetched by paging through all of it.</w:t>
      </w:r>
    </w:p>
    <w:p w14:paraId="621D68C7" w14:textId="77777777" w:rsidR="008D2F66" w:rsidRDefault="001C0BFF"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Suppression-robust derivation: </w:t>
      </w:r>
      <w:r>
        <w:rPr>
          <w:rFonts w:ascii="Calibri" w:eastAsia="Calibri" w:hAnsi="Calibri" w:cs="Calibri"/>
          <w:sz w:val="21"/>
          <w:szCs w:val="21"/>
        </w:rPr>
        <w:t>published unemployment counts are suppressed for small samples in many LAs, which a plain sum would drop silently. Unemployment is derived as active − employed, and inactive as working-age population − active — exact by definition and based on counts that are almost never suppressed (match published figures to ±100 rounding).</w:t>
      </w:r>
    </w:p>
    <w:p w14:paraId="1D497A5A" w14:textId="77777777" w:rsidR="008D2F66" w:rsidRDefault="001C0BFF"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Northern Ireland: </w:t>
      </w:r>
      <w:r>
        <w:rPr>
          <w:rFonts w:ascii="Calibri" w:eastAsia="Calibri" w:hAnsi="Calibri" w:cs="Calibri"/>
          <w:sz w:val="21"/>
          <w:szCs w:val="21"/>
        </w:rPr>
        <w:t>no LA-level APS on Nomis, so TLN0 uses the NI country figure.</w:t>
      </w:r>
    </w:p>
    <w:p w14:paraId="26E7A34B" w14:textId="77777777" w:rsidR="008D2F66" w:rsidRDefault="001C0BFF"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Suppressed LA-years </w:t>
      </w:r>
      <w:r>
        <w:rPr>
          <w:rFonts w:ascii="Calibri" w:eastAsia="Calibri" w:hAnsi="Calibri" w:cs="Calibri"/>
          <w:sz w:val="21"/>
          <w:szCs w:val="21"/>
        </w:rPr>
        <w:t>(City of London, Orkney) are flagged in an aps_las_missing column rather than silently absorbed.</w:t>
      </w:r>
    </w:p>
    <w:p w14:paraId="1F702A7F" w14:textId="77777777" w:rsidR="008D2F66" w:rsidRDefault="001C0BFF"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Crosswalk guard: </w:t>
      </w:r>
      <w:r>
        <w:rPr>
          <w:rFonts w:ascii="Calibri" w:eastAsia="Calibri" w:hAnsi="Calibri" w:cs="Calibri"/>
          <w:sz w:val="21"/>
          <w:szCs w:val="21"/>
        </w:rPr>
        <w:t>a check fails if an old and a new code both carry data for the same LA-year (Nomis still uses old Barnsley/Sheffield codes).</w:t>
      </w:r>
    </w:p>
    <w:p w14:paraId="2D1B1118" w14:textId="77777777" w:rsidR="008D2F66" w:rsidRDefault="001C0BFF">
      <w:pPr>
        <w:pStyle w:val="ListParagraph"/>
        <w:numPr>
          <w:ilvl w:val="1"/>
          <w:numId w:val="1"/>
        </w:num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Acquisition: </w:t>
      </w:r>
      <w:r>
        <w:rPr>
          <w:rFonts w:ascii="Calibri" w:eastAsia="Calibri" w:hAnsi="Calibri" w:cs="Calibri"/>
          <w:sz w:val="21"/>
          <w:szCs w:val="21"/>
        </w:rPr>
        <w:t>Nomis API queries are built into the notebook (no URL-pasting); dated raw extracts saved in raw/labour/.</w:t>
      </w:r>
    </w:p>
    <w:p w14:paraId="026BA016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Validation: </w:t>
      </w:r>
      <w:r>
        <w:rPr>
          <w:rFonts w:ascii="Calibri" w:eastAsia="Calibri" w:hAnsi="Calibri" w:cs="Calibri"/>
          <w:sz w:val="21"/>
          <w:szCs w:val="21"/>
        </w:rPr>
        <w:t>summed LA counts match Nomis’s own ITL2 (Jan 2025) geography for 2025 — median gap 0.00%; worst 0.2% (active) and 1.7% (unemployed), both Cumbria (TLD1).</w:t>
      </w:r>
    </w:p>
    <w:p w14:paraId="75E921B6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Claimant Count cross-check: </w:t>
      </w:r>
      <w:r>
        <w:rPr>
          <w:rFonts w:ascii="Calibri" w:eastAsia="Calibri" w:hAnsi="Calibri" w:cs="Calibri"/>
          <w:sz w:val="21"/>
          <w:szCs w:val="21"/>
        </w:rPr>
        <w:t>summed over LAs, averaged over months (it is a stock, not a flow), complete years only. It is age 16+ while APS is 16–64, so treat it as a trend check, not a level comparison.</w:t>
      </w:r>
    </w:p>
    <w:p>
      <w:pPr>
        <w:pStyle w:val="Heading2"/>
        <w:spacing w:before="170" w:after="60"/>
      </w:pPr>
      <w:r>
        <w:rPr>
          <w:rFonts w:ascii="Calibri" w:eastAsia="Calibri" w:hAnsi="Calibri" w:cs="Calibri"/>
          <w:b/>
          <w:bCs/>
          <w:color w:val="2E5496"/>
          <w:sz w:val="22"/>
          <w:szCs w:val="22"/>
        </w:rPr>
        <w:t xml:space="preserve">Earnings (ASHE)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Source: </w:t>
      </w:r>
      <w:r>
        <w:rPr>
          <w:rFonts w:ascii="Calibri" w:eastAsia="Calibri" w:hAnsi="Calibri" w:cs="Calibri"/>
          <w:sz w:val="21"/>
          <w:szCs w:val="21"/>
        </w:rPr>
        <w:t xml:space="preserve">Nomis NM_30_1 (residence, 2002–2025) and NM_99_1 (workplace, 1997–2025); full-time, gross weekly and hourly; jobs, median and P10–P90, with CV. GB only.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Kept at LA: </w:t>
      </w:r>
      <w:r>
        <w:rPr>
          <w:rFonts w:ascii="Calibri" w:eastAsia="Calibri" w:hAnsi="Calibri" w:cs="Calibri"/>
          <w:sz w:val="21"/>
          <w:szCs w:val="21"/>
        </w:rPr>
        <w:t xml:space="preserve">percentiles can’t be summed; ITL2 wages to come from jobs-weighted percentile interpolation (pending).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History recovered: </w:t>
      </w:r>
      <w:r>
        <w:rPr>
          <w:rFonts w:ascii="Calibri" w:eastAsia="Calibri" w:hAnsi="Calibri" w:cs="Calibri"/>
          <w:sz w:val="21"/>
          <w:szCs w:val="21"/>
        </w:rPr>
        <w:t xml:space="preserve">no single Nomis boundary set holds all years. Stitched from four LA vintages plus crosswalk predecessor codes; per LA-year, the current LA is used if it has data, otherwise its predecessors — never both. All 45 GB ITL2s covered every year.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Suppression: </w:t>
      </w:r>
      <w:r>
        <w:rPr>
          <w:rFonts w:ascii="Calibri" w:eastAsia="Calibri" w:hAnsi="Calibri" w:cs="Calibri"/>
          <w:sz w:val="21"/>
          <w:szCs w:val="21"/>
        </w:rPr>
        <w:t xml:space="preserve">suppressed cells kept as NaN with Nomis status; CV never exceeds 20 (higher is suppressed), so ONS CV bands are recorded instead (≤5 / 5–10 / 10–20).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Nomis errors found: </w:t>
      </w:r>
      <w:r>
        <w:rPr>
          <w:rFonts w:ascii="Calibri" w:eastAsia="Calibri" w:hAnsi="Calibri" w:cs="Calibri"/>
          <w:sz w:val="21"/>
          <w:szCs w:val="21"/>
        </w:rPr>
        <w:t xml:space="preserve">St Edmundsbury’s code queried directly returns Forest Heath’s figures (2008–17); the April 2019 workplace vintage holds stale 2022 values. Both resolved by vintage priority.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Caveats: </w:t>
      </w:r>
      <w:r>
        <w:rPr>
          <w:rFonts w:ascii="Calibri" w:eastAsia="Calibri" w:hAnsi="Calibri" w:cs="Calibri"/>
          <w:sz w:val="21"/>
          <w:szCs w:val="21"/>
        </w:rPr>
        <w:t xml:space="preserve">P90 suppressed for ~90% of LAs, P80 ~15%; jobs rounded to 1,000; NI not covered; series breaks 2004, 2006, 2011, 2021.</w:t>
      </w:r>
    </w:p>
    <w:p>
      <w:pPr>
        <w:pStyle w:val="Heading2"/>
        <w:spacing w:before="170" w:after="60"/>
      </w:pPr>
      <w:r>
        <w:rPr>
          <w:rFonts w:ascii="Calibri" w:eastAsia="Calibri" w:hAnsi="Calibri" w:cs="Calibri"/>
          <w:b/>
          <w:bCs/>
          <w:color w:val="2E5496"/>
          <w:sz w:val="22"/>
          <w:szCs w:val="22"/>
        </w:rPr>
        <w:t xml:space="preserve">Educational attainment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Source: </w:t>
      </w:r>
      <w:r>
        <w:rPr>
          <w:rFonts w:ascii="Calibri" w:eastAsia="Calibri" w:hAnsi="Calibri" w:cs="Calibri"/>
          <w:sz w:val="21"/>
          <w:szCs w:val="21"/>
        </w:rPr>
        <w:t xml:space="preserve">APS (Nomis NM_17_5) numerators/denominators — people aged 16–64 with level 4+, 3+ and 2+, 2004–2025; same pipeline as the labour market (LA → ITL2 sums; NI country figure). “Below level 2” = population − level 2+ (avoids the heavily suppressed “no qualifications”).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Break: </w:t>
      </w:r>
      <w:r>
        <w:rPr>
          <w:rFonts w:ascii="Calibri" w:eastAsia="Calibri" w:hAnsi="Calibri" w:cs="Calibri"/>
          <w:sz w:val="21"/>
          <w:szCs w:val="21"/>
        </w:rPr>
        <w:t xml:space="preserve">NVQ (2004–21) → RQF (2022+), no overlap year; not spliced (qual_framework column). Level 4+ near-continuous; level 3+ jumps ~5 points nationally. Regional spread of the 2022 jump (sd 2.6 pts) exceeds normal noise (1.8) — robustness: region × post-2022 effects, or 2004–21 only.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Census check: </w:t>
      </w:r>
      <w:r>
        <w:rPr>
          <w:rFonts w:ascii="Calibri" w:eastAsia="Calibri" w:hAnsi="Calibri" w:cs="Calibri"/>
          <w:sz w:val="21"/>
          <w:szCs w:val="21"/>
        </w:rPr>
        <w:t xml:space="preserve">Census 2001/2011/2021 level 4+ shares correlate 0.92–0.98 with APS across regions; 2011–21 changes 0.62 (APS noisier). Output: education_census_itl2.csv.</w:t>
      </w:r>
    </w:p>
    <w:p>
      <w:pPr>
        <w:pStyle w:val="Heading2"/>
        <w:spacing w:before="170" w:after="60"/>
      </w:pPr>
      <w:r>
        <w:rPr>
          <w:rFonts w:ascii="Calibri" w:eastAsia="Calibri" w:hAnsi="Calibri" w:cs="Calibri"/>
          <w:b/>
          <w:bCs/>
          <w:color w:val="2E5496"/>
          <w:sz w:val="22"/>
          <w:szCs w:val="22"/>
        </w:rPr>
        <w:t xml:space="preserve">Rurality &amp; population density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Rurality (one Census snapshot per nation; time-invariant control): </w:t>
      </w:r>
      <w:r>
        <w:rPr>
          <w:rFonts w:ascii="Calibri" w:eastAsia="Calibri" w:hAnsi="Calibri" w:cs="Calibri"/>
          <w:sz w:val="21"/>
          <w:szCs w:val="21"/>
        </w:rPr>
        <w:t xml:space="preserve">E&amp;W — ONS RUC 2021 (rural OAs, settlements &lt;10k); Scotland — URC 2022 (accessible + remote rural, &lt;3k): LA/council % × Census population = rural residents, summed to ITL2. NI — Settlement 2015 default rural (bands F–H, &lt;5k), Census 2011. Definitions differ — compare within nations or use nation effects (rural_definition column).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Population density: </w:t>
      </w:r>
      <w:r>
        <w:rPr>
          <w:rFonts w:ascii="Calibri" w:eastAsia="Calibri" w:hAnsi="Calibri" w:cs="Calibri"/>
          <w:sz w:val="21"/>
          <w:szCs w:val="21"/>
        </w:rPr>
        <w:t xml:space="preserve">population ÷ ONS land area (SAM, LAD December 2024), UK-wide, 1991–2025.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Population-weighted density: </w:t>
      </w:r>
      <w:r>
        <w:rPr>
          <w:rFonts w:ascii="Calibri" w:eastAsia="Calibri" w:hAnsi="Calibri" w:cs="Calibri"/>
          <w:sz w:val="21"/>
          <w:szCs w:val="21"/>
        </w:rPr>
        <w:t xml:space="preserve">density experienced by the average resident (Ciccone &amp; Hall; Glaeser &amp; Kahn) — Σ(p × d)/Σp over small areas: E&amp;W LSOAs and Scottish 2022 data zones (2011–2024), NI 2021 data zones (2021–2024). Small-area size differs by nation (~1,500 / ~750 / ~500 residents), so cross-border levels are approximate.</w:t>
      </w:r>
    </w:p>
    <w:p>
      <w:pPr>
        <w:pStyle w:val="Heading2"/>
        <w:spacing w:before="170" w:after="60"/>
      </w:pPr>
      <w:r>
        <w:rPr>
          <w:rFonts w:ascii="Calibri" w:eastAsia="Calibri" w:hAnsi="Calibri" w:cs="Calibri"/>
          <w:b/>
          <w:bCs/>
          <w:color w:val="2E5496"/>
          <w:sz w:val="22"/>
          <w:szCs w:val="22"/>
        </w:rPr>
        <w:t xml:space="preserve">Job flows (secure business data)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Source: </w:t>
      </w:r>
      <w:r>
        <w:rPr>
          <w:rFonts w:ascii="Calibri" w:eastAsia="Calibri" w:hAnsi="Calibri" w:cs="Calibri"/>
          <w:sz w:val="21"/>
          <w:szCs w:val="21"/>
        </w:rPr>
        <w:t xml:space="preserve">ITL2 job creation / destruction file from the secure business data (clean/itl2_job_flows.csv, added by Will), 2000–2024, on ITL2 2021 (41 regions) — the reason for the 2021 versions (Section 1). Join on ITL221CD = itl2_code in clean/itl2_2021/.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Before use: </w:t>
      </w:r>
      <w:r>
        <w:rPr>
          <w:rFonts w:ascii="Calibri" w:eastAsia="Calibri" w:hAnsi="Calibri" w:cs="Calibri"/>
          <w:sz w:val="21"/>
          <w:szCs w:val="21"/>
        </w:rPr>
        <w:t xml:space="preserve">numbers are stored as text with thousands separators and Excel #N/A; net_emp_change appears twice; some “Unknown” region rows.</w:t>
      </w:r>
    </w:p>
    <w:p w14:paraId="0BBF4C64" w14:textId="77777777" w:rsidR="008D2F66" w:rsidRDefault="001C0BFF">
      <w:pPr>
        <w:pStyle w:val="Heading1"/>
        <w:spacing w:before="300" w:after="110"/>
      </w:pP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>7. Data-quality &amp; temporal-consistency caveats to carry forward</w:t>
      </w:r>
    </w:p>
    <w:p w14:paraId="44E259BE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color w:val="BF8F00"/>
          <w:sz w:val="21"/>
          <w:szCs w:val="21"/>
        </w:rPr>
        <w:t xml:space="preserve">APS lost accredited-official-statistics status from 2024 </w:t>
      </w:r>
      <w:r>
        <w:rPr>
          <w:rFonts w:ascii="Calibri" w:eastAsia="Calibri" w:hAnsi="Calibri" w:cs="Calibri"/>
          <w:sz w:val="21"/>
          <w:szCs w:val="21"/>
        </w:rPr>
        <w:t>(Labour Force Survey response-rate problems); reweighting through 2025–26 and transition to a Transformed LFS. Treat recent years (2020+, acute 2023–24) as provisional; Claimant Count is the administrative cross-check.</w:t>
      </w:r>
    </w:p>
    <w:p w14:paraId="3A999774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Claimant Count has its own break: </w:t>
      </w:r>
      <w:r>
        <w:rPr>
          <w:rFonts w:ascii="Calibri" w:eastAsia="Calibri" w:hAnsi="Calibri" w:cs="Calibri"/>
          <w:sz w:val="21"/>
          <w:szCs w:val="21"/>
        </w:rPr>
        <w:t>Universal Credit rollout from ~2013 progressively changed who is counted — good for relative trends, not precise levels.</w:t>
      </w:r>
    </w:p>
    <w:p w14:paraId="31541748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Migration: </w:t>
      </w:r>
      <w:r>
        <w:rPr>
          <w:rFonts w:ascii="Calibri" w:eastAsia="Calibri" w:hAnsi="Calibri" w:cs="Calibri"/>
          <w:sz w:val="21"/>
          <w:szCs w:val="21"/>
        </w:rPr>
        <w:t>ONS method changed mid-2023 (no visible ITL2 break, but logged); 2015 figures carry rebasing decimals.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Migration levels over time: </w:t>
      </w:r>
      <w:r>
        <w:rPr>
          <w:rFonts w:ascii="Calibri" w:eastAsia="Calibri" w:hAnsi="Calibri" w:cs="Calibri"/>
          <w:sz w:val="21"/>
          <w:szCs w:val="21"/>
        </w:rPr>
        <w:t xml:space="preserve">cross-region moves per 1,000 show national steps in 2017 (+11%), 2020 (−10%, COVID) and 2021 (+18%) — absorbed by year effects; cause of the 2017 step unconfirmed.</w:t>
      </w:r>
    </w:p>
    <w:p w14:paraId="020DEC58" w14:textId="77777777" w:rsidR="008D2F66" w:rsidRPr="00580475" w:rsidRDefault="001C0BFF">
      <w:pPr>
        <w:pStyle w:val="ListParagraph"/>
        <w:numPr>
          <w:ilvl w:val="0"/>
          <w:numId w:val="1"/>
        </w:numPr>
        <w:spacing w:after="80"/>
        <w:rPr>
          <w:highlight w:val="yellow"/>
        </w:rPr>
      </w:pPr>
      <w:r>
        <w:rPr>
          <w:rFonts w:ascii="Calibri" w:eastAsia="Calibri" w:hAnsi="Calibri" w:cs="Calibri"/>
          <w:b/>
          <w:bCs/>
          <w:sz w:val="21"/>
          <w:szCs w:val="21"/>
          <w:highlight w:val="yellow"/>
        </w:rPr>
        <w:t xml:space="preserve">Census 2021 travel-to-work (collaborator-added): </w:t>
      </w:r>
      <w:r>
        <w:rPr>
          <w:rFonts w:ascii="Calibri" w:eastAsia="Calibri" w:hAnsi="Calibri" w:cs="Calibri"/>
          <w:sz w:val="21"/>
          <w:szCs w:val="21"/>
          <w:highlight w:val="yellow"/>
        </w:rPr>
        <w:t>a single cross-section, and a lockdown year — “work from home” is inflated. Use as a time-invariant regional control, not a longitudinal variable; confirm intended use with collaborator.</w:t>
      </w:r>
    </w:p>
    <w:p w14:paraId="6B308E82" w14:textId="77777777" w:rsidR="008D2F66" w:rsidRDefault="001C0BFF">
      <w:pPr>
        <w:pStyle w:val="Heading1"/>
        <w:spacing w:before="300" w:after="110"/>
      </w:pP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>8. Open decisions (pending)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Migration Scotland/NI — </w:t>
      </w:r>
      <w:r>
        <w:rPr>
          <w:rFonts w:ascii="Calibri" w:eastAsia="Calibri" w:hAnsi="Calibri" w:cs="Calibri"/>
          <w:sz w:val="21"/>
          <w:szCs w:val="21"/>
        </w:rPr>
        <w:t xml:space="preserve">resolved (Scotland from NRS, NI from the ONS matrix). Remaining gap: flows between a specific Scottish region and a specific E&amp;W region are not published.</w:t>
      </w:r>
    </w:p>
    <w:p w14:paraId="3A9D8305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Primary house-price measure </w:t>
      </w:r>
      <w:r>
        <w:rPr>
          <w:rFonts w:ascii="Calibri" w:eastAsia="Calibri" w:hAnsi="Calibri" w:cs="Calibri"/>
          <w:sz w:val="21"/>
          <w:szCs w:val="21"/>
        </w:rPr>
        <w:t>— Price Paid median is primary; with UK HPI dropped, Scotland/NI have no house-price source — find one (e.g. Registers of Scotland, NISRA).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Job flows to ITL2 2025 — </w:t>
      </w:r>
      <w:r>
        <w:rPr>
          <w:rFonts w:ascii="Calibri" w:eastAsia="Calibri" w:hAnsi="Calibri" w:cs="Calibri"/>
          <w:sz w:val="21"/>
          <w:szCs w:val="21"/>
        </w:rPr>
        <w:t xml:space="preserve">re-aggregate the job-flows data to 2025 regions inside the secure environment (exact); the 2025 panel then becomes the main analysis panel.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APS microdata (Secure Lab) — </w:t>
      </w:r>
      <w:r>
        <w:rPr>
          <w:rFonts w:ascii="Calibri" w:eastAsia="Calibri" w:hAnsi="Calibri" w:cs="Calibri"/>
          <w:sz w:val="21"/>
          <w:szCs w:val="21"/>
        </w:rPr>
        <w:t xml:space="preserve">inactivity by reason, occupation mix and on-the-job search are too suppressed at LA level on Nomis to sum; build weighted ITL2 estimates from APS microdata (same Secure Lab access as the LBD).</w:t>
      </w:r>
    </w:p>
    <w:p w14:paraId="47B8336D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Derive housing affordability </w:t>
      </w:r>
      <w:r>
        <w:rPr>
          <w:rFonts w:ascii="Calibri" w:eastAsia="Calibri" w:hAnsi="Calibri" w:cs="Calibri"/>
          <w:sz w:val="21"/>
          <w:szCs w:val="21"/>
        </w:rPr>
        <w:t>at ITL2 from Price Paid median ÷ ASHE earnings once wages are built; decide final numerator/denominator basis.</w:t>
      </w:r>
    </w:p>
    <w:p w14:paraId="0099C9EC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Still to build: </w:t>
      </w:r>
      <w:r>
        <w:rPr>
          <w:rFonts w:ascii="Calibri" w:eastAsia="Calibri" w:hAnsi="Calibri" w:cs="Calibri"/>
          <w:sz w:val="21"/>
          <w:szCs w:val="21"/>
        </w:rPr>
        <w:t>wages at ITL2 (ASHE LA files built; next: jobs-weighted percentile interpolation, also unlocks affordability); sector mix (from the GVA-by-industry file already held).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Deflators for other £ series — </w:t>
      </w:r>
      <w:r>
        <w:rPr>
          <w:rFonts w:ascii="Calibri" w:eastAsia="Calibri" w:hAnsi="Calibri" w:cs="Calibri"/>
          <w:sz w:val="21"/>
          <w:szCs w:val="21"/>
        </w:rPr>
        <w:t xml:space="preserve">confirm CPIH for GDHI per head and ASHE earnings, and whether house-price levels are deflated or used only as a ratio to earnings (Section 4).</w:t>
      </w:r>
    </w:p>
    <w:p w14:paraId="26E416BD" w14:textId="77777777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Transport / connectivity </w:t>
      </w:r>
      <w:r>
        <w:rPr>
          <w:rFonts w:ascii="Calibri" w:eastAsia="Calibri" w:hAnsi="Calibri" w:cs="Calibri"/>
          <w:sz w:val="21"/>
          <w:szCs w:val="21"/>
        </w:rPr>
        <w:t>— single-year spend would be a cross-sectional control; a longitudinal option (rail/bus usage) preferred if pursued.</w:t>
      </w:r>
    </w:p>
    <w:p w14:paraId="17490663" w14:textId="1FA6E0B2" w:rsidR="008D2F66" w:rsidRDefault="001C0BFF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Housekeeping: </w:t>
      </w:r>
      <w:r>
        <w:rPr>
          <w:rFonts w:ascii="Calibri" w:eastAsia="Calibri" w:hAnsi="Calibri" w:cs="Calibri"/>
          <w:sz w:val="21"/>
          <w:szCs w:val="21"/>
        </w:rPr>
        <w:t xml:space="preserve">save and push </w:t>
      </w:r>
    </w:p>
    <w:p w14:paraId="6786CC02" w14:textId="6006D5F1" w:rsidR="008D2F66" w:rsidRDefault="008D2F66" w:rsidP="00580475">
      <w:pPr>
        <w:spacing w:after="80"/>
        <w:ind w:left="360"/>
      </w:pPr>
    </w:p>
    <w:sectPr w:rsidR="008D2F66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Hannah Cantekin" w:date="2026-10-07T15:00:00Z" w:initials="HC">
    <w:p w14:paraId="5D571C74" w14:textId="77777777" w:rsidR="00697976" w:rsidRDefault="00697976" w:rsidP="00697976">
      <w:r>
        <w:rPr>
          <w:rStyle w:val="CommentReference"/>
        </w:rPr>
        <w:annotationRef/>
      </w:r>
      <w:r>
        <w:t>Cross-checking but I think using existing datasets ITL2 is fine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5D571C7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22C221C9" w16cex:dateUtc="2026-10-07T14:0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5D571C74" w16cid:durableId="22C221C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95558"/>
    <w:multiLevelType w:val="hybridMultilevel"/>
    <w:tmpl w:val="C53AFF6C"/>
    <w:lvl w:ilvl="0" w:tplc="89947776">
      <w:start w:val="1"/>
      <w:numFmt w:val="bullet"/>
      <w:lvlText w:val="●"/>
      <w:lvlJc w:val="left"/>
      <w:pPr>
        <w:ind w:left="720" w:hanging="360"/>
      </w:pPr>
    </w:lvl>
    <w:lvl w:ilvl="1" w:tplc="72C437E0">
      <w:start w:val="1"/>
      <w:numFmt w:val="bullet"/>
      <w:lvlText w:val="○"/>
      <w:lvlJc w:val="left"/>
      <w:pPr>
        <w:ind w:left="1440" w:hanging="360"/>
      </w:pPr>
    </w:lvl>
    <w:lvl w:ilvl="2" w:tplc="DE9EED0C" w:tentative="1">
      <w:start w:val="1"/>
      <w:numFmt w:val="bullet"/>
      <w:lvlText w:val="■"/>
      <w:lvlJc w:val="left"/>
      <w:pPr>
        <w:ind w:left="2160" w:hanging="360"/>
      </w:pPr>
    </w:lvl>
    <w:lvl w:ilvl="3" w:tplc="788AC046" w:tentative="1">
      <w:start w:val="1"/>
      <w:numFmt w:val="bullet"/>
      <w:lvlText w:val="●"/>
      <w:lvlJc w:val="left"/>
      <w:pPr>
        <w:ind w:left="2880" w:hanging="360"/>
      </w:pPr>
    </w:lvl>
    <w:lvl w:ilvl="4" w:tplc="C5F25CC4" w:tentative="1">
      <w:start w:val="1"/>
      <w:numFmt w:val="bullet"/>
      <w:lvlText w:val="○"/>
      <w:lvlJc w:val="left"/>
      <w:pPr>
        <w:ind w:left="3600" w:hanging="360"/>
      </w:pPr>
    </w:lvl>
    <w:lvl w:ilvl="5" w:tplc="445E4FF8" w:tentative="1">
      <w:start w:val="1"/>
      <w:numFmt w:val="bullet"/>
      <w:lvlText w:val="■"/>
      <w:lvlJc w:val="left"/>
      <w:pPr>
        <w:ind w:left="4320" w:hanging="360"/>
      </w:pPr>
    </w:lvl>
    <w:lvl w:ilvl="6" w:tplc="7324A716" w:tentative="1">
      <w:start w:val="1"/>
      <w:numFmt w:val="bullet"/>
      <w:lvlText w:val="●"/>
      <w:lvlJc w:val="left"/>
      <w:pPr>
        <w:ind w:left="5040" w:hanging="360"/>
      </w:pPr>
    </w:lvl>
    <w:lvl w:ilvl="7" w:tplc="8C287F88" w:tentative="1">
      <w:start w:val="1"/>
      <w:numFmt w:val="bullet"/>
      <w:lvlText w:val="●"/>
      <w:lvlJc w:val="left"/>
      <w:pPr>
        <w:ind w:left="5760" w:hanging="360"/>
      </w:pPr>
    </w:lvl>
    <w:lvl w:ilvl="8" w:tplc="0D86165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770397929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Hannah Cantekin">
    <w15:presenceInfo w15:providerId="AD" w15:userId="S::H.Cantekin@lse.ac.uk::db2a64d1-76db-4148-a174-ccf31eb21d4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F66"/>
    <w:rsid w:val="001C0BFF"/>
    <w:rsid w:val="00580475"/>
    <w:rsid w:val="00697976"/>
    <w:rsid w:val="008D2F66"/>
    <w:rsid w:val="00CE0EEB"/>
    <w:rsid w:val="00D94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CC385E"/>
  <w15:docId w15:val="{18B03440-2420-1A44-A903-02AC2141D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979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97976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9797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979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979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1359</Words>
  <Characters>8401</Characters>
  <Application>Microsoft Office Word</Application>
  <DocSecurity>0</DocSecurity>
  <Lines>155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Hannah Cantekin</cp:lastModifiedBy>
  <cp:revision>2</cp:revision>
  <dcterms:created xsi:type="dcterms:W3CDTF">2026-10-07T14:51:00Z</dcterms:created>
  <dcterms:modified xsi:type="dcterms:W3CDTF">2026-10-07T14:51:00Z</dcterms:modified>
</cp:coreProperties>
</file>