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CF1261" w14:textId="77777777" w:rsidR="008D2F66" w:rsidRDefault="001C0BFF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Decisions Log — Dynamism and the Geography of Labour Reallocation</w:t>
      </w:r>
    </w:p>
    <w:p w14:paraId="4701085A" w14:textId="77777777" w:rsidR="008D2F66" w:rsidRDefault="001C0BFF">
      <w:pPr>
        <w:spacing w:after="150"/>
      </w:pP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A running record of the methodological choices behind the ITL2 regional panel: what we decided, and why. Read alongside the Workflow Log (the narrative of what was done) and the data tracker (source-by-source detail). Entries are grouped by theme; add dates per your convention. Last updated: [date].</w:t>
      </w:r>
    </w:p>
    <w:p w14:paraId="0DAA3AF1" w14:textId="77777777" w:rsidR="008D2F66" w:rsidRDefault="001C0BFF">
      <w:pPr>
        <w:pStyle w:val="Heading1"/>
        <w:spacing w:before="300" w:after="11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Geography &amp; boundaries</w:t>
      </w:r>
    </w:p>
    <w:p w14:paraId="56A3E5A6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Unit of analysis: ITL2, 2025 vintage (46 regions), frozen. </w:t>
      </w:r>
      <w:r>
        <w:rPr>
          <w:rFonts w:ascii="Calibri" w:eastAsia="Calibri" w:hAnsi="Calibri" w:cs="Calibri"/>
          <w:sz w:val="21"/>
          <w:szCs w:val="21"/>
        </w:rPr>
        <w:t>ITL2 (the UK’s current regional classification, formerly NUTS-2) chosen over ITL2 2021 because 2025 is the current standard ONS publishes to, aligns English ITL2 with Mayoral Combined Authorities (matching the project’s city focus), and gives slightly more cross-sectional variation.</w:t>
      </w:r>
    </w:p>
    <w:p w14:paraId="68ADF0B0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Principle: one frozen boundary vintage, many data years. </w:t>
      </w:r>
      <w:r>
        <w:rPr>
          <w:rFonts w:ascii="Calibri" w:eastAsia="Calibri" w:hAnsi="Calibri" w:cs="Calibri"/>
          <w:sz w:val="21"/>
          <w:szCs w:val="21"/>
        </w:rPr>
        <w:t>All years of all sources are mapped onto the single 2025 ITL2 map, so regions stay comparable over time; time variation lives in the data, never in the boundaries.</w:t>
      </w:r>
    </w:p>
    <w:p w14:paraId="73F7728A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Spine: </w:t>
      </w:r>
      <w:r>
        <w:rPr>
          <w:rFonts w:ascii="Calibri" w:eastAsia="Calibri" w:hAnsi="Calibri" w:cs="Calibri"/>
          <w:sz w:val="21"/>
          <w:szCs w:val="21"/>
        </w:rPr>
        <w:t>361 local authorities → 46 ITL2 regions, from the ONS Open Geography Portal LAD (April 2025) → ITL (Jan 2025) lookup. Everything joins onto this.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Split LA rule: </w:t>
      </w:r>
      <w:r>
        <w:rPr>
          <w:rFonts w:ascii="Calibri" w:eastAsia="Calibri" w:hAnsi="Calibri" w:cs="Calibri"/>
          <w:sz w:val="21"/>
          <w:szCs w:val="21"/>
        </w:rPr>
        <w:t xml:space="preserve">North Ayrshire is split across two ITL2s in the lookup (Arran &amp; Cumbrae → TLM2; mainland → TLM9). Assigned wholly to TLM9 (~96% of residents), so the spine has one row per LA; geography.py stops if a new split appears without a rule. This fixed a double count in population_itl2 (TLM2 overstated by ~134k, ~27%), which also corrected TLM2 in gva_per_capita_itl2. All other outputs unchanged (checked).</w:t>
      </w:r>
    </w:p>
    <w:p w14:paraId="76F219D5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commentRangeStart w:id="0"/>
      <w:r>
        <w:rPr>
          <w:rFonts w:ascii="Calibri" w:eastAsia="Calibri" w:hAnsi="Calibri" w:cs="Calibri"/>
          <w:b/>
          <w:bCs/>
          <w:color w:val="BF8F00"/>
          <w:sz w:val="21"/>
          <w:szCs w:val="21"/>
        </w:rPr>
        <w:t xml:space="preserve">Rule: derive ITL2 only from our own spine — never from a source’s “ITL” column. </w:t>
      </w:r>
      <w:r>
        <w:rPr>
          <w:rFonts w:ascii="Calibri" w:eastAsia="Calibri" w:hAnsi="Calibri" w:cs="Calibri"/>
          <w:sz w:val="21"/>
          <w:szCs w:val="21"/>
        </w:rPr>
        <w:t>The ONSPD (Feb 2026) ‘itl25cd’ field was found to contain local-authority codes, not ITL codes; using it directly produced a wrong-geography panel (319 “regions”), caught only by the region-count check.</w:t>
      </w:r>
      <w:commentRangeEnd w:id="0"/>
      <w:r>
        <w:rPr>
          <w:rStyle w:val="CommentReference"/>
          <w:sz w:val="20"/>
          <w:szCs w:val="20"/>
        </w:rPr>
        <w:commentReference w:id="0"/>
      </w:r>
    </w:p>
    <w:p w14:paraId="40D5EA67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Standard validation: region-count check on every source </w:t>
      </w:r>
      <w:r>
        <w:rPr>
          <w:rFonts w:ascii="Calibri" w:eastAsia="Calibri" w:hAnsi="Calibri" w:cs="Calibri"/>
          <w:sz w:val="21"/>
          <w:szCs w:val="21"/>
        </w:rPr>
        <w:t>(expect 46 UK-wide; 39 for England &amp; Wales–only sources) before trusting output.</w:t>
      </w:r>
    </w:p>
    <w:p w14:paraId="698E4C27" w14:textId="77777777" w:rsidR="008D2F66" w:rsidRDefault="001C0BFF">
      <w:pPr>
        <w:pStyle w:val="Heading1"/>
        <w:spacing w:before="300" w:after="11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2. Local-authority code harmonisation (crosswalk)</w:t>
      </w:r>
    </w:p>
    <w:p w14:paraId="130C7319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Why: </w:t>
      </w:r>
      <w:r>
        <w:rPr>
          <w:rFonts w:ascii="Calibri" w:eastAsia="Calibri" w:hAnsi="Calibri" w:cs="Calibri"/>
          <w:sz w:val="21"/>
          <w:szCs w:val="21"/>
        </w:rPr>
        <w:t>LA codes change over time (recodes and mergers); historical data must be mapped to current codes before joining the spine, or authorities silently drop out.</w:t>
      </w:r>
    </w:p>
    <w:p w14:paraId="5FA85461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Method: </w:t>
      </w:r>
      <w:r>
        <w:rPr>
          <w:rFonts w:ascii="Calibri" w:eastAsia="Calibri" w:hAnsi="Calibri" w:cs="Calibri"/>
          <w:sz w:val="21"/>
          <w:szCs w:val="21"/>
        </w:rPr>
        <w:t>built from the ONS Code History Database (June 2026). Recodes resolved by name-match (terminated → live code, same entity + name); mergers via the CHD ‘Changes’ predecessor→successor links. Ambiguous successors are flagged, not guessed. Self-validated against Barnsley/Sheffield recodes and the Aylesbury Vale→Buckinghamshire merger.</w:t>
      </w:r>
    </w:p>
    <w:p w14:paraId="57BA0652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Note — error in ONS’s own data: </w:t>
      </w:r>
      <w:r>
        <w:rPr>
          <w:rFonts w:ascii="Calibri" w:eastAsia="Calibri" w:hAnsi="Calibri" w:cs="Calibri"/>
          <w:sz w:val="21"/>
          <w:szCs w:val="21"/>
        </w:rPr>
        <w:t>CHD ‘Changes’ contains a stray row mapping Barnsley’s old code to Sheffield’s new code. Name-match precedence handles it correctly; a self-check in build_crosswalk.py guards against it.</w:t>
      </w:r>
    </w:p>
    <w:p w14:paraId="16916603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Applied before every spine join. </w:t>
      </w:r>
      <w:r>
        <w:rPr>
          <w:rFonts w:ascii="Calibri" w:eastAsia="Calibri" w:hAnsi="Calibri" w:cs="Calibri"/>
          <w:sz w:val="21"/>
          <w:szCs w:val="21"/>
        </w:rPr>
        <w:t>Still doing real work: Nomis (population, APS) and Land Registry data still use the old Barnsley/Sheffield codes.</w:t>
      </w:r>
    </w:p>
    <w:p w14:paraId="63033BFB" w14:textId="77777777" w:rsidR="008D2F66" w:rsidRDefault="001C0BFF">
      <w:pPr>
        <w:pStyle w:val="Heading1"/>
        <w:spacing w:before="300" w:after="11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Aggregation principles</w:t>
      </w:r>
    </w:p>
    <w:p w14:paraId="0E21038C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Counts &amp; flows SUM to ITL2 </w:t>
      </w:r>
      <w:r>
        <w:rPr>
          <w:rFonts w:ascii="Calibri" w:eastAsia="Calibri" w:hAnsi="Calibri" w:cs="Calibri"/>
          <w:sz w:val="21"/>
          <w:szCs w:val="21"/>
        </w:rPr>
        <w:t>(people, jobs, sales, migrants) — exact, assumption-free.</w:t>
      </w:r>
    </w:p>
    <w:p w14:paraId="2391D2E6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Rates &amp; ratios are never simple-averaged across LAs. </w:t>
      </w:r>
      <w:r>
        <w:rPr>
          <w:rFonts w:ascii="Calibri" w:eastAsia="Calibri" w:hAnsi="Calibri" w:cs="Calibri"/>
          <w:sz w:val="21"/>
          <w:szCs w:val="21"/>
        </w:rPr>
        <w:t>Recompute from summed numerator ÷ summed denominator, i.e. aggregate the counts then form the ratio at ITL2.</w:t>
      </w:r>
    </w:p>
    <w:p w14:paraId="2C548E82" w14:textId="77777777" w:rsidR="008D2F66" w:rsidRPr="0069797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Prices use the median of pooled transactions </w:t>
      </w:r>
      <w:r>
        <w:rPr>
          <w:rFonts w:ascii="Calibri" w:eastAsia="Calibri" w:hAnsi="Calibri" w:cs="Calibri"/>
          <w:sz w:val="21"/>
          <w:szCs w:val="21"/>
        </w:rPr>
        <w:t>at ITL2 (not an average of LA medians).</w:t>
      </w:r>
    </w:p>
    <w:p w14:paraId="7E5C113E" w14:textId="74B3FC6F" w:rsidR="00697976" w:rsidRDefault="00697976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Distributions by LAD within ITL2 (showing ITL2 median) is an option to avert the aggregation issue. </w:t>
      </w:r>
    </w:p>
    <w:p w14:paraId="42EBD99C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Already-ITL2 series join as-is </w:t>
      </w:r>
      <w:r>
        <w:rPr>
          <w:rFonts w:ascii="Calibri" w:eastAsia="Calibri" w:hAnsi="Calibri" w:cs="Calibri"/>
          <w:sz w:val="21"/>
          <w:szCs w:val="21"/>
        </w:rPr>
        <w:t>(e.g. GVA, GDHI) — no aggregation, so no aggregation error.</w:t>
      </w:r>
    </w:p>
    <w:p w14:paraId="6D07FAFA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BF8F00"/>
          <w:sz w:val="21"/>
          <w:szCs w:val="21"/>
        </w:rPr>
        <w:t xml:space="preserve">Preference: avoid aggregating ratios across geographies wherever possible. </w:t>
      </w:r>
      <w:r>
        <w:rPr>
          <w:rFonts w:ascii="Calibri" w:eastAsia="Calibri" w:hAnsi="Calibri" w:cs="Calibri"/>
          <w:sz w:val="21"/>
          <w:szCs w:val="21"/>
        </w:rPr>
        <w:t>Prefer summable counts; derive any ratio at ITL2 from clean components. A ratio already published at ITL2 is fine — the danger is only in averaging/weighting LA-level ratios ourselves.</w:t>
      </w:r>
    </w:p>
    <w:p>
      <w:pPr>
        <w:pStyle w:val="Heading1"/>
        <w:spacing w:before="300" w:after="11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4. Prices &amp; inflation adjustment (nominal vs real)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Policy: keep nominal, add real alongside. </w:t>
      </w:r>
      <w:r>
        <w:rPr>
          <w:rFonts w:ascii="Calibri" w:eastAsia="Calibri" w:hAnsi="Calibri" w:cs="Calibri"/>
          <w:sz w:val="21"/>
          <w:szCs w:val="21"/>
        </w:rPr>
        <w:t xml:space="preserve">Every clean file keeps current-price (nominal) £ values as the master record. Inflation-adjusted (real) values are added as extra columns, never overwriting nominal. Real columns are labelled with their price base year (e.g. _real_2022gbp) and built inside the notebook from published series, so they are reproducible and rebuild automatically when ONS rebases.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Preferred method — ONS’s own real (chained volume) series. </w:t>
      </w:r>
      <w:r>
        <w:rPr>
          <w:rFonts w:ascii="Calibri" w:eastAsia="Calibri" w:hAnsi="Calibri" w:cs="Calibri"/>
          <w:sz w:val="21"/>
          <w:szCs w:val="21"/>
        </w:rPr>
        <w:t xml:space="preserve">Where ONS publishes a real measure, use it. ONS removes price changes from each region’s output industry by industry (each industry’s national price deflator), then re-adds and chain-links the industries, so each region’s adjustment reflects its own industry mix. ONS publishes these as an index per region (base year = 100), which shows real growth within a region but not levels across regions.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Turning a real index into £: </w:t>
      </w:r>
      <w:r>
        <w:rPr>
          <w:rFonts w:ascii="Calibri" w:eastAsia="Calibri" w:hAnsi="Calibri" w:cs="Calibri"/>
          <w:sz w:val="21"/>
          <w:szCs w:val="21"/>
        </w:rPr>
        <w:t xml:space="preserve">real £ (region, year) = current-price £ (region, base year) × real index (region, year) ÷ 100. In the base year real equals nominal by construction; in every other year the value moves with the region’s real growth. Result: values comparable across regions and over time, in base-year prices.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Otherwise — one national price index, chosen by concept: </w:t>
      </w:r>
      <w:r>
        <w:rPr>
          <w:rFonts w:ascii="Calibri" w:eastAsia="Calibri" w:hAnsi="Calibri" w:cs="Calibri"/>
          <w:sz w:val="21"/>
          <w:szCs w:val="21"/>
        </w:rPr>
        <w:t xml:space="preserve">CPIH for household incomes and earnings (GDHI, ASHE wages); the GDP deflator for output measures without an ONS real series. The UK has no official regional price indices, so we make no adjustment for regional differences in price levels.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Why nominal is kept: </w:t>
      </w:r>
      <w:r>
        <w:rPr>
          <w:rFonts w:ascii="Calibri" w:eastAsia="Calibri" w:hAnsi="Calibri" w:cs="Calibri"/>
          <w:sz w:val="21"/>
          <w:szCs w:val="21"/>
        </w:rP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Fixed effects: </w:t>
      </w:r>
      <w:r>
        <w:rPr>
          <w:rFonts w:ascii="Calibri" w:eastAsia="Calibri" w:hAnsi="Calibri" w:cs="Calibri"/>
          <w:sz w:val="21"/>
          <w:szCs w:val="21"/>
        </w:rPr>
        <w:t xml:space="preserve">with year fixed effects, a single national deflator drops out of the estimates entirely (in logs, nominal = real + that year’s deflator), so deflating that way changes nothing. ONS chained-volume deflation does change results, because it differs by region.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Ratios: </w:t>
      </w:r>
      <w:r>
        <w:rPr>
          <w:rFonts w:ascii="Calibri" w:eastAsia="Calibri" w:hAnsi="Calibri" w:cs="Calibri"/>
          <w:sz w:val="21"/>
          <w:szCs w:val="21"/>
        </w:rPr>
        <w:t xml:space="preserve">ratios between £ series (e.g. house price ÷ earnings) must use nominal values, or values deflated identically — mixing deflators makes ratios meaningless.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Rebasing: </w:t>
      </w:r>
      <w:r>
        <w:rPr>
          <w:rFonts w:ascii="Calibri" w:eastAsia="Calibri" w:hAnsi="Calibri" w:cs="Calibri"/>
          <w:sz w:val="21"/>
          <w:szCs w:val="21"/>
        </w:rPr>
        <w:t xml:space="preserve">ONS rebases real series every release (currently 2022 = 100); nominal plus a stated base year is the stable record.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Not additive: </w:t>
      </w:r>
      <w:r>
        <w:rPr>
          <w:rFonts w:ascii="Calibri" w:eastAsia="Calibri" w:hAnsi="Calibri" w:cs="Calibri"/>
          <w:sz w:val="21"/>
          <w:szCs w:val="21"/>
        </w:rPr>
        <w:t xml:space="preserve">chained-volume (real) values do not sum across regions. Recompute any ratio from components; never add up real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Status by file: </w:t>
      </w:r>
      <w:r>
        <w:rPr>
          <w:rFonts w:ascii="Calibri" w:eastAsia="Calibri" w:hAnsi="Calibri" w:cs="Calibri"/>
          <w:sz w:val="21"/>
          <w:szCs w:val="21"/>
        </w:rPr>
        <w:t xml:space="preserve"/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GVA (gva_itl2, gva_per_capita_itl2): </w:t>
      </w:r>
      <w:r>
        <w:rPr>
          <w:rFonts w:ascii="Calibri" w:eastAsia="Calibri" w:hAnsi="Calibri" w:cs="Calibri"/>
          <w:sz w:val="21"/>
          <w:szCs w:val="21"/>
        </w:rPr>
        <w:t xml:space="preserve">already real — ONS chained volume, 2022 money. No action.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Labour productivity (productivity_itl2): </w:t>
      </w:r>
      <w:r>
        <w:rPr>
          <w:rFonts w:ascii="Calibri" w:eastAsia="Calibri" w:hAnsi="Calibri" w:cs="Calibri"/>
          <w:sz w:val="21"/>
          <w:szCs w:val="21"/>
        </w:rPr>
        <w:t xml:space="preserve">nominal and real (2022 prices) both included — see Section 6.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GDHI per head (gdhi_itl2): </w:t>
      </w:r>
      <w:r>
        <w:rPr>
          <w:rFonts w:ascii="Calibri" w:eastAsia="Calibri" w:hAnsi="Calibri" w:cs="Calibri"/>
          <w:sz w:val="21"/>
          <w:szCs w:val="21"/>
        </w:rPr>
        <w:t xml:space="preserve">nominal only. Real version pending (CPIH proposed) — see open decisions.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ASHE earnings (LA files): </w:t>
      </w:r>
      <w:r>
        <w:rPr>
          <w:rFonts w:ascii="Calibri" w:eastAsia="Calibri" w:hAnsi="Calibri" w:cs="Calibri"/>
          <w:sz w:val="21"/>
          <w:szCs w:val="21"/>
        </w:rPr>
        <w:t xml:space="preserve">nominal. Deflate (CPIH proposed) when building ITL2 wages.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House prices (Price Paid medians): </w:t>
      </w:r>
      <w:r>
        <w:rPr>
          <w:rFonts w:ascii="Calibri" w:eastAsia="Calibri" w:hAnsi="Calibri" w:cs="Calibri"/>
          <w:sz w:val="21"/>
          <w:szCs w:val="21"/>
        </w:rPr>
        <w:t xml:space="preserve">nominal. Mainly used as a ratio to earnings (no deflation needed); deflating levels is optional.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All other files </w:t>
      </w:r>
      <w:r>
        <w:rPr>
          <w:rFonts w:ascii="Calibri" w:eastAsia="Calibri" w:hAnsi="Calibri" w:cs="Calibri"/>
          <w:sz w:val="21"/>
          <w:szCs w:val="21"/>
        </w:rPr>
        <w:t xml:space="preserve">(population, age, migration, labour counts) are people or ages — no price adjustment.</w:t>
      </w:r>
    </w:p>
    <w:p w14:paraId="663449B2" w14:textId="77777777" w:rsidR="008D2F66" w:rsidRDefault="001C0BFF">
      <w:pPr>
        <w:pStyle w:val="Heading1"/>
        <w:spacing w:before="300" w:after="11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5. Data acquisition &amp; refresh strategy</w:t>
      </w:r>
    </w:p>
    <w:p w14:paraId="7EFC1BAF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Prioritise APIs for refreshability </w:t>
      </w:r>
      <w:r>
        <w:rPr>
          <w:rFonts w:ascii="Calibri" w:eastAsia="Calibri" w:hAnsi="Calibri" w:cs="Calibri"/>
          <w:sz w:val="21"/>
          <w:szCs w:val="21"/>
        </w:rPr>
        <w:t>(multi-year project; we will re-pull for latest data). Separate “acquire” from “process” so “get latest” is a known per-source action.</w:t>
      </w:r>
    </w:p>
    <w:p w14:paraId="28BF099A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On API now: </w:t>
      </w:r>
      <w:r>
        <w:rPr>
          <w:rFonts w:ascii="Calibri" w:eastAsia="Calibri" w:hAnsi="Calibri" w:cs="Calibri"/>
          <w:sz w:val="21"/>
          <w:szCs w:val="21"/>
        </w:rPr>
        <w:t>population, age, labour, ASHE earnings (Nomis).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API scan (Oct 2026, build/explore_ons_api_itl2.ipynb): </w:t>
      </w:r>
      <w:r>
        <w:rPr>
          <w:rFonts w:ascii="Calibri" w:eastAsia="Calibri" w:hAnsi="Calibri" w:cs="Calibri"/>
          <w:sz w:val="21"/>
          <w:szCs w:val="21"/>
        </w:rPr>
        <w:t xml:space="preserve">only 12 of 1,617 Nomis datasets offer ITL2, and most only for 2025–26; the ONS beta API has none. LA aggregation remains the main route; GVA, GDHI and productivity stay as ONS spreadsheet downloads.</w:t>
      </w:r>
    </w:p>
    <w:p w14:paraId="43E02A8B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Candidates to convert: </w:t>
      </w:r>
      <w:r>
        <w:rPr>
          <w:rFonts w:ascii="Calibri" w:eastAsia="Calibri" w:hAnsi="Calibri" w:cs="Calibri"/>
          <w:sz w:val="21"/>
          <w:szCs w:val="21"/>
        </w:rPr>
        <w:t>Price Paid via scripted yearly-file downloads. Always resolve the dataset’s latest_version per run rather than hardcoding a URL.</w:t>
      </w:r>
    </w:p>
    <w:p w14:paraId="09CCE8EC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Stay file-based (no suitable API, or deliberately frozen): </w:t>
      </w:r>
      <w:r>
        <w:rPr>
          <w:rFonts w:ascii="Calibri" w:eastAsia="Calibri" w:hAnsi="Calibri" w:cs="Calibri"/>
          <w:sz w:val="21"/>
          <w:szCs w:val="21"/>
        </w:rPr>
        <w:t>internal migration (annual series is workbook-only), geography spine, LA crosswalk, ONSPD.</w:t>
      </w:r>
    </w:p>
    <w:p w14:paraId="151051B8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Storage: </w:t>
      </w:r>
      <w:r>
        <w:rPr>
          <w:rFonts w:ascii="Calibri" w:eastAsia="Calibri" w:hAnsi="Calibri" w:cs="Calibri"/>
          <w:sz w:val="21"/>
          <w:szCs w:val="21"/>
        </w:rPr>
        <w:t>large raw files (Price Paid, ONSPD) are git-ignored and NOT put on SharePoint — they are openly re-downloadable; share small raw files plus a manifest of where to get the big ones. Secure BSD data must never leave the UK Data Service enclave.</w:t>
      </w:r>
    </w:p>
    <w:p w14:paraId="2E1BCB39" w14:textId="77777777" w:rsidR="008D2F66" w:rsidRDefault="001C0BFF">
      <w:pPr>
        <w:pStyle w:val="Heading1"/>
        <w:spacing w:before="300" w:after="11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6. Indicator decisions</w:t>
      </w:r>
    </w:p>
    <w:p w14:paraId="7B501934" w14:textId="77777777" w:rsidR="008D2F66" w:rsidRDefault="001C0BFF"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>Population</w:t>
      </w:r>
    </w:p>
    <w:p w14:paraId="4AE3D561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Nomis (NM_2002_1), all-ages, summed to ITL2; 46 regions, ~35 years. Doubles as the weight for deriving rates. Watch small steps at census rebasings.</w:t>
      </w:r>
    </w:p>
    <w:p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 xml:space="preserve">Age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Source: </w:t>
      </w:r>
      <w:r>
        <w:rPr>
          <w:rFonts w:ascii="Calibri" w:eastAsia="Calibri" w:hAnsi="Calibri" w:cs="Calibri"/>
          <w:sz w:val="21"/>
          <w:szCs w:val="21"/>
        </w:rPr>
        <w:t xml:space="preserve">Nomis NM_2002_1, persons by single year of age, 1991–2025, summed to ITL2. Replaces an earlier ONS workbook version (2011–2024, pre-revision).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Method: </w:t>
      </w:r>
      <w:r>
        <w:rPr>
          <w:rFonts w:ascii="Calibri" w:eastAsia="Calibri" w:hAnsi="Calibri" w:cs="Calibri"/>
          <w:sz w:val="21"/>
          <w:szCs w:val="21"/>
        </w:rPr>
        <w:t xml:space="preserve">median age interpolated from ITL2 single-year counts (never averaged across LAs); age-band counts, shares and dependency ratios from the same counts. Outputs: age_single_year_itl2, age_itl2, median_age_itl2.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Caveats: </w:t>
      </w:r>
      <w:r>
        <w:rPr>
          <w:rFonts w:ascii="Calibri" w:eastAsia="Calibri" w:hAnsi="Calibri" w:cs="Calibri"/>
          <w:sz w:val="21"/>
          <w:szCs w:val="21"/>
        </w:rPr>
        <w:t xml:space="preserve">E&amp;W 1991–2000 top age group is 85+ (no 85–89 detail; flagged open_ended) — median and bands below 85 unaffected. NI from 2001. Totals match population_itl2 exactly.</w:t>
      </w:r>
    </w:p>
    <w:p w14:paraId="217DBCE3" w14:textId="77777777" w:rsidR="008D2F66" w:rsidRDefault="001C0BFF"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>Internal migration</w:t>
      </w:r>
    </w:p>
    <w:p w14:paraId="6FC4115A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ONS Internal migration in England and Wales (T1a/T1 tables); net = inflow − outflow, counts summed to ITL2.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England &amp; Wales only (39/46 regions; Scotland/NI blank). </w:t>
      </w:r>
      <w:r>
        <w:rPr>
          <w:rFonts w:ascii="Calibri" w:eastAsia="Calibri" w:hAnsi="Calibri" w:cs="Calibri"/>
          <w:sz w:val="21"/>
          <w:szCs w:val="21"/>
        </w:rPr>
        <w:t>2012–2025 — the binding series setting the panel window.</w:t>
      </w:r>
    </w:p>
    <w:p w14:paraId="4FDA8F13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Checked: COVID-era net outflow from inner London in 2020–21 is real, not an artefact; no visible method-break at the mid-2023 ONS method change when viewed at ITL2.</w:t>
      </w:r>
    </w:p>
    <w:p w14:paraId="0EAF9C9A" w14:textId="77777777" w:rsidR="008D2F66" w:rsidRDefault="001C0BFF"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>GVA (output) &amp; GVA per capita</w:t>
      </w:r>
    </w:p>
    <w:p w14:paraId="02178B7A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ONS Regional GVA (balanced) by industry, Table 2b (real, chained volume £m); already ITL2 2025, 46 regions, 1998–2023. GVA per capita derived with the population series. Corrected-edition file used. This is output, not productivity.</w:t>
      </w:r>
    </w:p>
    <w:p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 xml:space="preserve">Labour productivity (GVA per hour worked / per filled job)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Source: </w:t>
      </w:r>
      <w:r>
        <w:rPr>
          <w:rFonts w:ascii="Calibri" w:eastAsia="Calibri" w:hAnsi="Calibri" w:cs="Calibri"/>
          <w:sz w:val="21"/>
          <w:szCs w:val="21"/>
        </w:rPr>
        <w:t xml:space="preserve">ONS Subregional productivity, June 2025 release (labourproductivityitls2.xlsx), downloaded from the ONS website — a spreadsheet release, not available via the Nomis or ONS APIs. Saved in raw/productivity/; build/productivity.ipynb re-downloads the current release only if the file is missing. Already ITL2 2025, 46 regions, UK-wide (incl. Scotland and NI). Output: clean/productivity_itl2.csv.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Counts kept: </w:t>
      </w:r>
      <w:r>
        <w:rPr>
          <w:rFonts w:ascii="Calibri" w:eastAsia="Calibri" w:hAnsi="Calibri" w:cs="Calibri"/>
          <w:sz w:val="21"/>
          <w:szCs w:val="21"/>
        </w:rPr>
        <w:t xml:space="preserve">total hours worked in an average week (2004–2023) and filled jobs (2002–2023), as summable denominators — both sum exactly to the ITL1 totals (checked). Annual hours = weekly × 52.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Three productivity forms: </w:t>
      </w:r>
      <w:r>
        <w:rPr>
          <w:rFonts w:ascii="Calibri" w:eastAsia="Calibri" w:hAnsi="Calibri" w:cs="Calibri"/>
          <w:sz w:val="21"/>
          <w:szCs w:val="21"/>
        </w:rPr>
        <w:t xml:space="preserve">current-price £ unsmoothed (consistent with regional GVA; year-to-year analysis); current-price £ smoothed (ONS’s recommended measure for comparing levels across regions — dampens survey noise in hours/jobs); chained-volume index, 2022 = 100 (real growth within a region only).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Real £ in 2022 prices added: </w:t>
      </w:r>
      <w:r>
        <w:rPr>
          <w:rFonts w:ascii="Calibri" w:eastAsia="Calibri" w:hAnsi="Calibri" w:cs="Calibri"/>
          <w:sz w:val="21"/>
          <w:szCs w:val="21"/>
        </w:rPr>
        <w:t xml:space="preserve">gva_per_hour_real_2022gbp and gva_per_job_real_2022gbp = unsmoothed 2022 current-price level × real index ÷ 100 (method in Section 4). Validation: matches real GVA (gva_itl2.csv) ÷ annual hours within 0.02% in every region-year.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Caveats: </w:t>
      </w:r>
      <w:r>
        <w:rPr>
          <w:rFonts w:ascii="Calibri" w:eastAsia="Calibri" w:hAnsi="Calibri" w:cs="Calibri"/>
          <w:sz w:val="21"/>
          <w:szCs w:val="21"/>
        </w:rPr>
        <w:t xml:space="preserve">hours are survey-based (hence ONS’s smoothing); the real series is built from unsmoothed data, as ONS publishes no smoothed real index; the plain £ columns are not inflation-adjusted.</w:t>
      </w:r>
    </w:p>
    <w:p w14:paraId="5C4E7E64" w14:textId="77777777" w:rsidR="008D2F66" w:rsidRDefault="001C0BFF"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>GDHI per head</w:t>
      </w:r>
    </w:p>
    <w:p w14:paraId="4A53AF93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ONS Regional GDHI, Table 3 (per head £); already ITL2 2025, 46 regions, 1997–2024. A residence-based prosperity measure complementing workplace-based GVA. </w:t>
      </w:r>
      <w:r>
        <w:rPr>
          <w:rFonts w:ascii="Calibri" w:eastAsia="Calibri" w:hAnsi="Calibri" w:cs="Calibri"/>
          <w:b/>
          <w:bCs/>
          <w:sz w:val="21"/>
          <w:szCs w:val="21"/>
        </w:rPr>
        <w:t>Not in the original application variable list — added deliberately.</w:t>
      </w:r>
    </w:p>
    <w:p w14:paraId="078384CE" w14:textId="77777777" w:rsidR="008D2F66" w:rsidRDefault="001C0BFF"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>Housing</w:t>
      </w:r>
    </w:p>
    <w:p w14:paraId="5B8A839D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Primary: Land Registry Price Paid median. </w:t>
      </w:r>
      <w:r>
        <w:rPr>
          <w:rFonts w:ascii="Calibri" w:eastAsia="Calibri" w:hAnsi="Calibri" w:cs="Calibri"/>
          <w:sz w:val="21"/>
          <w:szCs w:val="21"/>
        </w:rPr>
        <w:t>Median of pooled category-A residential (D/S/T/F) sales per ITL2-year, via postcode → LA → crosswalk → spine (ONSPD Feb 2026). E&amp;W only (39/46), 1995–2025. New-build/existing and property-type splits for 2018–2025. Region-years with &lt; 30 sales dropped as border-postcode noise.</w:t>
      </w:r>
    </w:p>
    <w:p w14:paraId="6BE80163" w14:textId="77777777" w:rsidR="008D2F66" w:rsidRPr="00697976" w:rsidRDefault="001C0BFF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>
        <w:rPr>
          <w:rFonts w:ascii="Calibri" w:eastAsia="Calibri" w:hAnsi="Calibri" w:cs="Calibri"/>
          <w:b/>
          <w:bCs/>
          <w:sz w:val="21"/>
          <w:szCs w:val="21"/>
          <w:highlight w:val="yellow"/>
        </w:rPr>
        <w:t xml:space="preserve">Dropped: UK HPI </w:t>
      </w:r>
      <w:r>
        <w:rPr>
          <w:rFonts w:ascii="Calibri" w:eastAsia="Calibri" w:hAnsi="Calibri" w:cs="Calibri"/>
          <w:sz w:val="21"/>
          <w:szCs w:val="21"/>
          <w:highlight w:val="yellow"/>
        </w:rPr>
        <w:t>(collaborator-built) — mix-adjusted average, UK-wide; the only price measure covering Scotland/NI. Its ITL2 version was an unweighted mean of LA averages, so it was deleted (below).</w:t>
      </w:r>
    </w:p>
    <w:p w14:paraId="3E8A2D9F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BF8F00"/>
          <w:sz w:val="21"/>
          <w:szCs w:val="21"/>
        </w:rPr>
        <w:t xml:space="preserve">Affordability ratio files (house-price-to-earnings, workplace &amp; residence) dropped. </w:t>
      </w:r>
      <w:r>
        <w:rPr>
          <w:rFonts w:ascii="Calibri" w:eastAsia="Calibri" w:hAnsi="Calibri" w:cs="Calibri"/>
          <w:sz w:val="21"/>
          <w:szCs w:val="21"/>
        </w:rPr>
        <w:t>They require averaging LA-level ratios up to ITL2 — the aggregation trap we avoid. Instead, affordability will be derived at ITL2 after aggregation, as Price Paid median ÷ a clean ITL2 earnings measure (ASHE). Rental-to-income ratio has the same issue and is parked.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Deleted: </w:t>
      </w:r>
      <w:r>
        <w:rPr>
          <w:rFonts w:ascii="Calibri" w:eastAsia="Calibri" w:hAnsi="Calibri" w:cs="Calibri"/>
          <w:sz w:val="21"/>
          <w:szCs w:val="21"/>
        </w:rPr>
        <w:t xml:space="preserve">housing_ratios.ipynb and its outputs (house_prices_itl2, both affordability CSVs) — unweighted means of LA averages/ratios, with suppressed LAs silently dropped. Recoverable from git (commit b3b982c).</w:t>
      </w:r>
    </w:p>
    <w:p w14:paraId="560513F0" w14:textId="77777777" w:rsidR="008D2F66" w:rsidRDefault="001C0BFF"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>Labour market (APS counts + Claimant Count)</w:t>
      </w:r>
    </w:p>
    <w:p w14:paraId="1BDABC9A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Approach: counts only, derive rates later. </w:t>
      </w:r>
      <w:r>
        <w:rPr>
          <w:rFonts w:ascii="Calibri" w:eastAsia="Calibri" w:hAnsi="Calibri" w:cs="Calibri"/>
          <w:sz w:val="21"/>
          <w:szCs w:val="21"/>
        </w:rPr>
        <w:t>Pull APS counts, sum to ITL2 (exact), and derive participation / inactivity / unemployment rates at ITL2. Output: clean/labour_counts_itl2.csv — all 46 regions, 2004–2025, all checks passing.</w:t>
      </w:r>
    </w:p>
    <w:p w14:paraId="31820E54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Technical decisions made during the build (each fixes a silent error):</w:t>
      </w:r>
    </w:p>
    <w:p w14:paraId="656C70B3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Measure: </w:t>
      </w:r>
      <w:r>
        <w:rPr>
          <w:rFonts w:ascii="Calibri" w:eastAsia="Calibri" w:hAnsi="Calibri" w:cs="Calibri"/>
          <w:sz w:val="21"/>
          <w:szCs w:val="21"/>
        </w:rPr>
        <w:t>APS (NM_17_5) has no “Value” measure — it stores % variables, with counts in the Numerator/Denominator measures. Counts are pulled from those, not a non-existent “Value”.</w:t>
      </w:r>
    </w:p>
    <w:p w14:paraId="0C2C681C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Rolling-period fix: </w:t>
      </w:r>
      <w:r>
        <w:rPr>
          <w:rFonts w:ascii="Calibri" w:eastAsia="Calibri" w:hAnsi="Calibri" w:cs="Calibri"/>
          <w:sz w:val="21"/>
          <w:szCs w:val="21"/>
        </w:rPr>
        <w:t>APS is a 12-month rolling series published quarterly; keeping only calendar-year (Jan–Dec) periods avoids a ~4× overcount from overlapping windows.</w:t>
      </w:r>
    </w:p>
    <w:p w14:paraId="1EA2AEEC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Paging: </w:t>
      </w:r>
      <w:r>
        <w:rPr>
          <w:rFonts w:ascii="Calibri" w:eastAsia="Calibri" w:hAnsi="Calibri" w:cs="Calibri"/>
          <w:sz w:val="21"/>
          <w:szCs w:val="21"/>
        </w:rPr>
        <w:t>the Nomis API returns at most 25,000 rows per request and truncates silently; the full LA series (~238k rows) is fetched by paging through all of it.</w:t>
      </w:r>
    </w:p>
    <w:p w14:paraId="621D68C7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Suppression-robust derivation: </w:t>
      </w:r>
      <w:r>
        <w:rPr>
          <w:rFonts w:ascii="Calibri" w:eastAsia="Calibri" w:hAnsi="Calibri" w:cs="Calibri"/>
          <w:sz w:val="21"/>
          <w:szCs w:val="21"/>
        </w:rPr>
        <w:t>published unemployment counts are suppressed for small samples in many LAs, which a plain sum would drop silently. Unemployment is derived as active − employed, and inactive as working-age population − active — exact by definition and based on counts that are almost never suppressed (match published figures to ±100 rounding).</w:t>
      </w:r>
    </w:p>
    <w:p w14:paraId="1D497A5A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Northern Ireland: </w:t>
      </w:r>
      <w:r>
        <w:rPr>
          <w:rFonts w:ascii="Calibri" w:eastAsia="Calibri" w:hAnsi="Calibri" w:cs="Calibri"/>
          <w:sz w:val="21"/>
          <w:szCs w:val="21"/>
        </w:rPr>
        <w:t>no LA-level APS on Nomis, so TLN0 uses the NI country figure.</w:t>
      </w:r>
    </w:p>
    <w:p w14:paraId="26E7A34B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Suppressed LA-years </w:t>
      </w:r>
      <w:r>
        <w:rPr>
          <w:rFonts w:ascii="Calibri" w:eastAsia="Calibri" w:hAnsi="Calibri" w:cs="Calibri"/>
          <w:sz w:val="21"/>
          <w:szCs w:val="21"/>
        </w:rPr>
        <w:t>(City of London, Orkney) are flagged in an aps_las_missing column rather than silently absorbed.</w:t>
      </w:r>
    </w:p>
    <w:p w14:paraId="1F702A7F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Crosswalk guard: </w:t>
      </w:r>
      <w:r>
        <w:rPr>
          <w:rFonts w:ascii="Calibri" w:eastAsia="Calibri" w:hAnsi="Calibri" w:cs="Calibri"/>
          <w:sz w:val="21"/>
          <w:szCs w:val="21"/>
        </w:rPr>
        <w:t>a check fails if an old and a new code both carry data for the same LA-year (Nomis still uses old Barnsley/Sheffield codes).</w:t>
      </w:r>
    </w:p>
    <w:p w14:paraId="2D1B1118" w14:textId="77777777" w:rsidR="008D2F66" w:rsidRDefault="001C0BFF">
      <w:pPr>
        <w:pStyle w:val="ListParagraph"/>
        <w:numPr>
          <w:ilvl w:val="1"/>
          <w:numId w:val="1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Acquisition: </w:t>
      </w:r>
      <w:r>
        <w:rPr>
          <w:rFonts w:ascii="Calibri" w:eastAsia="Calibri" w:hAnsi="Calibri" w:cs="Calibri"/>
          <w:sz w:val="21"/>
          <w:szCs w:val="21"/>
        </w:rPr>
        <w:t>Nomis API queries are built into the notebook (no URL-pasting); dated raw extracts saved in raw/labour/.</w:t>
      </w:r>
    </w:p>
    <w:p w14:paraId="026BA016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Validation: </w:t>
      </w:r>
      <w:r>
        <w:rPr>
          <w:rFonts w:ascii="Calibri" w:eastAsia="Calibri" w:hAnsi="Calibri" w:cs="Calibri"/>
          <w:sz w:val="21"/>
          <w:szCs w:val="21"/>
        </w:rPr>
        <w:t>summed LA counts match Nomis’s own ITL2 (Jan 2025) geography for 2025 — median gap 0.00%; worst 0.2% (active) and 1.7% (unemployed), both Cumbria (TLD1).</w:t>
      </w:r>
    </w:p>
    <w:p w14:paraId="75E921B6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Claimant Count cross-check: </w:t>
      </w:r>
      <w:r>
        <w:rPr>
          <w:rFonts w:ascii="Calibri" w:eastAsia="Calibri" w:hAnsi="Calibri" w:cs="Calibri"/>
          <w:sz w:val="21"/>
          <w:szCs w:val="21"/>
        </w:rPr>
        <w:t>summed over LAs, averaged over months (it is a stock, not a flow), complete years only. It is age 16+ while APS is 16–64, so treat it as a trend check, not a level comparison.</w:t>
      </w:r>
    </w:p>
    <w:p>
      <w:pPr>
        <w:pStyle w:val="Heading2"/>
        <w:spacing w:before="170" w:after="60"/>
      </w:pPr>
      <w:r>
        <w:rPr>
          <w:rFonts w:ascii="Calibri" w:eastAsia="Calibri" w:hAnsi="Calibri" w:cs="Calibri"/>
          <w:b/>
          <w:bCs/>
          <w:color w:val="2E5496"/>
          <w:sz w:val="22"/>
          <w:szCs w:val="22"/>
        </w:rPr>
        <w:t xml:space="preserve">Earnings (ASHE)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Source: </w:t>
      </w:r>
      <w:r>
        <w:rPr>
          <w:rFonts w:ascii="Calibri" w:eastAsia="Calibri" w:hAnsi="Calibri" w:cs="Calibri"/>
          <w:sz w:val="21"/>
          <w:szCs w:val="21"/>
        </w:rPr>
        <w:t xml:space="preserve">Nomis NM_30_1 (residence, 2002–2025) and NM_99_1 (workplace, 1997–2025); full-time, gross weekly and hourly; jobs, median and P10–P90, with CV. GB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Kept at LA: </w:t>
      </w:r>
      <w:r>
        <w:rPr>
          <w:rFonts w:ascii="Calibri" w:eastAsia="Calibri" w:hAnsi="Calibri" w:cs="Calibri"/>
          <w:sz w:val="21"/>
          <w:szCs w:val="21"/>
        </w:rPr>
        <w:t xml:space="preserve">percentiles can’t be summed; ITL2 wages to come from jobs-weighted percentile interpolation (pending).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History recovered: </w:t>
      </w:r>
      <w:r>
        <w:rPr>
          <w:rFonts w:ascii="Calibri" w:eastAsia="Calibri" w:hAnsi="Calibri" w:cs="Calibri"/>
          <w:sz w:val="21"/>
          <w:szCs w:val="21"/>
        </w:rPr>
        <w:t xml:space="preserve">no single Nomis boundary set holds all years. Stitched from four LA vintages plus crosswalk predecessor codes; per LA-year, the current LA is used if it has data, otherwise its predecessors — never both. All 45 GB ITL2s covered every year.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Suppression: </w:t>
      </w:r>
      <w:r>
        <w:rPr>
          <w:rFonts w:ascii="Calibri" w:eastAsia="Calibri" w:hAnsi="Calibri" w:cs="Calibri"/>
          <w:sz w:val="21"/>
          <w:szCs w:val="21"/>
        </w:rPr>
        <w:t xml:space="preserve">suppressed cells kept as NaN with Nomis status; CV never exceeds 20 (higher is suppressed), so ONS CV bands are recorded instead (≤5 / 5–10 / 10–20).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Nomis errors found: </w:t>
      </w:r>
      <w:r>
        <w:rPr>
          <w:rFonts w:ascii="Calibri" w:eastAsia="Calibri" w:hAnsi="Calibri" w:cs="Calibri"/>
          <w:sz w:val="21"/>
          <w:szCs w:val="21"/>
        </w:rPr>
        <w:t xml:space="preserve">St Edmundsbury’s code queried directly returns Forest Heath’s figures (2008–17); the April 2019 workplace vintage holds stale 2022 values. Both resolved by vintage priority.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Caveats: </w:t>
      </w:r>
      <w:r>
        <w:rPr>
          <w:rFonts w:ascii="Calibri" w:eastAsia="Calibri" w:hAnsi="Calibri" w:cs="Calibri"/>
          <w:sz w:val="21"/>
          <w:szCs w:val="21"/>
        </w:rPr>
        <w:t xml:space="preserve">P90 suppressed for ~90% of LAs, P80 ~15%; jobs rounded to 1,000; NI not covered; series breaks 2004, 2006, 2011, 2021.</w:t>
      </w:r>
    </w:p>
    <w:p w14:paraId="0BBF4C64" w14:textId="77777777" w:rsidR="008D2F66" w:rsidRDefault="001C0BFF">
      <w:pPr>
        <w:pStyle w:val="Heading1"/>
        <w:spacing w:before="300" w:after="11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Data-quality &amp; temporal-consistency caveats to carry forward</w:t>
      </w:r>
    </w:p>
    <w:p w14:paraId="44E259BE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color w:val="BF8F00"/>
          <w:sz w:val="21"/>
          <w:szCs w:val="21"/>
        </w:rPr>
        <w:t xml:space="preserve">APS lost accredited-official-statistics status from 2024 </w:t>
      </w:r>
      <w:r>
        <w:rPr>
          <w:rFonts w:ascii="Calibri" w:eastAsia="Calibri" w:hAnsi="Calibri" w:cs="Calibri"/>
          <w:sz w:val="21"/>
          <w:szCs w:val="21"/>
        </w:rPr>
        <w:t>(Labour Force Survey response-rate problems); reweighting through 2025–26 and transition to a Transformed LFS. Treat recent years (2020+, acute 2023–24) as provisional; Claimant Count is the administrative cross-check.</w:t>
      </w:r>
    </w:p>
    <w:p w14:paraId="3A999774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Claimant Count has its own break: </w:t>
      </w:r>
      <w:r>
        <w:rPr>
          <w:rFonts w:ascii="Calibri" w:eastAsia="Calibri" w:hAnsi="Calibri" w:cs="Calibri"/>
          <w:sz w:val="21"/>
          <w:szCs w:val="21"/>
        </w:rPr>
        <w:t>Universal Credit rollout from ~2013 progressively changed who is counted — good for relative trends, not precise levels.</w:t>
      </w:r>
    </w:p>
    <w:p w14:paraId="31541748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Migration: </w:t>
      </w:r>
      <w:r>
        <w:rPr>
          <w:rFonts w:ascii="Calibri" w:eastAsia="Calibri" w:hAnsi="Calibri" w:cs="Calibri"/>
          <w:sz w:val="21"/>
          <w:szCs w:val="21"/>
        </w:rPr>
        <w:t>ONS method changed mid-2023 (no visible ITL2 break, but logged); 2015 figures carry rebasing decimals.</w:t>
      </w:r>
    </w:p>
    <w:p w14:paraId="020DEC58" w14:textId="77777777" w:rsidR="008D2F66" w:rsidRPr="00580475" w:rsidRDefault="001C0BFF">
      <w:pPr>
        <w:pStyle w:val="ListParagraph"/>
        <w:numPr>
          <w:ilvl w:val="0"/>
          <w:numId w:val="1"/>
        </w:numPr>
        <w:spacing w:after="80"/>
        <w:rPr>
          <w:highlight w:val="yellow"/>
        </w:rPr>
      </w:pPr>
      <w:r>
        <w:rPr>
          <w:rFonts w:ascii="Calibri" w:eastAsia="Calibri" w:hAnsi="Calibri" w:cs="Calibri"/>
          <w:b/>
          <w:bCs/>
          <w:sz w:val="21"/>
          <w:szCs w:val="21"/>
          <w:highlight w:val="yellow"/>
        </w:rPr>
        <w:t xml:space="preserve">Census 2021 travel-to-work (collaborator-added): </w:t>
      </w:r>
      <w:r>
        <w:rPr>
          <w:rFonts w:ascii="Calibri" w:eastAsia="Calibri" w:hAnsi="Calibri" w:cs="Calibri"/>
          <w:sz w:val="21"/>
          <w:szCs w:val="21"/>
          <w:highlight w:val="yellow"/>
        </w:rPr>
        <w:t>a single cross-section, and a lockdown year — “work from home” is inflated. Use as a time-invariant regional control, not a longitudinal variable; confirm intended use with collaborator.</w:t>
      </w:r>
    </w:p>
    <w:p w14:paraId="6B308E82" w14:textId="77777777" w:rsidR="008D2F66" w:rsidRDefault="001C0BFF">
      <w:pPr>
        <w:pStyle w:val="Heading1"/>
        <w:spacing w:before="300" w:after="11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8. Open decisions (pending)</w:t>
      </w:r>
    </w:p>
    <w:p w14:paraId="40D80751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Scotland/NI migration gap </w:t>
      </w:r>
      <w:r>
        <w:rPr>
          <w:rFonts w:ascii="Calibri" w:eastAsia="Calibri" w:hAnsi="Calibri" w:cs="Calibri"/>
          <w:sz w:val="21"/>
          <w:szCs w:val="21"/>
        </w:rPr>
        <w:t>— accept England &amp; Wales–only, or stitch in NRS + NISRA (decision for Richard). English figures already capture cross-border flows.</w:t>
      </w:r>
    </w:p>
    <w:p w14:paraId="3A9D8305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Primary house-price measure </w:t>
      </w:r>
      <w:r>
        <w:rPr>
          <w:rFonts w:ascii="Calibri" w:eastAsia="Calibri" w:hAnsi="Calibri" w:cs="Calibri"/>
          <w:sz w:val="21"/>
          <w:szCs w:val="21"/>
        </w:rPr>
        <w:t>— Price Paid median is primary; with UK HPI dropped, Scotland/NI have no house-price source — find one (e.g. Registers of Scotland, NISRA).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Migration notebook — </w:t>
      </w:r>
      <w:r>
        <w:rPr>
          <w:rFonts w:ascii="Calibri" w:eastAsia="Calibri" w:hAnsi="Calibri" w:cs="Calibri"/>
          <w:sz w:val="21"/>
          <w:szCs w:val="21"/>
        </w:rPr>
        <w:t xml:space="preserve">reads only the T1a sheets (to 2021); the committed 2012–2025 CSV was built outside it. Update before rerunning.</w:t>
      </w:r>
    </w:p>
    <w:p w14:paraId="47B8336D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Derive housing affordability </w:t>
      </w:r>
      <w:r>
        <w:rPr>
          <w:rFonts w:ascii="Calibri" w:eastAsia="Calibri" w:hAnsi="Calibri" w:cs="Calibri"/>
          <w:sz w:val="21"/>
          <w:szCs w:val="21"/>
        </w:rPr>
        <w:t>at ITL2 from Price Paid median ÷ ASHE earnings once wages are built; decide final numerator/denominator basis.</w:t>
      </w:r>
    </w:p>
    <w:p w14:paraId="0099C9EC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Still to build: </w:t>
      </w:r>
      <w:r>
        <w:rPr>
          <w:rFonts w:ascii="Calibri" w:eastAsia="Calibri" w:hAnsi="Calibri" w:cs="Calibri"/>
          <w:sz w:val="21"/>
          <w:szCs w:val="21"/>
        </w:rPr>
        <w:t>wages at ITL2 (ASHE LA files built; next: jobs-weighted percentile interpolation, also unlocks affordability); sector mix (from the GVA-by-industry file already held).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Deflators for other £ series — </w:t>
      </w:r>
      <w:r>
        <w:rPr>
          <w:rFonts w:ascii="Calibri" w:eastAsia="Calibri" w:hAnsi="Calibri" w:cs="Calibri"/>
          <w:sz w:val="21"/>
          <w:szCs w:val="21"/>
        </w:rPr>
        <w:t xml:space="preserve">confirm CPIH for GDHI per head and ASHE earnings, and whether house-price levels are deflated or used only as a ratio to earnings (Section 4).</w:t>
      </w:r>
    </w:p>
    <w:p w14:paraId="26E416BD" w14:textId="77777777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Transport / connectivity </w:t>
      </w:r>
      <w:r>
        <w:rPr>
          <w:rFonts w:ascii="Calibri" w:eastAsia="Calibri" w:hAnsi="Calibri" w:cs="Calibri"/>
          <w:sz w:val="21"/>
          <w:szCs w:val="21"/>
        </w:rPr>
        <w:t>— single-year spend would be a cross-sectional control; a longitudinal option (rail/bus usage) preferred if pursued.</w:t>
      </w:r>
    </w:p>
    <w:p w14:paraId="17490663" w14:textId="1FA6E0B2" w:rsidR="008D2F66" w:rsidRDefault="001C0BF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Housekeeping: </w:t>
      </w:r>
      <w:r>
        <w:rPr>
          <w:rFonts w:ascii="Calibri" w:eastAsia="Calibri" w:hAnsi="Calibri" w:cs="Calibri"/>
          <w:sz w:val="21"/>
          <w:szCs w:val="21"/>
        </w:rPr>
        <w:t xml:space="preserve">save and push </w:t>
      </w:r>
    </w:p>
    <w:p w14:paraId="6786CC02" w14:textId="6006D5F1" w:rsidR="008D2F66" w:rsidRDefault="008D2F66" w:rsidP="00580475">
      <w:pPr>
        <w:spacing w:after="80"/>
        <w:ind w:left="360"/>
      </w:pPr>
    </w:p>
    <w:sectPr w:rsidR="008D2F6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Hannah Cantekin" w:date="2026-10-07T15:00:00Z" w:initials="HC">
    <w:p w14:paraId="5D571C74" w14:textId="77777777" w:rsidR="00697976" w:rsidRDefault="00697976" w:rsidP="00697976">
      <w:r>
        <w:rPr>
          <w:rStyle w:val="CommentReference"/>
        </w:rPr>
        <w:annotationRef/>
      </w:r>
      <w:r>
        <w:t>Cross-checking but I think using existing datasets ITL2 is fine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D571C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2C221C9" w16cex:dateUtc="2026-10-07T14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D571C74" w16cid:durableId="22C221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95558"/>
    <w:multiLevelType w:val="hybridMultilevel"/>
    <w:tmpl w:val="C53AFF6C"/>
    <w:lvl w:ilvl="0" w:tplc="89947776">
      <w:start w:val="1"/>
      <w:numFmt w:val="bullet"/>
      <w:lvlText w:val="●"/>
      <w:lvlJc w:val="left"/>
      <w:pPr>
        <w:ind w:left="720" w:hanging="360"/>
      </w:pPr>
    </w:lvl>
    <w:lvl w:ilvl="1" w:tplc="72C437E0">
      <w:start w:val="1"/>
      <w:numFmt w:val="bullet"/>
      <w:lvlText w:val="○"/>
      <w:lvlJc w:val="left"/>
      <w:pPr>
        <w:ind w:left="1440" w:hanging="360"/>
      </w:pPr>
    </w:lvl>
    <w:lvl w:ilvl="2" w:tplc="DE9EED0C" w:tentative="1">
      <w:start w:val="1"/>
      <w:numFmt w:val="bullet"/>
      <w:lvlText w:val="■"/>
      <w:lvlJc w:val="left"/>
      <w:pPr>
        <w:ind w:left="2160" w:hanging="360"/>
      </w:pPr>
    </w:lvl>
    <w:lvl w:ilvl="3" w:tplc="788AC046" w:tentative="1">
      <w:start w:val="1"/>
      <w:numFmt w:val="bullet"/>
      <w:lvlText w:val="●"/>
      <w:lvlJc w:val="left"/>
      <w:pPr>
        <w:ind w:left="2880" w:hanging="360"/>
      </w:pPr>
    </w:lvl>
    <w:lvl w:ilvl="4" w:tplc="C5F25CC4" w:tentative="1">
      <w:start w:val="1"/>
      <w:numFmt w:val="bullet"/>
      <w:lvlText w:val="○"/>
      <w:lvlJc w:val="left"/>
      <w:pPr>
        <w:ind w:left="3600" w:hanging="360"/>
      </w:pPr>
    </w:lvl>
    <w:lvl w:ilvl="5" w:tplc="445E4FF8" w:tentative="1">
      <w:start w:val="1"/>
      <w:numFmt w:val="bullet"/>
      <w:lvlText w:val="■"/>
      <w:lvlJc w:val="left"/>
      <w:pPr>
        <w:ind w:left="4320" w:hanging="360"/>
      </w:pPr>
    </w:lvl>
    <w:lvl w:ilvl="6" w:tplc="7324A716" w:tentative="1">
      <w:start w:val="1"/>
      <w:numFmt w:val="bullet"/>
      <w:lvlText w:val="●"/>
      <w:lvlJc w:val="left"/>
      <w:pPr>
        <w:ind w:left="5040" w:hanging="360"/>
      </w:pPr>
    </w:lvl>
    <w:lvl w:ilvl="7" w:tplc="8C287F88" w:tentative="1">
      <w:start w:val="1"/>
      <w:numFmt w:val="bullet"/>
      <w:lvlText w:val="●"/>
      <w:lvlJc w:val="left"/>
      <w:pPr>
        <w:ind w:left="5760" w:hanging="360"/>
      </w:pPr>
    </w:lvl>
    <w:lvl w:ilvl="8" w:tplc="0D86165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70397929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Hannah Cantekin">
    <w15:presenceInfo w15:providerId="AD" w15:userId="S::H.Cantekin@lse.ac.uk::db2a64d1-76db-4148-a174-ccf31eb21d4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F66"/>
    <w:rsid w:val="001C0BFF"/>
    <w:rsid w:val="00580475"/>
    <w:rsid w:val="00697976"/>
    <w:rsid w:val="008D2F66"/>
    <w:rsid w:val="00CE0EEB"/>
    <w:rsid w:val="00D9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C385E"/>
  <w15:docId w15:val="{18B03440-2420-1A44-A903-02AC2141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979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97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97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9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9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1359</Words>
  <Characters>8401</Characters>
  <Application>Microsoft Office Word</Application>
  <DocSecurity>0</DocSecurity>
  <Lines>155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Cantekin</cp:lastModifiedBy>
  <cp:revision>2</cp:revision>
  <dcterms:created xsi:type="dcterms:W3CDTF">2026-10-07T14:51:00Z</dcterms:created>
  <dcterms:modified xsi:type="dcterms:W3CDTF">2026-10-07T14:51:00Z</dcterms:modified>
</cp:coreProperties>
</file>