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bookmarkStart w:name="_Hlk199154412" w:id="0"/>
      <w:r>
        <w:rPr>
          <w:rtl w:val="0"/>
          <w:lang w:val="en-US"/>
        </w:rPr>
        <w:t>#articleTitle</w:t>
      </w:r>
    </w:p>
    <w:p>
      <w:pPr>
        <w:pStyle w:val="Body"/>
        <w:rPr>
          <w:b w:val="1"/>
          <w:bCs w:val="1"/>
        </w:rPr>
      </w:pPr>
      <w:r>
        <w:rPr>
          <w:rtl w:val="0"/>
          <w:lang w:val="en-US"/>
        </w:rPr>
        <w:t xml:space="preserve">Alkimos and Soterichos, Secretaries of the </w:t>
      </w:r>
      <w:r>
        <w:rPr>
          <w:rtl w:val="0"/>
          <w:lang w:val="pt-PT"/>
        </w:rPr>
        <w:t xml:space="preserve">Grapheion </w:t>
      </w:r>
      <w:r>
        <w:rPr>
          <w:rtl w:val="0"/>
        </w:rPr>
        <w:t>of Herakleia</w:t>
      </w:r>
    </w:p>
    <w:p>
      <w:pPr>
        <w:pStyle w:val="Body"/>
      </w:pPr>
    </w:p>
    <w:p>
      <w:pPr>
        <w:pStyle w:val="Body"/>
      </w:pPr>
      <w:r>
        <w:rPr>
          <w:rtl w:val="0"/>
          <w:lang w:val="en-US"/>
        </w:rPr>
        <w:t>#author</w:t>
      </w:r>
    </w:p>
    <w:p>
      <w:pPr>
        <w:pStyle w:val="Body"/>
      </w:pPr>
      <w:r>
        <w:rPr>
          <w:rtl w:val="0"/>
        </w:rPr>
        <w:t>Claytor, W. Graham</w:t>
      </w:r>
    </w:p>
    <w:p>
      <w:pPr>
        <w:pStyle w:val="Body"/>
      </w:pPr>
    </w:p>
    <w:p>
      <w:pPr>
        <w:pStyle w:val="Body"/>
      </w:pPr>
      <w:r>
        <w:rPr>
          <w:rtl w:val="0"/>
          <w:lang w:val="fr-FR"/>
        </w:rPr>
        <w:t>#affiliation</w:t>
      </w:r>
    </w:p>
    <w:p>
      <w:pPr>
        <w:pStyle w:val="Body"/>
      </w:pPr>
      <w:r>
        <w:rPr>
          <w:rtl w:val="0"/>
          <w:lang w:val="en-US"/>
        </w:rPr>
        <w:t>University of Warsaw</w:t>
      </w:r>
    </w:p>
    <w:p>
      <w:pPr>
        <w:pStyle w:val="Body"/>
      </w:pPr>
    </w:p>
    <w:p>
      <w:pPr>
        <w:pStyle w:val="Body"/>
      </w:pPr>
      <w:r>
        <w:rPr>
          <w:rtl w:val="0"/>
          <w:lang w:val="en-US"/>
        </w:rPr>
        <w:t>#email</w:t>
      </w:r>
    </w:p>
    <w:p>
      <w:pPr>
        <w:pStyle w:val="Body"/>
      </w:pPr>
      <w:r>
        <w:rPr>
          <w:rtl w:val="0"/>
        </w:rPr>
        <w:t>w.claytor-vi@uw.edu.pl</w:t>
      </w:r>
    </w:p>
    <w:p>
      <w:pPr>
        <w:pStyle w:val="Body"/>
      </w:pPr>
    </w:p>
    <w:p>
      <w:pPr>
        <w:pStyle w:val="Body"/>
      </w:pPr>
      <w:r>
        <w:rPr>
          <w:rtl w:val="0"/>
          <w:lang w:val="en-US"/>
        </w:rPr>
        <w:tab/>
        <w:t xml:space="preserve">A few decades ago, Dieter Hagedorn assembled a dossier of documents from Herakleia drawn up by the </w:t>
      </w:r>
      <w:r>
        <w:rPr>
          <w:rtl w:val="0"/>
        </w:rPr>
        <w:t xml:space="preserve">γραμματεύς </w:t>
      </w:r>
      <w:r>
        <w:rPr>
          <w:rtl w:val="0"/>
          <w:lang w:val="pt-PT"/>
        </w:rPr>
        <w:t>Alkimos (</w:t>
      </w:r>
      <w:r>
        <w:rPr>
          <w:rStyle w:val="Hyperlink.0"/>
        </w:rPr>
        <w:fldChar w:fldCharType="begin" w:fldLock="0"/>
      </w:r>
      <w:r>
        <w:rPr>
          <w:rStyle w:val="Hyperlink.0"/>
        </w:rPr>
        <w:instrText xml:space="preserve"> HYPERLINK "https://papyri.info/biblio/56493"</w:instrText>
      </w:r>
      <w:r>
        <w:rPr>
          <w:rStyle w:val="Hyperlink.0"/>
        </w:rPr>
        <w:fldChar w:fldCharType="separate" w:fldLock="0"/>
      </w:r>
      <w:r>
        <w:rPr>
          <w:rStyle w:val="Hyperlink.0"/>
          <w:rtl w:val="0"/>
          <w:lang w:val="nl-NL"/>
        </w:rPr>
        <w:t>Hagedorn 1984</w:t>
      </w:r>
      <w:r>
        <w:rPr/>
        <w:fldChar w:fldCharType="end" w:fldLock="0"/>
      </w:r>
      <w:r>
        <w:rPr>
          <w:rtl w:val="0"/>
          <w:lang w:val="en-US"/>
        </w:rPr>
        <w:t>). In addition to a group of three London papyri long known to have been signed by Alkimos (</w:t>
      </w:r>
      <w:r>
        <w:rPr>
          <w:rStyle w:val="Hyperlink.0"/>
        </w:rPr>
        <w:fldChar w:fldCharType="begin" w:fldLock="0"/>
      </w:r>
      <w:r>
        <w:rPr>
          <w:rStyle w:val="Hyperlink.0"/>
        </w:rPr>
        <w:instrText xml:space="preserve"> HYPERLINK "https://papyri.info/ddbdp/chr.mitt%3B%3B160"</w:instrText>
      </w:r>
      <w:r>
        <w:rPr>
          <w:rStyle w:val="Hyperlink.0"/>
        </w:rPr>
        <w:fldChar w:fldCharType="separate" w:fldLock="0"/>
      </w:r>
      <w:r>
        <w:rPr>
          <w:rStyle w:val="Hyperlink.0"/>
          <w:rtl w:val="0"/>
        </w:rPr>
        <w:t>P.Lond. 2 303 = M.Chr. 303</w:t>
      </w:r>
      <w:r>
        <w:rPr/>
        <w:fldChar w:fldCharType="end" w:fldLock="0"/>
      </w:r>
      <w:r>
        <w:rPr>
          <w:rtl w:val="0"/>
        </w:rPr>
        <w:t xml:space="preserve">, </w:t>
      </w:r>
      <w:r>
        <w:rPr>
          <w:rStyle w:val="Hyperlink.0"/>
        </w:rPr>
        <w:fldChar w:fldCharType="begin" w:fldLock="0"/>
      </w:r>
      <w:r>
        <w:rPr>
          <w:rStyle w:val="Hyperlink.0"/>
        </w:rPr>
        <w:instrText xml:space="preserve"> HYPERLINK "https://papyri.info/ddbdp/p.lond%3B2%3B308"</w:instrText>
      </w:r>
      <w:r>
        <w:rPr>
          <w:rStyle w:val="Hyperlink.0"/>
        </w:rPr>
        <w:fldChar w:fldCharType="separate" w:fldLock="0"/>
      </w:r>
      <w:r>
        <w:rPr>
          <w:rStyle w:val="Hyperlink.0"/>
          <w:rtl w:val="0"/>
        </w:rPr>
        <w:t>P.Lond. 2 308</w:t>
      </w:r>
      <w:r>
        <w:rPr/>
        <w:fldChar w:fldCharType="end" w:fldLock="0"/>
      </w:r>
      <w:r>
        <w:rPr>
          <w:rtl w:val="0"/>
          <w:lang w:val="en-US"/>
        </w:rPr>
        <w:t xml:space="preserve">, and </w:t>
      </w:r>
      <w:r>
        <w:rPr>
          <w:rStyle w:val="Hyperlink.0"/>
        </w:rPr>
        <w:fldChar w:fldCharType="begin" w:fldLock="0"/>
      </w:r>
      <w:r>
        <w:rPr>
          <w:rStyle w:val="Hyperlink.0"/>
        </w:rPr>
        <w:instrText xml:space="preserve"> HYPERLINK "https://papyri.info/ddbdp/chr.mitt%3B%3B237"</w:instrText>
      </w:r>
      <w:r>
        <w:rPr>
          <w:rStyle w:val="Hyperlink.0"/>
        </w:rPr>
        <w:fldChar w:fldCharType="separate" w:fldLock="0"/>
      </w:r>
      <w:r>
        <w:rPr>
          <w:rStyle w:val="Hyperlink.0"/>
          <w:rtl w:val="0"/>
        </w:rPr>
        <w:t>P.Lond. 2 311= M.Chr. 237</w:t>
      </w:r>
      <w:r>
        <w:rPr/>
        <w:fldChar w:fldCharType="end" w:fldLock="0"/>
      </w:r>
      <w:r>
        <w:rPr>
          <w:rtl w:val="0"/>
          <w:lang w:val="en-US"/>
        </w:rPr>
        <w:t>), Hagedorn reread his name in one document (</w:t>
      </w:r>
      <w:r>
        <w:rPr>
          <w:rStyle w:val="Hyperlink.0"/>
        </w:rPr>
        <w:fldChar w:fldCharType="begin" w:fldLock="0"/>
      </w:r>
      <w:r>
        <w:rPr>
          <w:rStyle w:val="Hyperlink.0"/>
        </w:rPr>
        <w:instrText xml:space="preserve"> HYPERLINK "https://papyri.info/ddbdp/p.flor%3B3%3B302"</w:instrText>
      </w:r>
      <w:r>
        <w:rPr>
          <w:rStyle w:val="Hyperlink.0"/>
        </w:rPr>
        <w:fldChar w:fldCharType="separate" w:fldLock="0"/>
      </w:r>
      <w:r>
        <w:rPr>
          <w:rStyle w:val="Hyperlink.0"/>
          <w:rtl w:val="0"/>
        </w:rPr>
        <w:t>P.Flor.</w:t>
      </w:r>
      <w:r>
        <w:rPr>
          <w:rStyle w:val="Hyperlink.0"/>
          <w:rtl w:val="0"/>
        </w:rPr>
        <w:t xml:space="preserve"> </w:t>
      </w:r>
      <w:r>
        <w:rPr>
          <w:rStyle w:val="Hyperlink.0"/>
          <w:rtl w:val="0"/>
        </w:rPr>
        <w:t>3 302</w:t>
      </w:r>
      <w:r>
        <w:rPr/>
        <w:fldChar w:fldCharType="end" w:fldLock="0"/>
      </w:r>
      <w:r>
        <w:rPr>
          <w:rtl w:val="0"/>
          <w:lang w:val="en-US"/>
        </w:rPr>
        <w:t>), identified his distinctive hand in two others (</w:t>
      </w:r>
      <w:r>
        <w:rPr>
          <w:rStyle w:val="Hyperlink.0"/>
        </w:rPr>
        <w:fldChar w:fldCharType="begin" w:fldLock="0"/>
      </w:r>
      <w:r>
        <w:rPr>
          <w:rStyle w:val="Hyperlink.0"/>
        </w:rPr>
        <w:instrText xml:space="preserve"> HYPERLINK "https://papyri.info/ddbdp/chr.wilck%3B%3B263"</w:instrText>
      </w:r>
      <w:r>
        <w:rPr>
          <w:rStyle w:val="Hyperlink.0"/>
        </w:rPr>
        <w:fldChar w:fldCharType="separate" w:fldLock="0"/>
      </w:r>
      <w:r>
        <w:rPr>
          <w:rStyle w:val="Hyperlink.0"/>
          <w:rtl w:val="0"/>
        </w:rPr>
        <w:t>P.Lond. 2</w:t>
      </w:r>
      <w:r>
        <w:rPr>
          <w:rStyle w:val="Hyperlink.0"/>
          <w:rtl w:val="0"/>
        </w:rPr>
        <w:t> </w:t>
      </w:r>
      <w:r>
        <w:rPr>
          <w:rStyle w:val="Hyperlink.0"/>
          <w:rtl w:val="0"/>
          <w:lang w:val="pt-PT"/>
        </w:rPr>
        <w:t>306 = W.Chr. 263</w:t>
      </w:r>
      <w:r>
        <w:rPr/>
        <w:fldChar w:fldCharType="end" w:fldLock="0"/>
      </w:r>
      <w:r>
        <w:rPr>
          <w:rtl w:val="0"/>
          <w:lang w:val="en-US"/>
        </w:rPr>
        <w:t xml:space="preserve"> and </w:t>
      </w:r>
      <w:r>
        <w:rPr>
          <w:rStyle w:val="Hyperlink.0"/>
        </w:rPr>
        <w:fldChar w:fldCharType="begin" w:fldLock="0"/>
      </w:r>
      <w:r>
        <w:rPr>
          <w:rStyle w:val="Hyperlink.0"/>
        </w:rPr>
        <w:instrText xml:space="preserve"> HYPERLINK "https://papyri.info/ddbdp/p.ryl%3B2%3B155"</w:instrText>
      </w:r>
      <w:r>
        <w:rPr>
          <w:rStyle w:val="Hyperlink.0"/>
        </w:rPr>
        <w:fldChar w:fldCharType="separate" w:fldLock="0"/>
      </w:r>
      <w:r>
        <w:rPr>
          <w:rStyle w:val="Hyperlink.0"/>
          <w:rtl w:val="0"/>
        </w:rPr>
        <w:t>P.Ryl. 2</w:t>
      </w:r>
      <w:r>
        <w:rPr>
          <w:rStyle w:val="Hyperlink.0"/>
          <w:rtl w:val="0"/>
        </w:rPr>
        <w:t> </w:t>
      </w:r>
      <w:r>
        <w:rPr>
          <w:rStyle w:val="Hyperlink.0"/>
          <w:rtl w:val="0"/>
        </w:rPr>
        <w:t>155</w:t>
      </w:r>
      <w:r>
        <w:rPr/>
        <w:fldChar w:fldCharType="end" w:fldLock="0"/>
      </w:r>
      <w:r>
        <w:rPr>
          <w:rtl w:val="0"/>
          <w:lang w:val="en-US"/>
        </w:rPr>
        <w:t>), and pointed to two further documents dated to his period of activity, which we can now confirm from images are likewise part of the dossier (</w:t>
      </w:r>
      <w:r>
        <w:rPr>
          <w:rStyle w:val="Hyperlink.0"/>
        </w:rPr>
        <w:fldChar w:fldCharType="begin" w:fldLock="0"/>
      </w:r>
      <w:r>
        <w:rPr>
          <w:rStyle w:val="Hyperlink.0"/>
        </w:rPr>
        <w:instrText xml:space="preserve"> HYPERLINK "https://papyri.info/ddbdp/bgu%3B1%3B290"</w:instrText>
      </w:r>
      <w:r>
        <w:rPr>
          <w:rStyle w:val="Hyperlink.0"/>
        </w:rPr>
        <w:fldChar w:fldCharType="separate" w:fldLock="0"/>
      </w:r>
      <w:r>
        <w:rPr>
          <w:rStyle w:val="Hyperlink.0"/>
          <w:rtl w:val="0"/>
          <w:lang w:val="de-DE"/>
        </w:rPr>
        <w:t>BGU 1</w:t>
      </w:r>
      <w:r>
        <w:rPr>
          <w:rStyle w:val="Hyperlink.0"/>
          <w:rtl w:val="0"/>
        </w:rPr>
        <w:t> </w:t>
      </w:r>
      <w:r>
        <w:rPr>
          <w:rStyle w:val="Hyperlink.0"/>
          <w:rtl w:val="0"/>
        </w:rPr>
        <w:t>290</w:t>
      </w:r>
      <w:r>
        <w:rPr/>
        <w:fldChar w:fldCharType="end" w:fldLock="0"/>
      </w:r>
      <w:r>
        <w:rPr>
          <w:rtl w:val="0"/>
          <w:lang w:val="en-US"/>
        </w:rPr>
        <w:t xml:space="preserve"> and </w:t>
      </w:r>
      <w:r>
        <w:rPr>
          <w:rStyle w:val="Hyperlink.0"/>
        </w:rPr>
        <w:fldChar w:fldCharType="begin" w:fldLock="0"/>
      </w:r>
      <w:r>
        <w:rPr>
          <w:rStyle w:val="Hyperlink.0"/>
        </w:rPr>
        <w:instrText xml:space="preserve"> HYPERLINK "https://papyri.info/ddbdp/p.stras%3B1%3B13"</w:instrText>
      </w:r>
      <w:r>
        <w:rPr>
          <w:rStyle w:val="Hyperlink.0"/>
        </w:rPr>
        <w:fldChar w:fldCharType="separate" w:fldLock="0"/>
      </w:r>
      <w:r>
        <w:rPr>
          <w:rStyle w:val="Hyperlink.0"/>
          <w:rtl w:val="0"/>
          <w:lang w:val="pt-PT"/>
        </w:rPr>
        <w:t>P.Stras. 1 13</w:t>
      </w:r>
      <w:r>
        <w:rPr/>
        <w:fldChar w:fldCharType="end" w:fldLock="0"/>
      </w:r>
      <w:r>
        <w:rPr>
          <w:rtl w:val="0"/>
        </w:rPr>
        <w:t xml:space="preserve">).  </w:t>
      </w:r>
    </w:p>
    <w:p>
      <w:pPr>
        <w:pStyle w:val="Body"/>
        <w:ind w:firstLine="720"/>
      </w:pPr>
      <w:r>
        <w:rPr>
          <w:rtl w:val="0"/>
          <w:lang w:val="en-US"/>
        </w:rPr>
        <w:t xml:space="preserve">The best-preserved document of the dossier is </w:t>
      </w:r>
      <w:r>
        <w:rPr>
          <w:rStyle w:val="Hyperlink.0"/>
        </w:rPr>
        <w:fldChar w:fldCharType="begin" w:fldLock="0"/>
      </w:r>
      <w:r>
        <w:rPr>
          <w:rStyle w:val="Hyperlink.0"/>
        </w:rPr>
        <w:instrText xml:space="preserve"> HYPERLINK "https://papyri.info/ddbdp/p.lond%3B2%3B308"</w:instrText>
      </w:r>
      <w:r>
        <w:rPr>
          <w:rStyle w:val="Hyperlink.0"/>
        </w:rPr>
        <w:fldChar w:fldCharType="separate" w:fldLock="0"/>
      </w:r>
      <w:r>
        <w:rPr>
          <w:rStyle w:val="Hyperlink.0"/>
          <w:rtl w:val="0"/>
        </w:rPr>
        <w:t>P.Lond. 2</w:t>
      </w:r>
      <w:r>
        <w:rPr>
          <w:rStyle w:val="Hyperlink.0"/>
          <w:rtl w:val="0"/>
        </w:rPr>
        <w:t> </w:t>
      </w:r>
      <w:r>
        <w:rPr>
          <w:rStyle w:val="Hyperlink.0"/>
          <w:rtl w:val="0"/>
        </w:rPr>
        <w:t>308</w:t>
      </w:r>
      <w:r>
        <w:rPr/>
        <w:fldChar w:fldCharType="end" w:fldLock="0"/>
      </w:r>
      <w:r>
        <w:rPr>
          <w:rtl w:val="0"/>
          <w:lang w:val="en-US"/>
        </w:rPr>
        <w:t xml:space="preserve"> (13 Sept., 145) [[Fig. 1 British Library Board: Papyrus 308]], which contains a body contract, subscription, and registration, all written in a hand attributable to Alkimos since he signs with his name and title in the subscription. This document illustrates all the characteristic features of his diplomatic style, the two most visually striking of which are his large, stylized opening epsilon in </w:t>
      </w:r>
      <w:r>
        <w:rPr>
          <w:rtl w:val="0"/>
        </w:rPr>
        <w:t xml:space="preserve">ἔτους </w:t>
      </w:r>
      <w:r>
        <w:rPr>
          <w:rtl w:val="0"/>
          <w:lang w:val="en-US"/>
        </w:rPr>
        <w:t xml:space="preserve">with its </w:t>
      </w:r>
      <w:r>
        <w:rPr>
          <w:rtl w:val="1"/>
          <w:lang w:val="ar-SA" w:bidi="ar-SA"/>
        </w:rPr>
        <w:t>“</w:t>
      </w:r>
      <w:r>
        <w:rPr>
          <w:rtl w:val="0"/>
        </w:rPr>
        <w:t>teeth</w:t>
      </w:r>
      <w:r>
        <w:rPr>
          <w:rtl w:val="0"/>
        </w:rPr>
        <w:t xml:space="preserve">” </w:t>
      </w:r>
      <w:r>
        <w:rPr>
          <w:rtl w:val="0"/>
          <w:lang w:val="en-US"/>
        </w:rPr>
        <w:t xml:space="preserve">or loops, two at the bottom in the shape of a mu, and one at the top, and his registration docket, written </w:t>
      </w:r>
      <w:r>
        <w:rPr>
          <w:rtl w:val="0"/>
        </w:rPr>
        <w:t>ἐντέτακ</w:t>
      </w:r>
      <w:r>
        <w:rPr>
          <w:rtl w:val="0"/>
        </w:rPr>
        <w:t>(</w:t>
      </w:r>
      <w:r>
        <w:rPr>
          <w:rtl w:val="0"/>
        </w:rPr>
        <w:t>ται</w:t>
      </w:r>
      <w:r>
        <w:rPr>
          <w:rtl w:val="0"/>
        </w:rPr>
        <w:t xml:space="preserve">) </w:t>
      </w:r>
      <w:r>
        <w:rPr>
          <w:rtl w:val="0"/>
        </w:rPr>
        <w:t>διὰ τοῦ ἐν Ἡρακ</w:t>
      </w:r>
      <w:r>
        <w:rPr>
          <w:rtl w:val="0"/>
        </w:rPr>
        <w:t>(</w:t>
      </w:r>
      <w:r>
        <w:rPr>
          <w:rtl w:val="0"/>
        </w:rPr>
        <w:t>λείᾳ</w:t>
      </w:r>
      <w:r>
        <w:rPr>
          <w:rtl w:val="0"/>
        </w:rPr>
        <w:t xml:space="preserve">) </w:t>
      </w:r>
      <w:r>
        <w:rPr>
          <w:rtl w:val="0"/>
        </w:rPr>
        <w:t>γρα</w:t>
      </w:r>
      <w:r>
        <w:rPr>
          <w:rtl w:val="0"/>
        </w:rPr>
        <w:t>(</w:t>
      </w:r>
      <w:r>
        <w:rPr>
          <w:rtl w:val="0"/>
        </w:rPr>
        <w:t>φείου</w:t>
      </w:r>
      <w:r>
        <w:rPr>
          <w:rtl w:val="0"/>
          <w:lang w:val="en-US"/>
        </w:rPr>
        <w:t>), with the first stroke of the tall, skinny initial epsilon extending well below the line. His hand is otherwise characterized by a slant to the right, emphasized diagonal strokes, including thin and long bellies of alpha, and final upsilons with hooks at the top right.</w:t>
      </w:r>
    </w:p>
    <w:p>
      <w:pPr>
        <w:pStyle w:val="Body"/>
        <w:ind w:firstLine="720"/>
      </w:pPr>
      <w:r>
        <w:rPr>
          <w:rtl w:val="0"/>
          <w:lang w:val="en-US"/>
        </w:rPr>
        <w:t xml:space="preserve">These distinctive features allow us to add four further documents to the dossier, including </w:t>
      </w:r>
      <w:r>
        <w:rPr>
          <w:rStyle w:val="Hyperlink.0"/>
        </w:rPr>
        <w:fldChar w:fldCharType="begin" w:fldLock="0"/>
      </w:r>
      <w:r>
        <w:rPr>
          <w:rStyle w:val="Hyperlink.0"/>
        </w:rPr>
        <w:instrText xml:space="preserve"> HYPERLINK "https://papyri.info/ddbdp/p.amh%3B2%3B111"</w:instrText>
      </w:r>
      <w:r>
        <w:rPr>
          <w:rStyle w:val="Hyperlink.0"/>
        </w:rPr>
        <w:fldChar w:fldCharType="separate" w:fldLock="0"/>
      </w:r>
      <w:r>
        <w:rPr>
          <w:rStyle w:val="Hyperlink.0"/>
          <w:rtl w:val="0"/>
        </w:rPr>
        <w:t>P.Amh. 2</w:t>
      </w:r>
      <w:r>
        <w:rPr>
          <w:rStyle w:val="Hyperlink.0"/>
          <w:rtl w:val="0"/>
        </w:rPr>
        <w:t> </w:t>
      </w:r>
      <w:r>
        <w:rPr>
          <w:rStyle w:val="Hyperlink.0"/>
          <w:rtl w:val="0"/>
        </w:rPr>
        <w:t>111</w:t>
      </w:r>
      <w:r>
        <w:rPr/>
        <w:fldChar w:fldCharType="end" w:fldLock="0"/>
      </w:r>
      <w:r>
        <w:rPr>
          <w:rtl w:val="0"/>
          <w:lang w:val="en-US"/>
        </w:rPr>
        <w:t xml:space="preserve">, which pushes the beginning of his activity back to 132 CE. </w:t>
      </w:r>
      <w:r>
        <w:rPr>
          <w:rStyle w:val="Hyperlink.0"/>
        </w:rPr>
        <w:fldChar w:fldCharType="begin" w:fldLock="0"/>
      </w:r>
      <w:r>
        <w:rPr>
          <w:rStyle w:val="Hyperlink.0"/>
        </w:rPr>
        <w:instrText xml:space="preserve"> HYPERLINK "https://papyri.info/ddbdp/bgu%3B2%3B664"</w:instrText>
      </w:r>
      <w:r>
        <w:rPr>
          <w:rStyle w:val="Hyperlink.0"/>
        </w:rPr>
        <w:fldChar w:fldCharType="separate" w:fldLock="0"/>
      </w:r>
      <w:r>
        <w:rPr>
          <w:rStyle w:val="Hyperlink.0"/>
          <w:rtl w:val="0"/>
          <w:lang w:val="de-DE"/>
        </w:rPr>
        <w:t>BGU 2</w:t>
      </w:r>
      <w:r>
        <w:rPr>
          <w:rStyle w:val="Hyperlink.0"/>
          <w:rtl w:val="0"/>
        </w:rPr>
        <w:t> </w:t>
      </w:r>
      <w:r>
        <w:rPr>
          <w:rStyle w:val="Hyperlink.0"/>
          <w:rtl w:val="0"/>
        </w:rPr>
        <w:t>664</w:t>
      </w:r>
      <w:r>
        <w:rPr/>
        <w:fldChar w:fldCharType="end" w:fldLock="0"/>
      </w:r>
      <w:r>
        <w:rPr>
          <w:rtl w:val="0"/>
          <w:lang w:val="en-US"/>
        </w:rPr>
        <w:t>, previously dated to the first century, can now be placed in the second and assigned to Herakleia. The texts of Alkimos</w:t>
      </w:r>
      <w:r>
        <w:rPr>
          <w:rtl w:val="1"/>
        </w:rPr>
        <w:t xml:space="preserve">’ </w:t>
      </w:r>
      <w:r>
        <w:rPr>
          <w:rtl w:val="0"/>
          <w:lang w:val="en-US"/>
        </w:rPr>
        <w:t>dossier are listed below; additions are marked with an asterisk and discussed below.</w:t>
      </w:r>
    </w:p>
    <w:p>
      <w:pPr>
        <w:pStyle w:val="Body"/>
        <w:ind w:firstLine="720"/>
      </w:pPr>
    </w:p>
    <w:p>
      <w:pPr>
        <w:pStyle w:val="Body"/>
      </w:pPr>
      <w:r>
        <w:rPr>
          <w:rtl w:val="0"/>
        </w:rPr>
        <w:t xml:space="preserve">Alkimos, </w:t>
      </w:r>
      <w:r>
        <w:rPr>
          <w:rtl w:val="0"/>
          <w:lang w:val="fr-FR"/>
        </w:rPr>
        <w:t>grammateus</w:t>
      </w:r>
      <w:r>
        <w:rPr>
          <w:rtl w:val="0"/>
          <w:lang w:val="en-US"/>
        </w:rPr>
        <w:t xml:space="preserve"> of the </w:t>
      </w:r>
      <w:r>
        <w:rPr>
          <w:rtl w:val="0"/>
          <w:lang w:val="pt-PT"/>
        </w:rPr>
        <w:t>grapheion</w:t>
      </w:r>
      <w:r>
        <w:rPr>
          <w:rtl w:val="0"/>
        </w:rPr>
        <w:t xml:space="preserve"> of Herakleia</w:t>
      </w:r>
    </w:p>
    <w:p>
      <w:pPr>
        <w:pStyle w:val="Body"/>
        <w:ind w:firstLine="720"/>
      </w:pPr>
    </w:p>
    <w:p>
      <w:pPr>
        <w:pStyle w:val="Body"/>
        <w:ind w:firstLine="720"/>
      </w:pPr>
    </w:p>
    <w:tbl>
      <w:tblPr>
        <w:tblW w:w="904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dd4e9"/>
        <w:tblLayout w:type="fixed"/>
      </w:tblPr>
      <w:tblGrid>
        <w:gridCol w:w="538"/>
        <w:gridCol w:w="3492"/>
        <w:gridCol w:w="1794"/>
        <w:gridCol w:w="3222"/>
      </w:tblGrid>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Text</w:t>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Date</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Attribution</w:t>
            </w:r>
          </w:p>
        </w:tc>
      </w:tr>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w:t>
            </w: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Style w:val="Hyperlink.0"/>
                <w:rFonts w:ascii="IFAO-Grec Unicode" w:cs="IFAO-Grec Unicode" w:hAnsi="IFAO-Grec Unicode" w:eastAsia="IFAO-Grec Unicode"/>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fldChar w:fldCharType="begin" w:fldLock="0"/>
            </w:r>
            <w:r>
              <w:rPr>
                <w:rStyle w:val="Hyperlink.0"/>
                <w:rFonts w:ascii="IFAO-Grec Unicode" w:cs="IFAO-Grec Unicode" w:hAnsi="IFAO-Grec Unicode" w:eastAsia="IFAO-Grec Unicode"/>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instrText xml:space="preserve"> HYPERLINK "https://papyri.info/ddbdp/stud.pal%3B22%3B46"</w:instrText>
            </w:r>
            <w:r>
              <w:rPr>
                <w:rStyle w:val="Hyperlink.0"/>
                <w:rFonts w:ascii="IFAO-Grec Unicode" w:cs="IFAO-Grec Unicode" w:hAnsi="IFAO-Grec Unicode" w:eastAsia="IFAO-Grec Unicode"/>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fldChar w:fldCharType="separate" w:fldLock="0"/>
            </w:r>
            <w:r>
              <w:rPr>
                <w:rStyle w:val="Hyperlink.0"/>
                <w:rFonts w:ascii="IFAO-Grec Unicode" w:cs="Arial Unicode MS" w:hAnsi="IFAO-Grec Unicode" w:eastAsia="Arial Unicode MS"/>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rtl w:val="0"/>
                <w:lang w:val="pt-PT"/>
                <w14:textOutline w14:w="12700" w14:cap="flat">
                  <w14:noFill/>
                  <w14:miter w14:lim="400000"/>
                </w14:textOutline>
                <w14:textFill>
                  <w14:solidFill>
                    <w14:srgbClr w14:val="0563C1"/>
                  </w14:solidFill>
                </w14:textFill>
              </w:rPr>
              <w:t>SPP 22 46</w:t>
            </w:r>
            <w:r>
              <w:rPr>
                <w:rFonts w:ascii="IFAO-Grec Unicode" w:cs="IFAO-Grec Unicode" w:hAnsi="IFAO-Grec Unicode" w:eastAsia="IFAO-Grec Unicod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w="12700" w14:cap="flat">
                  <w14:noFill/>
                  <w14:miter w14:lim="400000"/>
                </w14:textOutline>
                <w14:textFill>
                  <w14:solidFill>
                    <w14:srgbClr w14:val="000000"/>
                  </w14:solidFill>
                </w14:textFill>
              </w:rPr>
              <w:fldChar w:fldCharType="end" w:fldLock="0"/>
            </w: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tab/>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 118</w:t>
            </w:r>
            <w:r>
              <w:rPr>
                <w:rFonts w:ascii="IFAO-Grec Unicode" w:cs="Arial Unicode MS" w:hAnsi="IFAO-Grec Unicod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151</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registr.</w:t>
            </w:r>
          </w:p>
        </w:tc>
      </w:tr>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2.</w:t>
            </w: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Style w:val="Hyperlink.0"/>
              </w:rPr>
              <w:fldChar w:fldCharType="begin" w:fldLock="0"/>
            </w:r>
            <w:r>
              <w:rPr>
                <w:rStyle w:val="Hyperlink.0"/>
              </w:rPr>
              <w:instrText xml:space="preserve"> HYPERLINK "https://papyri.info/ddbdp/bgu%3B2%3B664"</w:instrText>
            </w:r>
            <w:r>
              <w:rPr>
                <w:rStyle w:val="Hyperlink.0"/>
              </w:rPr>
              <w:fldChar w:fldCharType="separate" w:fldLock="0"/>
            </w:r>
            <w:r>
              <w:rPr>
                <w:rStyle w:val="Hyperlink.0"/>
                <w:rtl w:val="0"/>
                <w:lang w:val="de-DE"/>
              </w:rPr>
              <w:t>BGU 2 664</w:t>
            </w:r>
            <w:r>
              <w:rPr/>
              <w:fldChar w:fldCharType="end" w:fldLock="0"/>
            </w:r>
            <w:r>
              <w:rPr>
                <w:rtl w:val="0"/>
              </w:rPr>
              <w:t>*</w:t>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ca. 132</w:t>
            </w:r>
            <w:r>
              <w:rPr>
                <w:rFonts w:ascii="IFAO-Grec Unicode" w:cs="Arial Unicode MS" w:hAnsi="IFAO-Grec Unicod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151</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registr.</w:t>
            </w:r>
          </w:p>
        </w:tc>
      </w:tr>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3.</w:t>
            </w: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pPr>
            <w:r>
              <w:rPr>
                <w:rStyle w:val="Hyperlink.0"/>
              </w:rPr>
              <w:fldChar w:fldCharType="begin" w:fldLock="0"/>
            </w:r>
            <w:r>
              <w:rPr>
                <w:rStyle w:val="Hyperlink.0"/>
              </w:rPr>
              <w:instrText xml:space="preserve"> HYPERLINK "https://papyri.info/ddbdp/p.amh%3B2%3B111"</w:instrText>
            </w:r>
            <w:r>
              <w:rPr>
                <w:rStyle w:val="Hyperlink.0"/>
              </w:rPr>
              <w:fldChar w:fldCharType="separate" w:fldLock="0"/>
            </w:r>
            <w:r>
              <w:rPr>
                <w:rStyle w:val="Hyperlink.0"/>
                <w:rtl w:val="0"/>
              </w:rPr>
              <w:t>P.Amh. 2 111</w:t>
            </w:r>
            <w:r>
              <w:rPr/>
              <w:fldChar w:fldCharType="end" w:fldLock="0"/>
            </w:r>
            <w:r>
              <w:rPr>
                <w:rtl w:val="0"/>
              </w:rPr>
              <w:t>*</w:t>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132</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ἔτους</w:t>
            </w: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registr.</w:t>
            </w:r>
          </w:p>
        </w:tc>
      </w:tr>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4.</w:t>
            </w: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Style w:val="Hyperlink.0"/>
              </w:rPr>
              <w:fldChar w:fldCharType="begin" w:fldLock="0"/>
            </w:r>
            <w:r>
              <w:rPr>
                <w:rStyle w:val="Hyperlink.0"/>
              </w:rPr>
              <w:instrText xml:space="preserve"> HYPERLINK "https://papyri.info/ddbdp/p.ryl%3B2%3B155"</w:instrText>
            </w:r>
            <w:r>
              <w:rPr>
                <w:rStyle w:val="Hyperlink.0"/>
              </w:rPr>
              <w:fldChar w:fldCharType="separate" w:fldLock="0"/>
            </w:r>
            <w:r>
              <w:rPr>
                <w:rStyle w:val="Hyperlink.0"/>
                <w:rtl w:val="0"/>
              </w:rPr>
              <w:t>P.Ryl. 2 155</w:t>
            </w:r>
            <w:r>
              <w:rPr/>
              <w:fldChar w:fldCharType="end" w:fldLock="0"/>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138</w:t>
            </w:r>
            <w:r>
              <w:rPr>
                <w:rFonts w:ascii="IFAO-Grec Unicode" w:cs="Arial Unicode MS" w:hAnsi="IFAO-Grec Unicod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161</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registr.</w:t>
            </w:r>
          </w:p>
        </w:tc>
      </w:tr>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5.</w:t>
            </w: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pPr>
            <w:r>
              <w:rPr>
                <w:rStyle w:val="Hyperlink.0"/>
              </w:rPr>
              <w:fldChar w:fldCharType="begin" w:fldLock="0"/>
            </w:r>
            <w:r>
              <w:rPr>
                <w:rStyle w:val="Hyperlink.0"/>
              </w:rPr>
              <w:instrText xml:space="preserve"> HYPERLINK "https://papyri.info/ddbdp/p.stras%3B1%3B13"</w:instrText>
            </w:r>
            <w:r>
              <w:rPr>
                <w:rStyle w:val="Hyperlink.0"/>
              </w:rPr>
              <w:fldChar w:fldCharType="separate" w:fldLock="0"/>
            </w:r>
            <w:r>
              <w:rPr>
                <w:rStyle w:val="Hyperlink.0"/>
                <w:rtl w:val="0"/>
                <w:lang w:val="pt-PT"/>
              </w:rPr>
              <w:t>P.Stras. 1 13</w:t>
            </w:r>
            <w:r>
              <w:rPr/>
              <w:fldChar w:fldCharType="end" w:fldLock="0"/>
            </w:r>
            <w:r>
              <w:rPr>
                <w:rtl w:val="0"/>
              </w:rPr>
              <w:t xml:space="preserve"> (+ inv. 39d*)</w:t>
              <w:tab/>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138</w:t>
            </w:r>
            <w:r>
              <w:rPr>
                <w:rFonts w:ascii="IFAO-Grec Unicode" w:cs="Arial Unicode MS" w:hAnsi="IFAO-Grec Unicod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w:t>
            </w: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161</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ἔτους</w:t>
            </w:r>
          </w:p>
        </w:tc>
      </w:tr>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6.</w:t>
            </w: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Style w:val="Hyperlink.0"/>
              </w:rPr>
              <w:fldChar w:fldCharType="begin" w:fldLock="0"/>
            </w:r>
            <w:r>
              <w:rPr>
                <w:rStyle w:val="Hyperlink.0"/>
              </w:rPr>
              <w:instrText xml:space="preserve"> HYPERLINK "https://papyri.info/ddbdp/chr.mitt%3B%3B160"</w:instrText>
            </w:r>
            <w:r>
              <w:rPr>
                <w:rStyle w:val="Hyperlink.0"/>
              </w:rPr>
              <w:fldChar w:fldCharType="separate" w:fldLock="0"/>
            </w:r>
            <w:r>
              <w:rPr>
                <w:rStyle w:val="Hyperlink.0"/>
                <w:rtl w:val="0"/>
              </w:rPr>
              <w:t>P.Lond. 2 303 = M.Chr. 303</w:t>
            </w:r>
            <w:r>
              <w:rPr/>
              <w:fldChar w:fldCharType="end" w:fldLock="0"/>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142</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ἔτους</w:t>
            </w: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subscr.</w:t>
            </w:r>
          </w:p>
        </w:tc>
      </w:tr>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7.</w:t>
            </w: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pPr>
            <w:r>
              <w:rPr>
                <w:rStyle w:val="Hyperlink.0"/>
              </w:rPr>
              <w:fldChar w:fldCharType="begin" w:fldLock="0"/>
            </w:r>
            <w:r>
              <w:rPr>
                <w:rStyle w:val="Hyperlink.0"/>
              </w:rPr>
              <w:instrText xml:space="preserve"> HYPERLINK "https://quod.lib.umich.edu/a/apis/x-17248"</w:instrText>
            </w:r>
            <w:r>
              <w:rPr>
                <w:rStyle w:val="Hyperlink.0"/>
              </w:rPr>
              <w:fldChar w:fldCharType="separate" w:fldLock="0"/>
            </w:r>
            <w:r>
              <w:rPr>
                <w:rStyle w:val="Hyperlink.0"/>
                <w:rtl w:val="0"/>
              </w:rPr>
              <w:t>P.Mich. inv. 6114b</w:t>
            </w:r>
            <w:r>
              <w:rPr/>
              <w:fldChar w:fldCharType="end" w:fldLock="0"/>
            </w:r>
            <w:r>
              <w:rPr>
                <w:rtl w:val="0"/>
              </w:rPr>
              <w:t>*</w:t>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145</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ἔτους</w:t>
            </w: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registr.</w:t>
            </w:r>
          </w:p>
        </w:tc>
      </w:tr>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8.</w:t>
            </w: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Style w:val="Hyperlink.0"/>
              </w:rPr>
              <w:fldChar w:fldCharType="begin" w:fldLock="0"/>
            </w:r>
            <w:r>
              <w:rPr>
                <w:rStyle w:val="Hyperlink.0"/>
              </w:rPr>
              <w:instrText xml:space="preserve"> HYPERLINK "https://papyri.info/ddbdp/chr.wilck%3B%3B263"</w:instrText>
            </w:r>
            <w:r>
              <w:rPr>
                <w:rStyle w:val="Hyperlink.0"/>
              </w:rPr>
              <w:fldChar w:fldCharType="separate" w:fldLock="0"/>
            </w:r>
            <w:r>
              <w:rPr>
                <w:rStyle w:val="Hyperlink.0"/>
                <w:rtl w:val="0"/>
              </w:rPr>
              <w:t>P.Lond. 2 306= W.Chr. 263</w:t>
            </w:r>
            <w:r>
              <w:rPr/>
              <w:fldChar w:fldCharType="end" w:fldLock="0"/>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145</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ἔτους</w:t>
            </w:r>
          </w:p>
        </w:tc>
      </w:tr>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9.</w:t>
            </w: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Style w:val="Hyperlink.0"/>
                <w:rFonts w:ascii="IFAO-Grec Unicode" w:cs="IFAO-Grec Unicode" w:hAnsi="IFAO-Grec Unicode" w:eastAsia="IFAO-Grec Unicode"/>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fldChar w:fldCharType="begin" w:fldLock="0"/>
            </w:r>
            <w:r>
              <w:rPr>
                <w:rStyle w:val="Hyperlink.0"/>
                <w:rFonts w:ascii="IFAO-Grec Unicode" w:cs="IFAO-Grec Unicode" w:hAnsi="IFAO-Grec Unicode" w:eastAsia="IFAO-Grec Unicode"/>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instrText xml:space="preserve"> HYPERLINK "https://papyri.info/ddbdp/p.lond%3B2%3B308"</w:instrText>
            </w:r>
            <w:r>
              <w:rPr>
                <w:rStyle w:val="Hyperlink.0"/>
                <w:rFonts w:ascii="IFAO-Grec Unicode" w:cs="IFAO-Grec Unicode" w:hAnsi="IFAO-Grec Unicode" w:eastAsia="IFAO-Grec Unicode"/>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fldChar w:fldCharType="separate" w:fldLock="0"/>
            </w:r>
            <w:r>
              <w:rPr>
                <w:rStyle w:val="Hyperlink.0"/>
                <w:rFonts w:ascii="IFAO-Grec Unicode" w:cs="Arial Unicode MS" w:hAnsi="IFAO-Grec Unicode" w:eastAsia="Arial Unicode MS"/>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rtl w:val="0"/>
                <w14:textOutline w14:w="12700" w14:cap="flat">
                  <w14:noFill/>
                  <w14:miter w14:lim="400000"/>
                </w14:textOutline>
                <w14:textFill>
                  <w14:solidFill>
                    <w14:srgbClr w14:val="0563C1"/>
                  </w14:solidFill>
                </w14:textFill>
              </w:rPr>
              <w:t>P.Lond. 2 308</w:t>
            </w:r>
            <w:r>
              <w:rPr>
                <w:rFonts w:ascii="IFAO-Grec Unicode" w:cs="IFAO-Grec Unicode" w:hAnsi="IFAO-Grec Unicode" w:eastAsia="IFAO-Grec Unicod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w="12700" w14:cap="flat">
                  <w14:noFill/>
                  <w14:miter w14:lim="400000"/>
                </w14:textOutline>
                <w14:textFill>
                  <w14:solidFill>
                    <w14:srgbClr w14:val="000000"/>
                  </w14:solidFill>
                </w14:textFill>
              </w:rPr>
              <w:fldChar w:fldCharType="end" w:fldLock="0"/>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145</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ἔτους</w:t>
            </w: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subscr., registr.</w:t>
            </w:r>
          </w:p>
        </w:tc>
      </w:tr>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10.</w:t>
            </w: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pStyle w:val="Body"/>
            </w:pPr>
            <w:r>
              <w:rPr>
                <w:rStyle w:val="Hyperlink.0"/>
              </w:rPr>
              <w:fldChar w:fldCharType="begin" w:fldLock="0"/>
            </w:r>
            <w:r>
              <w:rPr>
                <w:rStyle w:val="Hyperlink.0"/>
              </w:rPr>
              <w:instrText xml:space="preserve"> HYPERLINK "https://papyri.info/ddbdp/chr.mitt%3B%3B237"</w:instrText>
            </w:r>
            <w:r>
              <w:rPr>
                <w:rStyle w:val="Hyperlink.0"/>
              </w:rPr>
              <w:fldChar w:fldCharType="separate" w:fldLock="0"/>
            </w:r>
            <w:r>
              <w:rPr>
                <w:rStyle w:val="Hyperlink.0"/>
                <w:rtl w:val="0"/>
              </w:rPr>
              <w:t>P.Lond. 2 311= M.Chr. 237</w:t>
            </w:r>
            <w:r>
              <w:rPr/>
              <w:fldChar w:fldCharType="end" w:fldLock="0"/>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149</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subscr., registr.</w:t>
            </w:r>
          </w:p>
        </w:tc>
      </w:tr>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11.</w:t>
            </w: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pStyle w:val="Body"/>
            </w:pPr>
            <w:r>
              <w:rPr>
                <w:rStyle w:val="Hyperlink.0"/>
              </w:rPr>
              <w:fldChar w:fldCharType="begin" w:fldLock="0"/>
            </w:r>
            <w:r>
              <w:rPr>
                <w:rStyle w:val="Hyperlink.0"/>
              </w:rPr>
              <w:instrText xml:space="preserve"> HYPERLINK "https://papyri.info/ddbdp/bgu%3B1%3B290"</w:instrText>
            </w:r>
            <w:r>
              <w:rPr>
                <w:rStyle w:val="Hyperlink.0"/>
              </w:rPr>
              <w:fldChar w:fldCharType="separate" w:fldLock="0"/>
            </w:r>
            <w:r>
              <w:rPr>
                <w:rStyle w:val="Hyperlink.0"/>
                <w:rtl w:val="0"/>
              </w:rPr>
              <w:t>BGU 1 290</w:t>
            </w:r>
            <w:r>
              <w:rPr/>
              <w:fldChar w:fldCharType="end" w:fldLock="0"/>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150</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e7eaf4"/>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ἔτους</w:t>
            </w:r>
          </w:p>
        </w:tc>
      </w:tr>
      <w:tr>
        <w:tblPrEx>
          <w:shd w:val="clear" w:color="auto" w:fill="cdd4e9"/>
        </w:tblPrEx>
        <w:trPr>
          <w:trHeight w:val="452" w:hRule="atLeast"/>
        </w:trPr>
        <w:tc>
          <w:tcPr>
            <w:tcW w:type="dxa" w:w="538"/>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12.</w:t>
            </w:r>
          </w:p>
        </w:tc>
        <w:tc>
          <w:tcPr>
            <w:tcW w:type="dxa" w:w="349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Style w:val="Hyperlink.0"/>
                <w:rFonts w:ascii="IFAO-Grec Unicode" w:cs="IFAO-Grec Unicode" w:hAnsi="IFAO-Grec Unicode" w:eastAsia="IFAO-Grec Unicode"/>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fldChar w:fldCharType="begin" w:fldLock="0"/>
            </w:r>
            <w:r>
              <w:rPr>
                <w:rStyle w:val="Hyperlink.0"/>
                <w:rFonts w:ascii="IFAO-Grec Unicode" w:cs="IFAO-Grec Unicode" w:hAnsi="IFAO-Grec Unicode" w:eastAsia="IFAO-Grec Unicode"/>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instrText xml:space="preserve"> HYPERLINK "https://papyri.info/ddbdp/p.flor%3B3%3B302"</w:instrText>
            </w:r>
            <w:r>
              <w:rPr>
                <w:rStyle w:val="Hyperlink.0"/>
                <w:rFonts w:ascii="IFAO-Grec Unicode" w:cs="IFAO-Grec Unicode" w:hAnsi="IFAO-Grec Unicode" w:eastAsia="IFAO-Grec Unicode"/>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14:textOutline w14:w="12700" w14:cap="flat">
                  <w14:noFill/>
                  <w14:miter w14:lim="400000"/>
                </w14:textOutline>
                <w14:textFill>
                  <w14:solidFill>
                    <w14:srgbClr w14:val="0563C1"/>
                  </w14:solidFill>
                </w14:textFill>
              </w:rPr>
              <w:fldChar w:fldCharType="separate" w:fldLock="0"/>
            </w:r>
            <w:r>
              <w:rPr>
                <w:rStyle w:val="Hyperlink.0"/>
                <w:rFonts w:ascii="IFAO-Grec Unicode" w:cs="Arial Unicode MS" w:hAnsi="IFAO-Grec Unicode" w:eastAsia="Arial Unicode MS"/>
                <w:b w:val="0"/>
                <w:bCs w:val="0"/>
                <w:i w:val="0"/>
                <w:iCs w:val="0"/>
                <w:caps w:val="0"/>
                <w:smallCaps w:val="0"/>
                <w:strike w:val="0"/>
                <w:dstrike w:val="0"/>
                <w:outline w:val="0"/>
                <w:color w:val="0563c1"/>
                <w:spacing w:val="0"/>
                <w:kern w:val="0"/>
                <w:position w:val="0"/>
                <w:sz w:val="24"/>
                <w:szCs w:val="24"/>
                <w:u w:val="single" w:color="0563c1"/>
                <w:shd w:val="nil" w:color="auto" w:fill="auto"/>
                <w:vertAlign w:val="baseline"/>
                <w:rtl w:val="0"/>
                <w14:textOutline w14:w="12700" w14:cap="flat">
                  <w14:noFill/>
                  <w14:miter w14:lim="400000"/>
                </w14:textOutline>
                <w14:textFill>
                  <w14:solidFill>
                    <w14:srgbClr w14:val="0563C1"/>
                  </w14:solidFill>
                </w14:textFill>
              </w:rPr>
              <w:t>P.Flor. 3 302</w:t>
            </w:r>
            <w:r>
              <w:rPr>
                <w:rFonts w:ascii="IFAO-Grec Unicode" w:cs="IFAO-Grec Unicode" w:hAnsi="IFAO-Grec Unicode" w:eastAsia="IFAO-Grec Unicod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w="12700" w14:cap="flat">
                  <w14:noFill/>
                  <w14:miter w14:lim="400000"/>
                </w14:textOutline>
                <w14:textFill>
                  <w14:solidFill>
                    <w14:srgbClr w14:val="000000"/>
                  </w14:solidFill>
                </w14:textFill>
              </w:rPr>
              <w:fldChar w:fldCharType="end" w:fldLock="0"/>
            </w:r>
          </w:p>
        </w:tc>
        <w:tc>
          <w:tcPr>
            <w:tcW w:type="dxa" w:w="1794"/>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151</w:t>
            </w:r>
          </w:p>
        </w:tc>
        <w:tc>
          <w:tcPr>
            <w:tcW w:type="dxa" w:w="3221"/>
            <w:tcBorders>
              <w:top w:val="single" w:color="ffffff" w:sz="8" w:space="0" w:shadow="0" w:frame="0"/>
              <w:left w:val="single" w:color="ffffff" w:sz="8" w:space="0" w:shadow="0" w:frame="0"/>
              <w:bottom w:val="single" w:color="ffffff" w:sz="8" w:space="0" w:shadow="0" w:frame="0"/>
              <w:right w:val="single" w:color="ffffff" w:sz="8" w:space="0" w:shadow="0" w:frame="0"/>
            </w:tcBorders>
            <w:shd w:val="clear" w:color="auto" w:fill="cdd4e9"/>
            <w:tcMar>
              <w:top w:type="dxa" w:w="0"/>
              <w:left w:type="dxa" w:w="0"/>
              <w:bottom w:type="dxa" w:w="0"/>
              <w:right w:type="dxa" w:w="0"/>
            </w:tcMar>
            <w:vAlign w:val="top"/>
          </w:tcPr>
          <w:p>
            <w:pPr>
              <w:keepNext w:val="0"/>
              <w:keepLines w:val="0"/>
              <w:pageBreakBefore w:val="0"/>
              <w:widowControl w:val="1"/>
              <w:shd w:val="clear" w:color="auto" w:fill="auto"/>
              <w:tabs>
                <w:tab w:val="left" w:pos="1440"/>
                <w:tab w:val="left" w:pos="2880"/>
              </w:tabs>
              <w:suppressAutoHyphens w:val="1"/>
              <w:bidi w:val="0"/>
              <w:spacing w:before="0" w:after="0" w:line="240" w:lineRule="auto"/>
              <w:ind w:left="0" w:right="0" w:firstLine="0"/>
              <w:jc w:val="left"/>
              <w:outlineLvl w:val="0"/>
              <w:rPr>
                <w:rtl w:val="0"/>
              </w:rPr>
            </w:pPr>
            <w:r>
              <w:rPr>
                <w:rFonts w:ascii="IFAO-Grec Unicode" w:cs="Arial Unicode MS" w:hAnsi="IFAO-Grec Unicode" w:eastAsia="Arial Unicode MS" w:hint="default"/>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ἔτους</w:t>
            </w:r>
            <w: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w="12700" w14:cap="flat">
                  <w14:noFill/>
                  <w14:miter w14:lim="400000"/>
                </w14:textOutline>
                <w14:textFill>
                  <w14:solidFill>
                    <w14:srgbClr w14:val="000000"/>
                  </w14:solidFill>
                </w14:textFill>
              </w:rPr>
              <w:t>, subscr., registr.</w:t>
            </w:r>
          </w:p>
        </w:tc>
      </w:tr>
    </w:tbl>
    <w:p>
      <w:pPr>
        <w:pStyle w:val="Body"/>
      </w:pPr>
    </w:p>
    <w:p>
      <w:pPr>
        <w:pStyle w:val="Body"/>
      </w:pPr>
    </w:p>
    <w:p>
      <w:pPr>
        <w:pStyle w:val="Body"/>
      </w:pPr>
    </w:p>
    <w:p>
      <w:pPr>
        <w:pStyle w:val="Body"/>
      </w:pPr>
    </w:p>
    <w:p>
      <w:pPr>
        <w:pStyle w:val="Body"/>
      </w:pPr>
      <w:r>
        <w:rPr>
          <w:rStyle w:val="Hyperlink.0"/>
        </w:rPr>
        <w:fldChar w:fldCharType="begin" w:fldLock="0"/>
      </w:r>
      <w:r>
        <w:rPr>
          <w:rStyle w:val="Hyperlink.0"/>
        </w:rPr>
        <w:instrText xml:space="preserve"> HYPERLINK "https://papyri.info/ddbdp/stud.pal%3B22%3B46"</w:instrText>
      </w:r>
      <w:r>
        <w:rPr>
          <w:rStyle w:val="Hyperlink.0"/>
        </w:rPr>
        <w:fldChar w:fldCharType="separate" w:fldLock="0"/>
      </w:r>
      <w:r>
        <w:rPr>
          <w:rStyle w:val="Hyperlink.0"/>
          <w:rtl w:val="0"/>
          <w:lang w:val="pt-PT"/>
        </w:rPr>
        <w:t>SPP 22 46</w:t>
      </w:r>
      <w:r>
        <w:rPr/>
        <w:fldChar w:fldCharType="end" w:fldLock="0"/>
      </w:r>
      <w:r>
        <w:rPr>
          <w:rtl w:val="0"/>
          <w:lang w:val="en-US"/>
        </w:rPr>
        <w:t>: the bottom of a return of a loan containing the end of the body contract in Alkimos</w:t>
      </w:r>
      <w:r>
        <w:rPr>
          <w:rtl w:val="1"/>
        </w:rPr>
        <w:t xml:space="preserve">’ </w:t>
      </w:r>
      <w:r>
        <w:rPr>
          <w:rtl w:val="0"/>
          <w:lang w:val="en-US"/>
        </w:rPr>
        <w:t>hand, the first party</w:t>
      </w:r>
      <w:r>
        <w:rPr>
          <w:rtl w:val="1"/>
        </w:rPr>
        <w:t>’</w:t>
      </w:r>
      <w:r>
        <w:rPr>
          <w:rtl w:val="0"/>
          <w:lang w:val="en-US"/>
        </w:rPr>
        <w:t xml:space="preserve">s subscription in another hand, and the registration again by Alkimos. </w:t>
      </w:r>
      <w:r>
        <w:rPr>
          <w:rtl w:val="0"/>
          <w:lang w:val="de-DE"/>
        </w:rPr>
        <w:t xml:space="preserve">The verb of registration was read as </w:t>
      </w:r>
      <w:r>
        <w:rPr>
          <w:rtl w:val="0"/>
        </w:rPr>
        <w:t>ἐνδέτακ</w:t>
      </w:r>
      <w:r>
        <w:rPr>
          <w:rtl w:val="0"/>
        </w:rPr>
        <w:t>(</w:t>
      </w:r>
      <w:r>
        <w:rPr>
          <w:rtl w:val="0"/>
        </w:rPr>
        <w:t>ται</w:t>
      </w:r>
      <w:r>
        <w:rPr>
          <w:rtl w:val="0"/>
          <w:lang w:val="en-US"/>
        </w:rPr>
        <w:t xml:space="preserve">), but there is smudged ink at the beginning of the line, which I think gave the appearance of delta: the expected </w:t>
      </w:r>
      <w:r>
        <w:rPr>
          <w:rtl w:val="0"/>
        </w:rPr>
        <w:t>ἐντέτακ</w:t>
      </w:r>
      <w:r>
        <w:rPr>
          <w:rtl w:val="0"/>
        </w:rPr>
        <w:t>(</w:t>
      </w:r>
      <w:r>
        <w:rPr>
          <w:rtl w:val="0"/>
        </w:rPr>
        <w:t>ται</w:t>
      </w:r>
      <w:r>
        <w:rPr>
          <w:rtl w:val="0"/>
          <w:lang w:val="en-US"/>
        </w:rPr>
        <w:t>) should be read instead. The date of the contract is missing, but the original loan was made in the 18th year of the deified Trajan, which places its return in the reign of Hadrian or later. This contract may well be the earliest document in Alkimos</w:t>
      </w:r>
      <w:r>
        <w:rPr>
          <w:rtl w:val="1"/>
        </w:rPr>
        <w:t xml:space="preserve">’ </w:t>
      </w:r>
      <w:r>
        <w:rPr>
          <w:rtl w:val="0"/>
          <w:lang w:val="en-US"/>
        </w:rPr>
        <w:t>corpus, but since loans could remain unpaid for many years it might still fall within the known bounds of the scribe</w:t>
      </w:r>
      <w:r>
        <w:rPr>
          <w:rtl w:val="1"/>
        </w:rPr>
        <w:t>’</w:t>
      </w:r>
      <w:r>
        <w:rPr>
          <w:rtl w:val="0"/>
          <w:lang w:val="en-US"/>
        </w:rPr>
        <w:t>s career. A conservative dating places it between 118 and ca. 151.</w:t>
      </w:r>
    </w:p>
    <w:p>
      <w:pPr>
        <w:pStyle w:val="Body"/>
      </w:pPr>
    </w:p>
    <w:p>
      <w:pPr>
        <w:pStyle w:val="Body"/>
      </w:pPr>
      <w:r>
        <w:rPr>
          <w:rStyle w:val="Hyperlink.0"/>
        </w:rPr>
        <w:fldChar w:fldCharType="begin" w:fldLock="0"/>
      </w:r>
      <w:r>
        <w:rPr>
          <w:rStyle w:val="Hyperlink.0"/>
        </w:rPr>
        <w:instrText xml:space="preserve"> HYPERLINK "https://papyri.info/ddbdp/bgu%3B2%3B664"</w:instrText>
      </w:r>
      <w:r>
        <w:rPr>
          <w:rStyle w:val="Hyperlink.0"/>
        </w:rPr>
        <w:fldChar w:fldCharType="separate" w:fldLock="0"/>
      </w:r>
      <w:r>
        <w:rPr>
          <w:rStyle w:val="Hyperlink.0"/>
          <w:rtl w:val="0"/>
          <w:lang w:val="de-DE"/>
        </w:rPr>
        <w:t>BGU 2 664</w:t>
      </w:r>
      <w:r>
        <w:rPr/>
        <w:fldChar w:fldCharType="end" w:fldLock="0"/>
      </w:r>
      <w:r>
        <w:rPr>
          <w:rtl w:val="0"/>
          <w:lang w:val="en-US"/>
        </w:rPr>
        <w:t xml:space="preserve">: this small fragment of a contract was dated to the first century. It contains the last line of the body contract, a good part of the seven-line subscription in another hand, and the first half of the registration. Since the registration is clearly the work of Alkimos, it should be supplemented </w:t>
      </w:r>
      <w:r>
        <w:rPr>
          <w:rtl w:val="0"/>
        </w:rPr>
        <w:t>ἐντέτακ</w:t>
      </w:r>
      <w:r>
        <w:rPr>
          <w:rtl w:val="0"/>
        </w:rPr>
        <w:t>(</w:t>
      </w:r>
      <w:r>
        <w:rPr>
          <w:rtl w:val="0"/>
        </w:rPr>
        <w:t>ται</w:t>
      </w:r>
      <w:r>
        <w:rPr>
          <w:rtl w:val="0"/>
        </w:rPr>
        <w:t xml:space="preserve">) </w:t>
      </w:r>
      <w:r>
        <w:rPr>
          <w:rtl w:val="0"/>
        </w:rPr>
        <w:t xml:space="preserve">διὰ τοῦ ἐν </w:t>
      </w:r>
      <w:r>
        <w:rPr>
          <w:rtl w:val="0"/>
          <w:lang w:val="pt-PT"/>
        </w:rPr>
        <w:t>[</w:t>
      </w:r>
      <w:r>
        <w:rPr>
          <w:rtl w:val="0"/>
        </w:rPr>
        <w:t>Ἡρακ</w:t>
      </w:r>
      <w:r>
        <w:rPr>
          <w:rtl w:val="0"/>
        </w:rPr>
        <w:t>(</w:t>
      </w:r>
      <w:r>
        <w:rPr>
          <w:rtl w:val="0"/>
        </w:rPr>
        <w:t>λείᾳ</w:t>
      </w:r>
      <w:r>
        <w:rPr>
          <w:rtl w:val="0"/>
        </w:rPr>
        <w:t xml:space="preserve">) </w:t>
      </w:r>
      <w:r>
        <w:rPr>
          <w:rtl w:val="0"/>
        </w:rPr>
        <w:t>γρα</w:t>
      </w:r>
      <w:r>
        <w:rPr>
          <w:rtl w:val="0"/>
        </w:rPr>
        <w:t>(</w:t>
      </w:r>
      <w:r>
        <w:rPr>
          <w:rtl w:val="0"/>
        </w:rPr>
        <w:t>φείου</w:t>
      </w:r>
      <w:r>
        <w:rPr>
          <w:rtl w:val="0"/>
          <w:lang w:val="en-US"/>
        </w:rPr>
        <w:t>)] and assigned to Herakleia in the period of Alkimos</w:t>
      </w:r>
      <w:r>
        <w:rPr>
          <w:rtl w:val="1"/>
        </w:rPr>
        <w:t xml:space="preserve">’ </w:t>
      </w:r>
      <w:r>
        <w:rPr>
          <w:rtl w:val="0"/>
          <w:lang w:val="en-US"/>
        </w:rPr>
        <w:t>activity (ca. 132</w:t>
      </w:r>
      <w:r>
        <w:rPr>
          <w:rtl w:val="0"/>
        </w:rPr>
        <w:t>–</w:t>
      </w:r>
      <w:r>
        <w:rPr>
          <w:rtl w:val="0"/>
        </w:rPr>
        <w:t>151).</w:t>
      </w:r>
    </w:p>
    <w:p>
      <w:pPr>
        <w:pStyle w:val="Body"/>
      </w:pPr>
    </w:p>
    <w:p>
      <w:pPr>
        <w:pStyle w:val="Body"/>
      </w:pPr>
      <w:r>
        <w:rPr>
          <w:rStyle w:val="Hyperlink.0"/>
        </w:rPr>
        <w:fldChar w:fldCharType="begin" w:fldLock="0"/>
      </w:r>
      <w:r>
        <w:rPr>
          <w:rStyle w:val="Hyperlink.0"/>
        </w:rPr>
        <w:instrText xml:space="preserve"> HYPERLINK "https://papyri.info/ddbdp/p.amh%3B2%3B111"</w:instrText>
      </w:r>
      <w:r>
        <w:rPr>
          <w:rStyle w:val="Hyperlink.0"/>
        </w:rPr>
        <w:fldChar w:fldCharType="separate" w:fldLock="0"/>
      </w:r>
      <w:r>
        <w:rPr>
          <w:rStyle w:val="Hyperlink.0"/>
          <w:rtl w:val="0"/>
        </w:rPr>
        <w:t>P.Amh. 2 111</w:t>
      </w:r>
      <w:r>
        <w:rPr/>
        <w:fldChar w:fldCharType="end" w:fldLock="0"/>
      </w:r>
      <w:r>
        <w:rPr>
          <w:rtl w:val="0"/>
          <w:lang w:val="en-US"/>
        </w:rPr>
        <w:t>: the sheet is well preserved, with some damage at the top. The image online is not of great quality, but Alkimos wrote the body contract (note the typical opening epsilon) and the registration (the subscription is in the hand of the acknowledging party himself).</w:t>
      </w:r>
    </w:p>
    <w:p>
      <w:pPr>
        <w:pStyle w:val="Body"/>
      </w:pPr>
    </w:p>
    <w:p>
      <w:pPr>
        <w:pStyle w:val="Body"/>
      </w:pPr>
      <w:r>
        <w:rPr>
          <w:rStyle w:val="Hyperlink.0"/>
        </w:rPr>
        <w:fldChar w:fldCharType="begin" w:fldLock="0"/>
      </w:r>
      <w:r>
        <w:rPr>
          <w:rStyle w:val="Hyperlink.0"/>
        </w:rPr>
        <w:instrText xml:space="preserve"> HYPERLINK "https://papyri.info/ddbdp/p.stras%3B1%3B13"</w:instrText>
      </w:r>
      <w:r>
        <w:rPr>
          <w:rStyle w:val="Hyperlink.0"/>
        </w:rPr>
        <w:fldChar w:fldCharType="separate" w:fldLock="0"/>
      </w:r>
      <w:r>
        <w:rPr>
          <w:rStyle w:val="Hyperlink.0"/>
          <w:rtl w:val="0"/>
          <w:lang w:val="pt-PT"/>
        </w:rPr>
        <w:t>P.Stras. 1 13</w:t>
      </w:r>
      <w:r>
        <w:rPr/>
        <w:fldChar w:fldCharType="end" w:fldLock="0"/>
      </w:r>
      <w:r>
        <w:rPr>
          <w:rtl w:val="0"/>
          <w:lang w:val="en-US"/>
        </w:rPr>
        <w:t xml:space="preserve"> (+ P.Stras. inv. 39d): Hagedorn already suspected the inclusion of this piece in Alkimos</w:t>
      </w:r>
      <w:r>
        <w:rPr>
          <w:rtl w:val="1"/>
        </w:rPr>
        <w:t xml:space="preserve">’ </w:t>
      </w:r>
      <w:r>
        <w:rPr>
          <w:rtl w:val="0"/>
          <w:lang w:val="en-US"/>
        </w:rPr>
        <w:t xml:space="preserve">dossier, which the handwriting confirms; the new fragment, identified by Paul Heilporn, contains the telltale opening epsilon of </w:t>
      </w:r>
      <w:r>
        <w:rPr>
          <w:rtl w:val="0"/>
        </w:rPr>
        <w:t>ἔτους</w:t>
      </w:r>
      <w:r>
        <w:rPr>
          <w:rtl w:val="0"/>
        </w:rPr>
        <w:t>.</w:t>
      </w:r>
    </w:p>
    <w:p>
      <w:pPr>
        <w:pStyle w:val="Body"/>
      </w:pPr>
    </w:p>
    <w:p>
      <w:pPr>
        <w:pStyle w:val="Body"/>
      </w:pPr>
      <w:r>
        <w:rPr>
          <w:rStyle w:val="Hyperlink.0"/>
        </w:rPr>
        <w:fldChar w:fldCharType="begin" w:fldLock="0"/>
      </w:r>
      <w:r>
        <w:rPr>
          <w:rStyle w:val="Hyperlink.0"/>
        </w:rPr>
        <w:instrText xml:space="preserve"> HYPERLINK "https://quod.lib.umich.edu/a/apis/x-17248"</w:instrText>
      </w:r>
      <w:r>
        <w:rPr>
          <w:rStyle w:val="Hyperlink.0"/>
        </w:rPr>
        <w:fldChar w:fldCharType="separate" w:fldLock="0"/>
      </w:r>
      <w:r>
        <w:rPr>
          <w:rStyle w:val="Hyperlink.0"/>
          <w:rtl w:val="0"/>
        </w:rPr>
        <w:t>P.Mich. inv. 6114b</w:t>
      </w:r>
      <w:r>
        <w:rPr/>
        <w:fldChar w:fldCharType="end" w:fldLock="0"/>
      </w:r>
      <w:r>
        <w:rPr>
          <w:rtl w:val="0"/>
          <w:lang w:val="en-US"/>
        </w:rPr>
        <w:t>: this unpublished contract was excavated at Soknopaiou Nesos by the University of Michigan (31-I-112D-P)</w:t>
      </w:r>
      <w:r>
        <w:rPr>
          <w:rFonts w:ascii="IFAO-Grec Unicode" w:cs="IFAO-Grec Unicode" w:hAnsi="IFAO-Grec Unicode" w:eastAsia="IFAO-Grec Unicode"/>
          <w:b w:val="0"/>
          <w:bCs w:val="0"/>
          <w:i w:val="0"/>
          <w:iCs w:val="0"/>
          <w:vertAlign w:val="superscript"/>
        </w:rPr>
        <w:footnoteReference w:id="1"/>
      </w:r>
      <w:r>
        <w:rPr>
          <w:rtl w:val="0"/>
          <w:lang w:val="en-US"/>
        </w:rPr>
        <w:t xml:space="preserve"> and is now located in the Egyptian Museum in Cairo. A photo held in the Michigan Papyrology Collection shows that it belongs to Alkimos</w:t>
      </w:r>
      <w:r>
        <w:rPr>
          <w:rtl w:val="1"/>
        </w:rPr>
        <w:t xml:space="preserve">’ </w:t>
      </w:r>
      <w:r>
        <w:rPr>
          <w:rtl w:val="0"/>
          <w:lang w:val="it-IT"/>
        </w:rPr>
        <w:t>dossier.</w:t>
      </w:r>
    </w:p>
    <w:p>
      <w:pPr>
        <w:pStyle w:val="Body"/>
      </w:pPr>
    </w:p>
    <w:p>
      <w:pPr>
        <w:pStyle w:val="Body"/>
      </w:pPr>
      <w:r>
        <w:rPr>
          <w:rtl w:val="0"/>
          <w:lang w:val="en-US"/>
        </w:rPr>
        <w:tab/>
        <w:t xml:space="preserve">In at least five of the above documents (4, 6, 9, 10, and 12) Alkimos not only pens the main contract but also subscribes on behalf of the acknowledging party, from which we learn his name and title. With minor variations in abbreviation, he signs as </w:t>
      </w:r>
      <w:r>
        <w:rPr>
          <w:rtl w:val="0"/>
        </w:rPr>
        <w:t>Ἄλκιμος γρα</w:t>
      </w:r>
      <w:r>
        <w:rPr>
          <w:rtl w:val="0"/>
        </w:rPr>
        <w:t>(</w:t>
      </w:r>
      <w:r>
        <w:rPr>
          <w:rtl w:val="0"/>
        </w:rPr>
        <w:t>μματεὺς</w:t>
      </w:r>
      <w:r>
        <w:rPr>
          <w:rtl w:val="0"/>
        </w:rPr>
        <w:t xml:space="preserve">) </w:t>
      </w:r>
      <w:r>
        <w:rPr>
          <w:rtl w:val="0"/>
        </w:rPr>
        <w:t>τοῦ προκ</w:t>
      </w:r>
      <w:r>
        <w:rPr>
          <w:rtl w:val="0"/>
        </w:rPr>
        <w:t>(</w:t>
      </w:r>
      <w:r>
        <w:rPr>
          <w:rtl w:val="0"/>
        </w:rPr>
        <w:t>ειμένου</w:t>
      </w:r>
      <w:r>
        <w:rPr>
          <w:rtl w:val="0"/>
        </w:rPr>
        <w:t xml:space="preserve">) </w:t>
      </w:r>
      <w:r>
        <w:rPr>
          <w:rtl w:val="0"/>
        </w:rPr>
        <w:t>γρα</w:t>
      </w:r>
      <w:r>
        <w:rPr>
          <w:rtl w:val="0"/>
        </w:rPr>
        <w:t>(</w:t>
      </w:r>
      <w:r>
        <w:rPr>
          <w:rtl w:val="0"/>
        </w:rPr>
        <w:t>φείου</w:t>
      </w:r>
      <w:r>
        <w:rPr>
          <w:rtl w:val="0"/>
        </w:rPr>
        <w:t>).</w:t>
      </w:r>
      <w:r>
        <w:rPr>
          <w:rFonts w:ascii="IFAO-Grec Unicode" w:cs="IFAO-Grec Unicode" w:hAnsi="IFAO-Grec Unicode" w:eastAsia="IFAO-Grec Unicode"/>
          <w:b w:val="0"/>
          <w:bCs w:val="0"/>
          <w:i w:val="0"/>
          <w:iCs w:val="0"/>
          <w:vertAlign w:val="superscript"/>
        </w:rPr>
        <w:footnoteReference w:id="2"/>
      </w:r>
      <w:r>
        <w:rPr>
          <w:rtl w:val="0"/>
        </w:rPr>
        <w:t xml:space="preserve"> </w:t>
      </w:r>
    </w:p>
    <w:p>
      <w:pPr>
        <w:pStyle w:val="Body"/>
        <w:ind w:firstLine="720"/>
      </w:pPr>
      <w:r>
        <w:rPr>
          <w:rtl w:val="0"/>
          <w:lang w:val="en-US"/>
        </w:rPr>
        <w:t xml:space="preserve">This formula is found in one other text, </w:t>
      </w:r>
      <w:r>
        <w:rPr>
          <w:rStyle w:val="Hyperlink.0"/>
        </w:rPr>
        <w:fldChar w:fldCharType="begin" w:fldLock="0"/>
      </w:r>
      <w:r>
        <w:rPr>
          <w:rStyle w:val="Hyperlink.0"/>
        </w:rPr>
        <w:instrText xml:space="preserve"> HYPERLINK "https://papyri.info/hgv/15113"</w:instrText>
      </w:r>
      <w:r>
        <w:rPr>
          <w:rStyle w:val="Hyperlink.0"/>
        </w:rPr>
        <w:fldChar w:fldCharType="separate" w:fldLock="0"/>
      </w:r>
      <w:r>
        <w:rPr>
          <w:rStyle w:val="Hyperlink.0"/>
          <w:rtl w:val="0"/>
          <w:lang w:val="pt-PT"/>
        </w:rPr>
        <w:t>SPP</w:t>
      </w:r>
      <w:r>
        <w:rPr>
          <w:rStyle w:val="Hyperlink.0"/>
          <w:rtl w:val="0"/>
        </w:rPr>
        <w:t xml:space="preserve"> </w:t>
      </w:r>
      <w:r>
        <w:rPr>
          <w:rStyle w:val="Hyperlink.0"/>
          <w:rtl w:val="0"/>
        </w:rPr>
        <w:t>22 45</w:t>
      </w:r>
      <w:r>
        <w:rPr/>
        <w:fldChar w:fldCharType="end" w:fldLock="0"/>
      </w:r>
      <w:r>
        <w:rPr>
          <w:rtl w:val="0"/>
        </w:rPr>
        <w:t xml:space="preserve"> </w:t>
      </w:r>
      <w:r>
        <w:rPr>
          <w:rtl w:val="0"/>
          <w:lang w:val="en-US"/>
        </w:rPr>
        <w:t>(169 with BL 8</w:t>
      </w:r>
      <w:r>
        <w:rPr>
          <w:rtl w:val="0"/>
        </w:rPr>
        <w:t> </w:t>
      </w:r>
      <w:r>
        <w:rPr>
          <w:rtl w:val="0"/>
          <w:lang w:val="en-US"/>
        </w:rPr>
        <w:t xml:space="preserve">482), also from Herakleia, and the latest attestation of its </w:t>
      </w:r>
      <w:r>
        <w:rPr>
          <w:rtl w:val="0"/>
          <w:lang w:val="pt-PT"/>
        </w:rPr>
        <w:t>grapheion</w:t>
      </w:r>
      <w:r>
        <w:rPr>
          <w:rtl w:val="0"/>
        </w:rPr>
        <w:t>.</w:t>
      </w:r>
      <w:r>
        <w:rPr>
          <w:vertAlign w:val="superscript"/>
        </w:rPr>
        <w:footnoteReference w:id="3"/>
      </w:r>
      <w:r>
        <w:rPr>
          <w:rtl w:val="0"/>
          <w:lang w:val="en-US"/>
        </w:rPr>
        <w:t xml:space="preserve"> This contract, written all in one hand,</w:t>
      </w:r>
      <w:r>
        <w:rPr>
          <w:vertAlign w:val="superscript"/>
        </w:rPr>
        <w:footnoteReference w:id="4"/>
      </w:r>
      <w:r>
        <w:rPr>
          <w:rtl w:val="0"/>
          <w:lang w:val="en-US"/>
        </w:rPr>
        <w:t xml:space="preserve"> concludes (with minor changes from the ed. pr.): </w:t>
      </w:r>
      <w:r>
        <w:rPr>
          <w:rtl w:val="0"/>
        </w:rPr>
        <w:t>Σωτήριχος γρα</w:t>
      </w:r>
      <w:r>
        <w:rPr>
          <w:rtl w:val="0"/>
        </w:rPr>
        <w:t>(</w:t>
      </w:r>
      <w:r>
        <w:rPr>
          <w:rtl w:val="0"/>
        </w:rPr>
        <w:t>μματεὺς</w:t>
      </w:r>
      <w:r>
        <w:rPr>
          <w:rtl w:val="0"/>
        </w:rPr>
        <w:t xml:space="preserve">) </w:t>
      </w:r>
      <w:r>
        <w:rPr>
          <w:rtl w:val="0"/>
        </w:rPr>
        <w:t>τοῦ προ</w:t>
      </w:r>
      <w:r>
        <w:rPr>
          <w:rtl w:val="0"/>
        </w:rPr>
        <w:t>|</w:t>
      </w:r>
      <w:r>
        <w:rPr>
          <w:rtl w:val="0"/>
        </w:rPr>
        <w:t>κιμένου γρ̣α̣φείου ἔγραψα ὑπὲρ αὐτοῦ ἀγρα</w:t>
      </w:r>
      <w:r>
        <w:rPr>
          <w:rtl w:val="0"/>
        </w:rPr>
        <w:t>(</w:t>
      </w:r>
      <w:r>
        <w:rPr>
          <w:rtl w:val="0"/>
        </w:rPr>
        <w:t>μμάτου</w:t>
      </w:r>
      <w:r>
        <w:rPr>
          <w:rtl w:val="0"/>
        </w:rPr>
        <w:t xml:space="preserve">). | </w:t>
      </w:r>
      <w:r>
        <w:rPr>
          <w:rtl w:val="0"/>
        </w:rPr>
        <w:t>ἐγρά</w:t>
      </w:r>
      <w:r>
        <w:rPr>
          <w:rtl w:val="0"/>
        </w:rPr>
        <w:t>(</w:t>
      </w:r>
      <w:r>
        <w:rPr>
          <w:rtl w:val="0"/>
        </w:rPr>
        <w:t>φη</w:t>
      </w:r>
      <w:r>
        <w:rPr>
          <w:rtl w:val="0"/>
        </w:rPr>
        <w:t xml:space="preserve">) </w:t>
      </w:r>
      <w:r>
        <w:rPr>
          <w:rtl w:val="0"/>
        </w:rPr>
        <w:t>διὰ τοῦ ἐν Ἡρακ</w:t>
      </w:r>
      <w:r>
        <w:rPr>
          <w:rtl w:val="0"/>
        </w:rPr>
        <w:t>(</w:t>
      </w:r>
      <w:r>
        <w:rPr>
          <w:rtl w:val="0"/>
        </w:rPr>
        <w:t>λείᾳ</w:t>
      </w:r>
      <w:r>
        <w:rPr>
          <w:rtl w:val="0"/>
        </w:rPr>
        <w:t xml:space="preserve">) </w:t>
      </w:r>
      <w:r>
        <w:rPr>
          <w:rtl w:val="0"/>
        </w:rPr>
        <w:t>γρα</w:t>
      </w:r>
      <w:r>
        <w:rPr>
          <w:rtl w:val="0"/>
        </w:rPr>
        <w:t>(</w:t>
      </w:r>
      <w:r>
        <w:rPr>
          <w:rtl w:val="0"/>
        </w:rPr>
        <w:t>φείου</w:t>
      </w:r>
      <w:r>
        <w:rPr>
          <w:rtl w:val="0"/>
          <w:lang w:val="en-US"/>
        </w:rPr>
        <w:t xml:space="preserve">). Soterichos had clearly taken on the same role as his predecessor Alkimos. His hand is also found in </w:t>
      </w:r>
      <w:r>
        <w:rPr>
          <w:rStyle w:val="Hyperlink.0"/>
        </w:rPr>
        <w:fldChar w:fldCharType="begin" w:fldLock="0"/>
      </w:r>
      <w:r>
        <w:rPr>
          <w:rStyle w:val="Hyperlink.0"/>
        </w:rPr>
        <w:instrText xml:space="preserve"> HYPERLINK "https://papyri.info/ddbdp/bgu%3B11%3B2049"</w:instrText>
      </w:r>
      <w:r>
        <w:rPr>
          <w:rStyle w:val="Hyperlink.0"/>
        </w:rPr>
        <w:fldChar w:fldCharType="separate" w:fldLock="0"/>
      </w:r>
      <w:r>
        <w:rPr>
          <w:rStyle w:val="Hyperlink.0"/>
          <w:rtl w:val="0"/>
        </w:rPr>
        <w:t>BGU 11 2049</w:t>
      </w:r>
      <w:r>
        <w:rPr/>
        <w:fldChar w:fldCharType="end" w:fldLock="0"/>
      </w:r>
      <w:r>
        <w:rPr>
          <w:rtl w:val="0"/>
          <w:lang w:val="en-US"/>
        </w:rPr>
        <w:t>, a contract from Herakleia whose date is lost but which can now be assigned to ca. 169. Here, the first party wrote his own subscripton (ll. 16</w:t>
      </w:r>
      <w:r>
        <w:rPr>
          <w:rtl w:val="0"/>
        </w:rPr>
        <w:t>–</w:t>
      </w:r>
      <w:r>
        <w:rPr>
          <w:rtl w:val="0"/>
          <w:lang w:val="en-US"/>
        </w:rPr>
        <w:t xml:space="preserve">19), but Soterichos penned the body contract and registration, which should be read as </w:t>
      </w:r>
      <w:r>
        <w:rPr>
          <w:rtl w:val="0"/>
        </w:rPr>
        <w:t>ἐ̣γρά</w:t>
      </w:r>
      <w:r>
        <w:rPr>
          <w:rtl w:val="0"/>
        </w:rPr>
        <w:t>(</w:t>
      </w:r>
      <w:r>
        <w:rPr>
          <w:rtl w:val="0"/>
        </w:rPr>
        <w:t>φη</w:t>
      </w:r>
      <w:r>
        <w:rPr>
          <w:rtl w:val="0"/>
        </w:rPr>
        <w:t xml:space="preserve">) </w:t>
      </w:r>
      <w:r>
        <w:rPr>
          <w:rtl w:val="0"/>
        </w:rPr>
        <w:t>διὰ τοῦ ἐ</w:t>
      </w:r>
      <w:r>
        <w:rPr>
          <w:rtl w:val="0"/>
          <w:lang w:val="pt-PT"/>
        </w:rPr>
        <w:t>[</w:t>
      </w:r>
      <w:r>
        <w:rPr>
          <w:rtl w:val="0"/>
        </w:rPr>
        <w:t>ν</w:t>
      </w:r>
      <w:r>
        <w:rPr>
          <w:rtl w:val="0"/>
          <w:lang w:val="pt-PT"/>
        </w:rPr>
        <w:t xml:space="preserve">] </w:t>
      </w:r>
      <w:r>
        <w:rPr>
          <w:rtl w:val="0"/>
        </w:rPr>
        <w:t>Ἡ̣ρακ̣</w:t>
      </w:r>
      <w:r>
        <w:rPr>
          <w:rtl w:val="0"/>
        </w:rPr>
        <w:t>(</w:t>
      </w:r>
      <w:r>
        <w:rPr>
          <w:rtl w:val="0"/>
        </w:rPr>
        <w:t>λείᾳ</w:t>
      </w:r>
      <w:r>
        <w:rPr>
          <w:rtl w:val="0"/>
        </w:rPr>
        <w:t xml:space="preserve">) </w:t>
      </w:r>
      <w:r>
        <w:rPr>
          <w:rtl w:val="0"/>
        </w:rPr>
        <w:t>γρα</w:t>
      </w:r>
      <w:r>
        <w:rPr>
          <w:rtl w:val="0"/>
        </w:rPr>
        <w:t>(</w:t>
      </w:r>
      <w:r>
        <w:rPr>
          <w:rtl w:val="0"/>
        </w:rPr>
        <w:t>φείου</w:t>
      </w:r>
      <w:r>
        <w:rPr>
          <w:rtl w:val="0"/>
        </w:rPr>
        <w:t>)</w:t>
      </w:r>
      <w:r>
        <w:rPr>
          <w:vertAlign w:val="superscript"/>
        </w:rPr>
        <w:footnoteReference w:id="5"/>
      </w:r>
      <w:r>
        <w:rPr>
          <w:rtl w:val="0"/>
          <w:lang w:val="en-US"/>
        </w:rPr>
        <w:t xml:space="preserve"> in comparison with the Vienna text.</w:t>
      </w:r>
    </w:p>
    <w:p>
      <w:pPr>
        <w:pStyle w:val="Body"/>
      </w:pPr>
      <w:r>
        <w:rPr>
          <w:rtl w:val="0"/>
        </w:rPr>
        <w:tab/>
        <w:t>From Alkimos</w:t>
      </w:r>
      <w:r>
        <w:rPr>
          <w:rtl w:val="1"/>
        </w:rPr>
        <w:t xml:space="preserve">’ </w:t>
      </w:r>
      <w:r>
        <w:rPr>
          <w:rtl w:val="0"/>
          <w:lang w:val="en-US"/>
        </w:rPr>
        <w:t xml:space="preserve">long service in the </w:t>
      </w:r>
      <w:r>
        <w:rPr>
          <w:rtl w:val="0"/>
          <w:lang w:val="pt-PT"/>
        </w:rPr>
        <w:t>grapheion</w:t>
      </w:r>
      <w:r>
        <w:rPr>
          <w:rtl w:val="0"/>
          <w:lang w:val="en-US"/>
        </w:rPr>
        <w:t xml:space="preserve"> and the fact that both he and Soterichos wrote registration dockets, one might conclude that they were village notaries.</w:t>
      </w:r>
      <w:r>
        <w:rPr>
          <w:rFonts w:ascii="IFAO-Grec Unicode" w:cs="IFAO-Grec Unicode" w:hAnsi="IFAO-Grec Unicode" w:eastAsia="IFAO-Grec Unicode"/>
          <w:b w:val="0"/>
          <w:bCs w:val="0"/>
          <w:i w:val="0"/>
          <w:iCs w:val="0"/>
          <w:vertAlign w:val="superscript"/>
        </w:rPr>
        <w:footnoteReference w:id="6"/>
      </w:r>
      <w:r>
        <w:rPr>
          <w:rtl w:val="0"/>
          <w:lang w:val="en-US"/>
        </w:rPr>
        <w:t xml:space="preserve"> But their title, </w:t>
      </w:r>
      <w:r>
        <w:rPr>
          <w:rtl w:val="0"/>
        </w:rPr>
        <w:t xml:space="preserve">γραμματεύς </w:t>
      </w:r>
      <w:r>
        <w:rPr>
          <w:rtl w:val="0"/>
          <w:lang w:val="en-US"/>
        </w:rPr>
        <w:t xml:space="preserve">rather than the usual </w:t>
      </w:r>
      <w:r>
        <w:rPr>
          <w:rtl w:val="0"/>
        </w:rPr>
        <w:t>νομογράφος</w:t>
      </w:r>
      <w:r>
        <w:rPr>
          <w:rtl w:val="0"/>
          <w:lang w:val="en-US"/>
        </w:rPr>
        <w:t xml:space="preserve">, is at odds with this idea, and village notaries are known to have had secretaries to assist them: an early case has now been identified in Karanis, where the </w:t>
      </w:r>
      <w:r>
        <w:rPr>
          <w:rtl w:val="0"/>
        </w:rPr>
        <w:t xml:space="preserve">νομογράφος </w:t>
      </w:r>
      <w:r>
        <w:rPr>
          <w:rtl w:val="0"/>
          <w:lang w:val="en-US"/>
        </w:rPr>
        <w:t xml:space="preserve">Sotas alias NN was assisted by his </w:t>
      </w:r>
      <w:r>
        <w:rPr>
          <w:rtl w:val="0"/>
        </w:rPr>
        <w:t xml:space="preserve">γραμματεύς </w:t>
      </w:r>
      <w:r>
        <w:rPr>
          <w:rtl w:val="0"/>
          <w:lang w:val="en-US"/>
        </w:rPr>
        <w:t>(Pete)souchos, who even wrote in his boss</w:t>
      </w:r>
      <w:r>
        <w:rPr>
          <w:rtl w:val="1"/>
        </w:rPr>
        <w:t xml:space="preserve">’ </w:t>
      </w:r>
      <w:r>
        <w:rPr>
          <w:rtl w:val="0"/>
          <w:lang w:val="en-US"/>
        </w:rPr>
        <w:t>name,</w:t>
      </w:r>
      <w:r>
        <w:rPr>
          <w:rFonts w:ascii="IFAO-Grec Unicode" w:cs="IFAO-Grec Unicode" w:hAnsi="IFAO-Grec Unicode" w:eastAsia="IFAO-Grec Unicode"/>
          <w:b w:val="0"/>
          <w:bCs w:val="0"/>
          <w:i w:val="0"/>
          <w:iCs w:val="0"/>
          <w:vertAlign w:val="superscript"/>
        </w:rPr>
        <w:footnoteReference w:id="7"/>
      </w:r>
      <w:r>
        <w:rPr>
          <w:rtl w:val="0"/>
          <w:lang w:val="en-US"/>
        </w:rPr>
        <w:t xml:space="preserve"> and a contemporary example is found in </w:t>
      </w:r>
      <w:r>
        <w:rPr>
          <w:rStyle w:val="Hyperlink.0"/>
        </w:rPr>
        <w:fldChar w:fldCharType="begin" w:fldLock="0"/>
      </w:r>
      <w:r>
        <w:rPr>
          <w:rStyle w:val="Hyperlink.0"/>
        </w:rPr>
        <w:instrText xml:space="preserve"> HYPERLINK "http://papyri.info/ddbdp/p.mil.vogl%3B3%3B145"</w:instrText>
      </w:r>
      <w:r>
        <w:rPr>
          <w:rStyle w:val="Hyperlink.0"/>
        </w:rPr>
        <w:fldChar w:fldCharType="separate" w:fldLock="0"/>
      </w:r>
      <w:r>
        <w:rPr>
          <w:rStyle w:val="Hyperlink.0"/>
          <w:rtl w:val="0"/>
          <w:lang w:val="it-IT"/>
        </w:rPr>
        <w:t>P.Mil.Vogl. 3 145</w:t>
      </w:r>
      <w:r>
        <w:rPr/>
        <w:fldChar w:fldCharType="end" w:fldLock="0"/>
      </w:r>
      <w:r>
        <w:rPr>
          <w:rtl w:val="0"/>
          <w:lang w:val="en-US"/>
        </w:rPr>
        <w:t xml:space="preserve"> (142) (with BL 5 72), an offer to lease that concludes: </w:t>
      </w:r>
      <w:r>
        <w:rPr>
          <w:rtl w:val="0"/>
        </w:rPr>
        <w:t>ἐγράφη καὶ εἰκονίσθ</w:t>
      </w:r>
      <w:r>
        <w:rPr>
          <w:rtl w:val="0"/>
        </w:rPr>
        <w:t>(</w:t>
      </w:r>
      <w:r>
        <w:rPr>
          <w:rtl w:val="0"/>
        </w:rPr>
        <w:t>η</w:t>
      </w:r>
      <w:r>
        <w:rPr>
          <w:rtl w:val="0"/>
        </w:rPr>
        <w:t xml:space="preserve">) </w:t>
      </w:r>
      <w:r>
        <w:rPr>
          <w:rtl w:val="0"/>
        </w:rPr>
        <w:t xml:space="preserve">διὰ </w:t>
      </w:r>
      <w:r>
        <w:rPr>
          <w:rtl w:val="0"/>
          <w:lang w:val="pt-PT"/>
        </w:rPr>
        <w:t>[</w:t>
      </w:r>
      <w:r>
        <w:rPr>
          <w:rtl w:val="0"/>
        </w:rPr>
        <w:t>γραφ</w:t>
      </w:r>
      <w:r>
        <w:rPr>
          <w:rtl w:val="0"/>
        </w:rPr>
        <w:t>(</w:t>
      </w:r>
      <w:r>
        <w:rPr>
          <w:rtl w:val="0"/>
        </w:rPr>
        <w:t>είου</w:t>
      </w:r>
      <w:r>
        <w:rPr>
          <w:rtl w:val="0"/>
        </w:rPr>
        <w:t xml:space="preserve">) </w:t>
      </w:r>
      <w:r>
        <w:rPr>
          <w:rtl w:val="0"/>
        </w:rPr>
        <w:t>Τεβ</w:t>
      </w:r>
      <w:r>
        <w:rPr>
          <w:rtl w:val="0"/>
          <w:lang w:val="pt-PT"/>
        </w:rPr>
        <w:t>]</w:t>
      </w:r>
      <w:r>
        <w:rPr>
          <w:rtl w:val="0"/>
        </w:rPr>
        <w:t>τύνεως διά τε Κρονίου γραμματέως</w:t>
      </w:r>
      <w:r>
        <w:rPr>
          <w:rtl w:val="0"/>
          <w:lang w:val="en-US"/>
        </w:rPr>
        <w:t xml:space="preserve">. We should therefore conclude that Alkimos and Soterichos were not formally heads of the </w:t>
      </w:r>
      <w:r>
        <w:rPr>
          <w:rtl w:val="0"/>
          <w:lang w:val="pt-PT"/>
        </w:rPr>
        <w:t>grapheion</w:t>
      </w:r>
      <w:r>
        <w:rPr>
          <w:rtl w:val="0"/>
          <w:lang w:val="en-US"/>
        </w:rPr>
        <w:t>, although they clearly performed the main duties in the office, possibly on a contractual basis.</w:t>
      </w:r>
      <w:r>
        <w:rPr>
          <w:rFonts w:ascii="IFAO-Grec Unicode" w:cs="IFAO-Grec Unicode" w:hAnsi="IFAO-Grec Unicode" w:eastAsia="IFAO-Grec Unicode"/>
          <w:b w:val="0"/>
          <w:bCs w:val="0"/>
          <w:i w:val="0"/>
          <w:iCs w:val="0"/>
          <w:vertAlign w:val="superscript"/>
        </w:rPr>
        <w:footnoteReference w:id="8"/>
      </w:r>
      <w:r>
        <w:rPr>
          <w:rtl w:val="0"/>
        </w:rPr>
        <w:t xml:space="preserve"> </w:t>
      </w:r>
    </w:p>
    <w:p>
      <w:pPr>
        <w:pStyle w:val="Body"/>
      </w:pPr>
    </w:p>
    <w:p>
      <w:pPr>
        <w:pStyle w:val="Body"/>
      </w:pPr>
      <w:r>
        <w:rPr>
          <w:rtl w:val="0"/>
          <w:lang w:val="en-US"/>
        </w:rPr>
        <w:t>A few other later documents from Herakleia</w:t>
      </w:r>
      <w:r>
        <w:rPr>
          <w:rtl w:val="1"/>
        </w:rPr>
        <w:t>’</w:t>
      </w:r>
      <w:r>
        <w:rPr>
          <w:rtl w:val="0"/>
        </w:rPr>
        <w:t xml:space="preserve">s </w:t>
      </w:r>
      <w:r>
        <w:rPr>
          <w:rtl w:val="0"/>
          <w:lang w:val="pt-PT"/>
        </w:rPr>
        <w:t xml:space="preserve">grapheion </w:t>
      </w:r>
      <w:r>
        <w:rPr>
          <w:rtl w:val="0"/>
          <w:lang w:val="en-US"/>
        </w:rPr>
        <w:t>can be commented upon in light of the careers of Alkimos and Soterichos:</w:t>
      </w:r>
    </w:p>
    <w:p>
      <w:pPr>
        <w:pStyle w:val="Body"/>
      </w:pPr>
    </w:p>
    <w:p>
      <w:pPr>
        <w:pStyle w:val="Body"/>
      </w:pPr>
      <w:r>
        <w:rPr>
          <w:rStyle w:val="Hyperlink.0"/>
        </w:rPr>
        <w:fldChar w:fldCharType="begin" w:fldLock="0"/>
      </w:r>
      <w:r>
        <w:rPr>
          <w:rStyle w:val="Hyperlink.0"/>
        </w:rPr>
        <w:instrText xml:space="preserve"> HYPERLINK "https://papyri.info/ddbdp/p.prag%3B1%3B31"</w:instrText>
      </w:r>
      <w:r>
        <w:rPr>
          <w:rStyle w:val="Hyperlink.0"/>
        </w:rPr>
        <w:fldChar w:fldCharType="separate" w:fldLock="0"/>
      </w:r>
      <w:r>
        <w:rPr>
          <w:rStyle w:val="Hyperlink.0"/>
          <w:rtl w:val="0"/>
        </w:rPr>
        <w:t>P.Prag. 1 31</w:t>
      </w:r>
      <w:r>
        <w:rPr/>
        <w:fldChar w:fldCharType="end" w:fldLock="0"/>
      </w:r>
      <w:r>
        <w:rPr>
          <w:rtl w:val="0"/>
          <w:lang w:val="en-US"/>
        </w:rPr>
        <w:t xml:space="preserve"> (148?) appears to fall within Alkimos</w:t>
      </w:r>
      <w:r>
        <w:rPr>
          <w:rtl w:val="1"/>
        </w:rPr>
        <w:t xml:space="preserve">’ </w:t>
      </w:r>
      <w:r>
        <w:rPr>
          <w:rtl w:val="0"/>
          <w:lang w:val="en-US"/>
        </w:rPr>
        <w:t>period of activity</w:t>
      </w:r>
      <w:r>
        <w:rPr>
          <w:rFonts w:ascii="IFAO-Grec Unicode" w:cs="IFAO-Grec Unicode" w:hAnsi="IFAO-Grec Unicode" w:eastAsia="IFAO-Grec Unicode"/>
          <w:b w:val="0"/>
          <w:bCs w:val="0"/>
          <w:i w:val="0"/>
          <w:iCs w:val="0"/>
          <w:vertAlign w:val="superscript"/>
        </w:rPr>
        <w:footnoteReference w:id="9"/>
      </w:r>
      <w:r>
        <w:rPr>
          <w:rtl w:val="0"/>
          <w:lang w:val="en-US"/>
        </w:rPr>
        <w:t xml:space="preserve"> but is not in his hand.</w:t>
      </w:r>
    </w:p>
    <w:p>
      <w:pPr>
        <w:pStyle w:val="Body"/>
      </w:pPr>
    </w:p>
    <w:p>
      <w:pPr>
        <w:pStyle w:val="Body"/>
      </w:pPr>
      <w:r>
        <w:rPr>
          <w:rStyle w:val="Hyperlink.0"/>
        </w:rPr>
        <w:fldChar w:fldCharType="begin" w:fldLock="0"/>
      </w:r>
      <w:r>
        <w:rPr>
          <w:rStyle w:val="Hyperlink.0"/>
        </w:rPr>
        <w:instrText xml:space="preserve"> HYPERLINK "https://papyri.info/ddbdp/p.prag%3B1%3B32"</w:instrText>
      </w:r>
      <w:r>
        <w:rPr>
          <w:rStyle w:val="Hyperlink.0"/>
        </w:rPr>
        <w:fldChar w:fldCharType="separate" w:fldLock="0"/>
      </w:r>
      <w:r>
        <w:rPr>
          <w:rStyle w:val="Hyperlink.0"/>
          <w:rtl w:val="0"/>
        </w:rPr>
        <w:t>P.Prag. 1 32</w:t>
      </w:r>
      <w:r>
        <w:rPr/>
        <w:fldChar w:fldCharType="end" w:fldLock="0"/>
      </w:r>
      <w:r>
        <w:rPr>
          <w:rtl w:val="0"/>
          <w:lang w:val="en-US"/>
        </w:rPr>
        <w:t xml:space="preserve"> (157) is dated six years after Alkimos</w:t>
      </w:r>
      <w:r>
        <w:rPr>
          <w:rtl w:val="1"/>
        </w:rPr>
        <w:t xml:space="preserve">’ </w:t>
      </w:r>
      <w:r>
        <w:rPr>
          <w:rtl w:val="0"/>
          <w:lang w:val="en-US"/>
        </w:rPr>
        <w:t>last known appearance. The contract opens with an epsilon that bears a striking resemblance to those in the dossier, but the contract does not seem to be in Alkimos</w:t>
      </w:r>
      <w:r>
        <w:rPr>
          <w:rtl w:val="1"/>
        </w:rPr>
        <w:t xml:space="preserve">’ </w:t>
      </w:r>
      <w:r>
        <w:rPr>
          <w:rtl w:val="0"/>
          <w:lang w:val="en-US"/>
        </w:rPr>
        <w:t>hand. This may be a sign that a successor had taken over, perhaps trained by Alkimos himself.</w:t>
      </w:r>
    </w:p>
    <w:p>
      <w:pPr>
        <w:pStyle w:val="Body"/>
      </w:pPr>
    </w:p>
    <w:p>
      <w:pPr>
        <w:pStyle w:val="Body"/>
      </w:pPr>
      <w:r>
        <w:rPr>
          <w:rStyle w:val="Hyperlink.0"/>
        </w:rPr>
        <w:fldChar w:fldCharType="begin" w:fldLock="0"/>
      </w:r>
      <w:r>
        <w:rPr>
          <w:rStyle w:val="Hyperlink.0"/>
        </w:rPr>
        <w:instrText xml:space="preserve"> HYPERLINK "https://papyri.info/ddbdp/p.louvre%3B2%3B113"</w:instrText>
      </w:r>
      <w:r>
        <w:rPr>
          <w:rStyle w:val="Hyperlink.0"/>
        </w:rPr>
        <w:fldChar w:fldCharType="separate" w:fldLock="0"/>
      </w:r>
      <w:r>
        <w:rPr>
          <w:rStyle w:val="Hyperlink.0"/>
          <w:rtl w:val="0"/>
          <w:lang w:val="fr-FR"/>
        </w:rPr>
        <w:t>P.Louvre 2</w:t>
      </w:r>
      <w:r>
        <w:rPr>
          <w:rStyle w:val="Hyperlink.0"/>
          <w:rtl w:val="0"/>
        </w:rPr>
        <w:t> </w:t>
      </w:r>
      <w:r>
        <w:rPr>
          <w:rStyle w:val="Hyperlink.0"/>
          <w:rtl w:val="0"/>
        </w:rPr>
        <w:t>113</w:t>
      </w:r>
      <w:r>
        <w:rPr/>
        <w:fldChar w:fldCharType="end" w:fldLock="0"/>
      </w:r>
      <w:r>
        <w:rPr>
          <w:rtl w:val="0"/>
          <w:lang w:val="en-US"/>
        </w:rPr>
        <w:t xml:space="preserve"> (159) is the next document written in Herakleia</w:t>
      </w:r>
      <w:r>
        <w:rPr>
          <w:rtl w:val="1"/>
        </w:rPr>
        <w:t>’</w:t>
      </w:r>
      <w:r>
        <w:rPr>
          <w:rtl w:val="0"/>
        </w:rPr>
        <w:t xml:space="preserve">s </w:t>
      </w:r>
      <w:r>
        <w:rPr>
          <w:rtl w:val="0"/>
          <w:lang w:val="pt-PT"/>
        </w:rPr>
        <w:t>grapheion</w:t>
      </w:r>
      <w:r>
        <w:rPr>
          <w:rtl w:val="0"/>
          <w:lang w:val="en-US"/>
        </w:rPr>
        <w:t xml:space="preserve"> but is not in the hand of Alkimos, Soterichos, or the writers of the previous documents. </w:t>
      </w:r>
      <w:bookmarkEnd w:id="0"/>
    </w:p>
    <w:p>
      <w:pPr>
        <w:pStyle w:val="Body"/>
      </w:pPr>
    </w:p>
    <w:p>
      <w:pPr>
        <w:pStyle w:val="Body"/>
      </w:pPr>
      <w:r>
        <w:rPr>
          <w:rtl w:val="0"/>
          <w:lang w:val="de-DE"/>
        </w:rPr>
        <w:t>#bibliography</w:t>
      </w:r>
    </w:p>
    <w:p>
      <w:pPr>
        <w:pStyle w:val="Body"/>
      </w:pPr>
    </w:p>
    <w:p>
      <w:pPr>
        <w:pStyle w:val="Body"/>
      </w:pPr>
      <w:r>
        <w:rPr>
          <w:rStyle w:val="Hyperlink.0"/>
        </w:rPr>
        <w:fldChar w:fldCharType="begin" w:fldLock="0"/>
      </w:r>
      <w:r>
        <w:rPr>
          <w:rStyle w:val="Hyperlink.0"/>
        </w:rPr>
        <w:instrText xml:space="preserve"> HYPERLINK "https://papyri.info/biblio/97479"</w:instrText>
      </w:r>
      <w:r>
        <w:rPr>
          <w:rStyle w:val="Hyperlink.0"/>
        </w:rPr>
        <w:fldChar w:fldCharType="separate" w:fldLock="0"/>
      </w:r>
      <w:r>
        <w:rPr>
          <w:rStyle w:val="Hyperlink.0"/>
          <w:rtl w:val="0"/>
          <w:lang w:val="en-US"/>
        </w:rPr>
        <w:t>Borrelli, B. and Claytor, W.G. (2024)</w:t>
      </w:r>
      <w:r>
        <w:rPr/>
        <w:fldChar w:fldCharType="end" w:fldLock="0"/>
      </w:r>
      <w:r>
        <w:rPr>
          <w:rtl w:val="0"/>
          <w:lang w:val="en-US"/>
        </w:rPr>
        <w:t xml:space="preserve"> “</w:t>
      </w:r>
      <w:r>
        <w:rPr>
          <w:rtl w:val="0"/>
          <w:lang w:val="en-US"/>
        </w:rPr>
        <w:t>A Dossier of Seed Orders and Farmers</w:t>
      </w:r>
      <w:r>
        <w:rPr>
          <w:rtl w:val="0"/>
          <w:lang w:val="en-US"/>
        </w:rPr>
        <w:t xml:space="preserve">’ </w:t>
      </w:r>
      <w:r>
        <w:rPr>
          <w:rtl w:val="0"/>
          <w:lang w:val="en-US"/>
        </w:rPr>
        <w:t>Oaths from Karanis,</w:t>
      </w:r>
      <w:r>
        <w:rPr>
          <w:rtl w:val="0"/>
          <w:lang w:val="en-US"/>
        </w:rPr>
        <w:t xml:space="preserve">” </w:t>
      </w:r>
      <w:r>
        <w:rPr>
          <w:rtl w:val="0"/>
          <w:lang w:val="en-US"/>
        </w:rPr>
        <w:t xml:space="preserve">Tyche </w:t>
      </w:r>
      <w:r>
        <w:rPr>
          <w:rtl w:val="0"/>
          <w:lang w:val="en-US"/>
        </w:rPr>
        <w:t>39: 11</w:t>
      </w:r>
      <w:r>
        <w:rPr>
          <w:rtl w:val="0"/>
          <w:lang w:val="en-US"/>
        </w:rPr>
        <w:t>–</w:t>
      </w:r>
      <w:r>
        <w:rPr>
          <w:rtl w:val="0"/>
          <w:lang w:val="en-US"/>
        </w:rPr>
        <w:t>55.</w:t>
      </w:r>
    </w:p>
    <w:p>
      <w:pPr>
        <w:pStyle w:val="Body"/>
        <w:rPr>
          <w:lang w:val="en-US"/>
        </w:rPr>
      </w:pPr>
    </w:p>
    <w:p>
      <w:pPr>
        <w:pStyle w:val="Body"/>
      </w:pPr>
      <w:r>
        <w:rPr>
          <w:rStyle w:val="Hyperlink.2"/>
        </w:rPr>
        <w:fldChar w:fldCharType="begin" w:fldLock="0"/>
      </w:r>
      <w:r>
        <w:rPr>
          <w:rStyle w:val="Hyperlink.2"/>
        </w:rPr>
        <w:instrText xml:space="preserve"> HYPERLINK "https://papyri.info/biblio/95843"</w:instrText>
      </w:r>
      <w:r>
        <w:rPr>
          <w:rStyle w:val="Hyperlink.2"/>
        </w:rPr>
        <w:fldChar w:fldCharType="separate" w:fldLock="0"/>
      </w:r>
      <w:r>
        <w:rPr>
          <w:rStyle w:val="Hyperlink.2"/>
          <w:rtl w:val="0"/>
          <w:lang w:val="en-US"/>
        </w:rPr>
        <w:t>Claytor, W.G. (2020)</w:t>
      </w:r>
      <w:r>
        <w:rPr/>
        <w:fldChar w:fldCharType="end" w:fldLock="0"/>
      </w:r>
      <w:r>
        <w:rPr>
          <w:rtl w:val="0"/>
          <w:lang w:val="en-US"/>
        </w:rPr>
        <w:t xml:space="preserve"> “</w:t>
      </w:r>
      <w:r>
        <w:rPr>
          <w:rtl w:val="0"/>
          <w:lang w:val="en-US"/>
        </w:rPr>
        <w:t>The Central Manager of the Arsinoite Notariate in the Late Second Century,</w:t>
      </w:r>
      <w:r>
        <w:rPr>
          <w:rtl w:val="0"/>
          <w:lang w:val="en-US"/>
        </w:rPr>
        <w:t xml:space="preserve">” </w:t>
      </w:r>
      <w:r>
        <w:rPr>
          <w:rtl w:val="0"/>
          <w:lang w:val="en-US"/>
        </w:rPr>
        <w:t xml:space="preserve">Archiv </w:t>
      </w:r>
      <w:r>
        <w:rPr>
          <w:rtl w:val="0"/>
          <w:lang w:val="en-US"/>
        </w:rPr>
        <w:t>66: 323</w:t>
      </w:r>
      <w:r>
        <w:rPr>
          <w:rtl w:val="0"/>
          <w:lang w:val="en-US"/>
        </w:rPr>
        <w:t>–</w:t>
      </w:r>
      <w:r>
        <w:rPr>
          <w:rtl w:val="0"/>
          <w:lang w:val="en-US"/>
        </w:rPr>
        <w:t>338.</w:t>
      </w:r>
    </w:p>
    <w:p>
      <w:pPr>
        <w:pStyle w:val="Body"/>
        <w:rPr>
          <w:lang w:val="en-US"/>
        </w:rPr>
      </w:pPr>
    </w:p>
    <w:p>
      <w:pPr>
        <w:pStyle w:val="Body"/>
      </w:pPr>
      <w:r>
        <w:rPr>
          <w:rStyle w:val="Hyperlink.0"/>
        </w:rPr>
        <w:fldChar w:fldCharType="begin" w:fldLock="0"/>
      </w:r>
      <w:r>
        <w:rPr>
          <w:rStyle w:val="Hyperlink.0"/>
        </w:rPr>
        <w:instrText xml:space="preserve"> HYPERLINK "https://papyri.info/biblio/59788"</w:instrText>
      </w:r>
      <w:r>
        <w:rPr>
          <w:rStyle w:val="Hyperlink.0"/>
        </w:rPr>
        <w:fldChar w:fldCharType="separate" w:fldLock="0"/>
      </w:r>
      <w:r>
        <w:rPr>
          <w:rStyle w:val="Hyperlink.0"/>
          <w:rtl w:val="0"/>
        </w:rPr>
        <w:t>Cowey, J.M.S. et al. (1989)</w:t>
      </w:r>
      <w:r>
        <w:rPr/>
        <w:fldChar w:fldCharType="end" w:fldLock="0"/>
      </w:r>
      <w:r>
        <w:rPr>
          <w:rtl w:val="0"/>
        </w:rPr>
        <w:t xml:space="preserve"> </w:t>
      </w:r>
      <w:r>
        <w:rPr>
          <w:rtl w:val="0"/>
          <w:lang w:val="en-US"/>
        </w:rPr>
        <w:t>“</w:t>
      </w:r>
      <w:r>
        <w:rPr>
          <w:rtl w:val="0"/>
          <w:lang w:val="en-US"/>
        </w:rPr>
        <w:t>Bemerkungen zu P.Prag. I,</w:t>
      </w:r>
      <w:r>
        <w:rPr>
          <w:rtl w:val="0"/>
          <w:lang w:val="en-US"/>
        </w:rPr>
        <w:t xml:space="preserve">” </w:t>
      </w:r>
      <w:r>
        <w:rPr>
          <w:rtl w:val="0"/>
          <w:lang w:val="en-US"/>
        </w:rPr>
        <w:t xml:space="preserve">ZPE 77: </w:t>
      </w:r>
      <w:r>
        <w:rPr>
          <w:rtl w:val="0"/>
        </w:rPr>
        <w:t>216</w:t>
      </w:r>
      <w:r>
        <w:rPr>
          <w:rtl w:val="0"/>
        </w:rPr>
        <w:t>–</w:t>
      </w:r>
      <w:r>
        <w:rPr>
          <w:rtl w:val="0"/>
        </w:rPr>
        <w:t>224.</w:t>
      </w:r>
    </w:p>
    <w:p>
      <w:pPr>
        <w:pStyle w:val="Body"/>
        <w:rPr>
          <w:lang w:val="en-US"/>
        </w:rPr>
      </w:pPr>
    </w:p>
    <w:p>
      <w:pPr>
        <w:pStyle w:val="Body"/>
      </w:pPr>
      <w:r>
        <w:rPr>
          <w:rStyle w:val="Hyperlink.2"/>
        </w:rPr>
        <w:fldChar w:fldCharType="begin" w:fldLock="0"/>
      </w:r>
      <w:r>
        <w:rPr>
          <w:rStyle w:val="Hyperlink.2"/>
        </w:rPr>
        <w:instrText xml:space="preserve"> HYPERLINK "https://papyri.info/biblio/56493"</w:instrText>
      </w:r>
      <w:r>
        <w:rPr>
          <w:rStyle w:val="Hyperlink.2"/>
        </w:rPr>
        <w:fldChar w:fldCharType="separate" w:fldLock="0"/>
      </w:r>
      <w:r>
        <w:rPr>
          <w:rStyle w:val="Hyperlink.2"/>
          <w:rtl w:val="0"/>
          <w:lang w:val="en-US"/>
        </w:rPr>
        <w:t>Hagedorn, D. (1984)</w:t>
      </w:r>
      <w:r>
        <w:rPr/>
        <w:fldChar w:fldCharType="end" w:fldLock="0"/>
      </w:r>
      <w:r>
        <w:rPr>
          <w:rtl w:val="0"/>
          <w:lang w:val="en-US"/>
        </w:rPr>
        <w:t xml:space="preserve"> “</w:t>
      </w:r>
      <w:r>
        <w:rPr>
          <w:rtl w:val="0"/>
          <w:lang w:val="en-US"/>
        </w:rPr>
        <w:t>Bemerkungen zu Urkunden,</w:t>
      </w:r>
      <w:r>
        <w:rPr>
          <w:rtl w:val="0"/>
          <w:lang w:val="en-US"/>
        </w:rPr>
        <w:t xml:space="preserve">” </w:t>
      </w:r>
      <w:r>
        <w:rPr>
          <w:rtl w:val="0"/>
          <w:lang w:val="en-US"/>
        </w:rPr>
        <w:t>ZPE</w:t>
      </w:r>
      <w:r>
        <w:rPr>
          <w:rtl w:val="0"/>
          <w:lang w:val="en-US"/>
        </w:rPr>
        <w:t xml:space="preserve"> 57: 82</w:t>
      </w:r>
      <w:r>
        <w:rPr>
          <w:rtl w:val="0"/>
          <w:lang w:val="en-US"/>
        </w:rPr>
        <w:t>–</w:t>
      </w:r>
      <w:r>
        <w:rPr>
          <w:rtl w:val="0"/>
          <w:lang w:val="en-US"/>
        </w:rPr>
        <w:t>84</w:t>
      </w:r>
      <w:r>
        <w:rPr>
          <w:rtl w:val="0"/>
        </w:rPr>
        <w:t>.</w:t>
      </w:r>
    </w:p>
    <w:p>
      <w:pPr>
        <w:pStyle w:val="Body"/>
      </w:pPr>
    </w:p>
    <w:p>
      <w:pPr>
        <w:pStyle w:val="Body"/>
      </w:pPr>
      <w:r>
        <w:rPr>
          <w:rStyle w:val="Hyperlink.0"/>
        </w:rPr>
        <w:fldChar w:fldCharType="begin" w:fldLock="0"/>
      </w:r>
      <w:r>
        <w:rPr>
          <w:rStyle w:val="Hyperlink.0"/>
        </w:rPr>
        <w:instrText xml:space="preserve"> HYPERLINK "https://papyri.info/biblio/97481"</w:instrText>
      </w:r>
      <w:r>
        <w:rPr>
          <w:rStyle w:val="Hyperlink.0"/>
        </w:rPr>
        <w:fldChar w:fldCharType="separate" w:fldLock="0"/>
      </w:r>
      <w:r>
        <w:rPr>
          <w:rStyle w:val="Hyperlink.0"/>
          <w:rtl w:val="0"/>
          <w:lang w:val="it-IT"/>
        </w:rPr>
        <w:t>Langellotti, M. (2020)</w:t>
      </w:r>
      <w:r>
        <w:rPr/>
        <w:fldChar w:fldCharType="end" w:fldLock="0"/>
      </w:r>
      <w:r>
        <w:rPr>
          <w:rtl w:val="1"/>
          <w:lang w:val="ar-SA" w:bidi="ar-SA"/>
        </w:rPr>
        <w:t xml:space="preserve"> “</w:t>
      </w:r>
      <w:r>
        <w:rPr>
          <w:rtl w:val="0"/>
          <w:lang w:val="nl-NL"/>
        </w:rPr>
        <w:t>Record-Offices in Villages in Roman Egypt,</w:t>
      </w:r>
      <w:r>
        <w:rPr>
          <w:rtl w:val="0"/>
        </w:rPr>
        <w:t xml:space="preserve">” </w:t>
      </w:r>
      <w:r>
        <w:rPr>
          <w:rtl w:val="0"/>
          <w:lang w:val="en-US"/>
        </w:rPr>
        <w:t xml:space="preserve">in M. Langellotti and D. Rathbone (eds), </w:t>
      </w:r>
      <w:r>
        <w:rPr>
          <w:rtl w:val="0"/>
          <w:lang w:val="en-US"/>
        </w:rPr>
        <w:t>Village Institutions in Egypt in the Roman to Early Arab Periods</w:t>
      </w:r>
      <w:r>
        <w:rPr>
          <w:rtl w:val="0"/>
        </w:rPr>
        <w:t>,</w:t>
      </w:r>
      <w:r>
        <w:rPr>
          <w:rtl w:val="0"/>
        </w:rPr>
        <w:t xml:space="preserve"> </w:t>
      </w:r>
      <w:r>
        <w:rPr>
          <w:rtl w:val="0"/>
        </w:rPr>
        <w:t>Oxford: 94</w:t>
      </w:r>
      <w:r>
        <w:rPr>
          <w:rtl w:val="0"/>
        </w:rPr>
        <w:t>–</w:t>
      </w:r>
      <w:r>
        <w:rPr>
          <w:rtl w:val="0"/>
        </w:rPr>
        <w:t>108.</w:t>
      </w:r>
    </w:p>
    <w:sectPr>
      <w:headerReference w:type="default" r:id="rId4"/>
      <w:footerReference w:type="default" r:id="rId5"/>
      <w:pgSz w:w="11900" w:h="16840" w:orient="portrait"/>
      <w:pgMar w:top="1417" w:right="1417" w:bottom="1134" w:left="1417"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IFAO-Grec Unicod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text"/>
      </w:pPr>
      <w:r>
        <w:rPr>
          <w:vertAlign w:val="superscript"/>
        </w:rPr>
        <w:footnoteRef/>
      </w:r>
      <w:r>
        <w:rPr>
          <w:rtl w:val="0"/>
          <w:lang w:val="en-US"/>
        </w:rPr>
        <w:t xml:space="preserve"> </w:t>
      </w:r>
      <w:r>
        <w:rPr>
          <w:rtl w:val="0"/>
          <w:lang w:val="de-DE"/>
        </w:rPr>
        <w:t>Part of a large group inventoried as P.Mich. inv. 6111</w:t>
      </w:r>
      <w:r>
        <w:rPr>
          <w:rtl w:val="0"/>
          <w:lang w:val="de-DE"/>
        </w:rPr>
        <w:t>–</w:t>
      </w:r>
      <w:r>
        <w:rPr>
          <w:rtl w:val="0"/>
          <w:lang w:val="de-DE"/>
        </w:rPr>
        <w:t xml:space="preserve">6135, most of which were returned to Egypt and remain unpublished: on these papyri and their archaeological context, see </w:t>
      </w:r>
      <w:r>
        <w:rPr>
          <w:rStyle w:val="Hyperlink.1"/>
          <w:lang w:val="de-DE"/>
        </w:rPr>
        <w:fldChar w:fldCharType="begin" w:fldLock="0"/>
      </w:r>
      <w:r>
        <w:rPr>
          <w:rStyle w:val="Hyperlink.1"/>
          <w:lang w:val="de-DE"/>
        </w:rPr>
        <w:instrText xml:space="preserve"> HYPERLINK "https://papyri.info/biblio/95843"</w:instrText>
      </w:r>
      <w:r>
        <w:rPr>
          <w:rStyle w:val="Hyperlink.1"/>
          <w:lang w:val="de-DE"/>
        </w:rPr>
        <w:fldChar w:fldCharType="separate" w:fldLock="0"/>
      </w:r>
      <w:r>
        <w:rPr>
          <w:rStyle w:val="Hyperlink.1"/>
          <w:rtl w:val="0"/>
          <w:lang w:val="de-DE"/>
        </w:rPr>
        <w:t>Claytor 2020</w:t>
      </w:r>
      <w:r>
        <w:rPr/>
        <w:fldChar w:fldCharType="end" w:fldLock="0"/>
      </w:r>
      <w:r>
        <w:rPr>
          <w:rtl w:val="0"/>
          <w:lang w:val="de-DE"/>
        </w:rPr>
        <w:t>: 325</w:t>
      </w:r>
      <w:r>
        <w:rPr>
          <w:rtl w:val="0"/>
          <w:lang w:val="de-DE"/>
        </w:rPr>
        <w:t>–</w:t>
      </w:r>
      <w:r>
        <w:rPr>
          <w:rtl w:val="0"/>
          <w:lang w:val="de-DE"/>
        </w:rPr>
        <w:t xml:space="preserve">327 (N.B. the papyrus published in this article is </w:t>
      </w:r>
      <w:r>
        <w:rPr>
          <w:rStyle w:val="Hyperlink.1"/>
          <w:lang w:val="de-DE"/>
        </w:rPr>
        <w:fldChar w:fldCharType="begin" w:fldLock="0"/>
      </w:r>
      <w:r>
        <w:rPr>
          <w:rStyle w:val="Hyperlink.1"/>
          <w:lang w:val="de-DE"/>
        </w:rPr>
        <w:instrText xml:space="preserve"> HYPERLINK "https://papyri.info/ddbdp/apf%3B66%3B328"</w:instrText>
      </w:r>
      <w:r>
        <w:rPr>
          <w:rStyle w:val="Hyperlink.1"/>
          <w:lang w:val="de-DE"/>
        </w:rPr>
        <w:fldChar w:fldCharType="separate" w:fldLock="0"/>
      </w:r>
      <w:r>
        <w:rPr>
          <w:rStyle w:val="Hyperlink.1"/>
          <w:rtl w:val="0"/>
          <w:lang w:val="de-DE"/>
        </w:rPr>
        <w:t>P.Mich. inv. 6134d</w:t>
      </w:r>
      <w:r>
        <w:rPr/>
        <w:fldChar w:fldCharType="end" w:fldLock="0"/>
      </w:r>
      <w:r>
        <w:rPr>
          <w:rtl w:val="0"/>
          <w:lang w:val="de-DE"/>
        </w:rPr>
        <w:t>, not 613d as printed on pp. 325 and 329).</w:t>
      </w:r>
    </w:p>
  </w:footnote>
  <w:footnote w:id="2">
    <w:p>
      <w:pPr>
        <w:pStyle w:val="footnote text"/>
      </w:pPr>
      <w:r>
        <w:rPr>
          <w:vertAlign w:val="superscript"/>
        </w:rPr>
        <w:footnoteRef/>
      </w:r>
      <w:r>
        <w:rPr>
          <w:rFonts w:cs="Arial Unicode MS" w:eastAsia="Arial Unicode MS"/>
          <w:rtl w:val="0"/>
          <w:lang w:val="en-US"/>
        </w:rPr>
        <w:t xml:space="preserve"> Strictly speaking, the </w:t>
      </w:r>
      <w:r>
        <w:rPr>
          <w:rFonts w:cs="Arial Unicode MS" w:eastAsia="Arial Unicode MS"/>
          <w:rtl w:val="0"/>
          <w:lang w:val="en-US"/>
        </w:rPr>
        <w:t xml:space="preserve">grapheion </w:t>
      </w:r>
      <w:r>
        <w:rPr>
          <w:rFonts w:cs="Arial Unicode MS" w:eastAsia="Arial Unicode MS"/>
          <w:rtl w:val="0"/>
          <w:lang w:val="en-US"/>
        </w:rPr>
        <w:t xml:space="preserve">is not previously mentioned in these documents; the phrase is used in reference to </w:t>
      </w:r>
      <w:r>
        <w:rPr>
          <w:rFonts w:cs="Arial Unicode MS" w:eastAsia="Arial Unicode MS" w:hint="default"/>
          <w:rtl w:val="0"/>
          <w:lang w:val="en-US"/>
        </w:rPr>
        <w:t xml:space="preserve">ἐν Ἡρακλείᾳ </w:t>
      </w:r>
      <w:r>
        <w:rPr>
          <w:rFonts w:cs="Arial Unicode MS" w:eastAsia="Arial Unicode MS"/>
          <w:rtl w:val="0"/>
          <w:lang w:val="en-US"/>
        </w:rPr>
        <w:t xml:space="preserve">in the opening protocol. The phrase </w:t>
      </w:r>
      <w:r>
        <w:rPr>
          <w:rFonts w:cs="Arial Unicode MS" w:eastAsia="Arial Unicode MS" w:hint="default"/>
          <w:rtl w:val="0"/>
          <w:lang w:val="en-US"/>
        </w:rPr>
        <w:t xml:space="preserve">διὰ τοῦ αὐτοῦ γραφείου </w:t>
      </w:r>
      <w:r>
        <w:rPr>
          <w:rFonts w:cs="Arial Unicode MS" w:eastAsia="Arial Unicode MS"/>
          <w:rtl w:val="0"/>
          <w:lang w:val="en-US"/>
        </w:rPr>
        <w:t>is frequently used in the same way.</w:t>
      </w:r>
    </w:p>
  </w:footnote>
  <w:footnote w:id="3">
    <w:p>
      <w:pPr>
        <w:pStyle w:val="footnote text"/>
      </w:pPr>
      <w:r>
        <w:rPr>
          <w:vertAlign w:val="superscript"/>
        </w:rPr>
        <w:footnoteRef/>
      </w:r>
      <w:r>
        <w:rPr>
          <w:rFonts w:cs="Arial Unicode MS" w:eastAsia="Arial Unicode MS"/>
          <w:rtl w:val="0"/>
          <w:lang w:val="en-US"/>
        </w:rPr>
        <w:t xml:space="preserve"> Shortly after, notarial services would be concentrated in the metropolis: </w:t>
      </w:r>
      <w:r>
        <w:rPr>
          <w:rStyle w:val="Hyperlink.0"/>
        </w:rPr>
        <w:fldChar w:fldCharType="begin" w:fldLock="0"/>
      </w:r>
      <w:r>
        <w:rPr>
          <w:rStyle w:val="Hyperlink.0"/>
        </w:rPr>
        <w:instrText xml:space="preserve"> HYPERLINK "https://papyri.info/biblio/95843"</w:instrText>
      </w:r>
      <w:r>
        <w:rPr>
          <w:rStyle w:val="Hyperlink.0"/>
        </w:rPr>
        <w:fldChar w:fldCharType="separate" w:fldLock="0"/>
      </w:r>
      <w:r>
        <w:rPr>
          <w:rStyle w:val="Hyperlink.0"/>
          <w:rFonts w:cs="Arial Unicode MS" w:eastAsia="Arial Unicode MS"/>
          <w:rtl w:val="0"/>
        </w:rPr>
        <w:t>Claytor 2020</w:t>
      </w:r>
      <w:r>
        <w:rPr/>
        <w:fldChar w:fldCharType="end" w:fldLock="0"/>
      </w:r>
      <w:r>
        <w:rPr>
          <w:rFonts w:cs="Arial Unicode MS" w:eastAsia="Arial Unicode MS"/>
          <w:rtl w:val="0"/>
          <w:lang w:val="en-US"/>
        </w:rPr>
        <w:t>.</w:t>
      </w:r>
    </w:p>
  </w:footnote>
  <w:footnote w:id="4">
    <w:p>
      <w:pPr>
        <w:pStyle w:val="footnote text"/>
      </w:pPr>
      <w:r>
        <w:rPr>
          <w:vertAlign w:val="superscript"/>
        </w:rPr>
        <w:footnoteRef/>
      </w:r>
      <w:r>
        <w:rPr>
          <w:rFonts w:cs="Arial Unicode MS" w:eastAsia="Arial Unicode MS"/>
          <w:rtl w:val="0"/>
          <w:lang w:val="en-US"/>
        </w:rPr>
        <w:t xml:space="preserve"> The writer does switch pens after </w:t>
      </w:r>
      <w:r>
        <w:rPr>
          <w:rFonts w:cs="Arial Unicode MS" w:eastAsia="Arial Unicode MS" w:hint="default"/>
          <w:rtl w:val="0"/>
          <w:lang w:val="en-US"/>
        </w:rPr>
        <w:t>τεσσαράκοντα </w:t>
      </w:r>
      <w:r>
        <w:rPr>
          <w:rFonts w:cs="Arial Unicode MS" w:eastAsia="Arial Unicode MS"/>
          <w:rtl w:val="0"/>
          <w:lang w:val="en-US"/>
        </w:rPr>
        <w:t>in l. 21 due to the bleeding of ink seen in previous lines.</w:t>
      </w:r>
    </w:p>
  </w:footnote>
  <w:footnote w:id="5">
    <w:p>
      <w:pPr>
        <w:pStyle w:val="footnote text"/>
      </w:pPr>
      <w:r>
        <w:rPr>
          <w:vertAlign w:val="superscript"/>
        </w:rPr>
        <w:footnoteRef/>
      </w:r>
      <w:r>
        <w:rPr>
          <w:rFonts w:cs="Arial Unicode MS" w:eastAsia="Arial Unicode MS"/>
          <w:rtl w:val="0"/>
          <w:lang w:val="en-US"/>
        </w:rPr>
        <w:t xml:space="preserve"> [</w:t>
      </w:r>
      <w:r>
        <w:rPr>
          <w:rFonts w:cs="Arial Unicode MS" w:eastAsia="Arial Unicode MS" w:hint="default"/>
          <w:rtl w:val="0"/>
          <w:lang w:val="en-US"/>
        </w:rPr>
        <w:t>ἐντέτακ</w:t>
      </w:r>
      <w:r>
        <w:rPr>
          <w:rFonts w:cs="Arial Unicode MS" w:eastAsia="Arial Unicode MS"/>
          <w:rtl w:val="0"/>
          <w:lang w:val="en-US"/>
        </w:rPr>
        <w:t>]</w:t>
      </w:r>
      <w:r>
        <w:rPr>
          <w:rFonts w:cs="Arial Unicode MS" w:eastAsia="Arial Unicode MS" w:hint="default"/>
          <w:rtl w:val="0"/>
          <w:lang w:val="en-US"/>
        </w:rPr>
        <w:t>ται διὰ τοῦ ἐ̣</w:t>
      </w:r>
      <w:r>
        <w:rPr>
          <w:rFonts w:cs="Arial Unicode MS" w:eastAsia="Arial Unicode MS"/>
          <w:rtl w:val="0"/>
          <w:lang w:val="en-US"/>
        </w:rPr>
        <w:t>[</w:t>
      </w:r>
      <w:r>
        <w:rPr>
          <w:rFonts w:cs="Arial Unicode MS" w:eastAsia="Arial Unicode MS" w:hint="default"/>
          <w:rtl w:val="0"/>
          <w:lang w:val="en-US"/>
        </w:rPr>
        <w:t>ν Ἡ</w:t>
      </w:r>
      <w:r>
        <w:rPr>
          <w:rFonts w:cs="Arial Unicode MS" w:eastAsia="Arial Unicode MS"/>
          <w:rtl w:val="0"/>
          <w:lang w:val="en-US"/>
        </w:rPr>
        <w:t>]</w:t>
      </w:r>
      <w:r>
        <w:rPr>
          <w:rFonts w:cs="Arial Unicode MS" w:eastAsia="Arial Unicode MS" w:hint="default"/>
          <w:rtl w:val="0"/>
          <w:lang w:val="en-US"/>
        </w:rPr>
        <w:t>ρ̣α̣κ̣</w:t>
      </w:r>
      <w:r>
        <w:rPr>
          <w:rFonts w:cs="Arial Unicode MS" w:eastAsia="Arial Unicode MS"/>
          <w:rtl w:val="0"/>
          <w:lang w:val="en-US"/>
        </w:rPr>
        <w:t>(</w:t>
      </w:r>
      <w:r>
        <w:rPr>
          <w:rFonts w:cs="Arial Unicode MS" w:eastAsia="Arial Unicode MS" w:hint="default"/>
          <w:rtl w:val="0"/>
          <w:lang w:val="en-US"/>
        </w:rPr>
        <w:t>λείᾳ</w:t>
      </w:r>
      <w:r>
        <w:rPr>
          <w:rFonts w:cs="Arial Unicode MS" w:eastAsia="Arial Unicode MS"/>
          <w:rtl w:val="0"/>
          <w:lang w:val="en-US"/>
        </w:rPr>
        <w:t xml:space="preserve">) </w:t>
      </w:r>
      <w:r>
        <w:rPr>
          <w:rFonts w:cs="Arial Unicode MS" w:eastAsia="Arial Unicode MS" w:hint="default"/>
          <w:rtl w:val="0"/>
          <w:lang w:val="en-US"/>
        </w:rPr>
        <w:t>γ̣ρ̣</w:t>
      </w:r>
      <w:r>
        <w:rPr>
          <w:rFonts w:cs="Arial Unicode MS" w:eastAsia="Arial Unicode MS"/>
          <w:rtl w:val="0"/>
          <w:lang w:val="en-US"/>
        </w:rPr>
        <w:t>(</w:t>
      </w:r>
      <w:r>
        <w:rPr>
          <w:rFonts w:cs="Arial Unicode MS" w:eastAsia="Arial Unicode MS" w:hint="default"/>
          <w:rtl w:val="0"/>
          <w:lang w:val="en-US"/>
        </w:rPr>
        <w:t>αφείου</w:t>
      </w:r>
      <w:r>
        <w:rPr>
          <w:rFonts w:cs="Arial Unicode MS" w:eastAsia="Arial Unicode MS"/>
          <w:rtl w:val="0"/>
          <w:lang w:val="en-US"/>
        </w:rPr>
        <w:t>) ed. pr.</w:t>
      </w:r>
    </w:p>
  </w:footnote>
  <w:footnote w:id="6">
    <w:p>
      <w:pPr>
        <w:pStyle w:val="footnote text"/>
      </w:pPr>
      <w:r>
        <w:rPr>
          <w:vertAlign w:val="superscript"/>
        </w:rPr>
        <w:footnoteRef/>
      </w:r>
      <w:r>
        <w:rPr>
          <w:rFonts w:cs="Arial Unicode MS" w:eastAsia="Arial Unicode MS"/>
          <w:rtl w:val="0"/>
          <w:lang w:val="en-US"/>
        </w:rPr>
        <w:t xml:space="preserve"> For an overview of the village </w:t>
      </w:r>
      <w:r>
        <w:rPr>
          <w:rFonts w:cs="Arial Unicode MS" w:eastAsia="Arial Unicode MS"/>
          <w:rtl w:val="0"/>
          <w:lang w:val="en-US"/>
        </w:rPr>
        <w:t>grapheion</w:t>
      </w:r>
      <w:r>
        <w:rPr>
          <w:rFonts w:cs="Arial Unicode MS" w:eastAsia="Arial Unicode MS"/>
          <w:rtl w:val="0"/>
          <w:lang w:val="en-US"/>
        </w:rPr>
        <w:t xml:space="preserve">, see </w:t>
      </w:r>
      <w:r>
        <w:rPr>
          <w:rStyle w:val="Hyperlink.0"/>
        </w:rPr>
        <w:fldChar w:fldCharType="begin" w:fldLock="0"/>
      </w:r>
      <w:r>
        <w:rPr>
          <w:rStyle w:val="Hyperlink.0"/>
        </w:rPr>
        <w:instrText xml:space="preserve"> HYPERLINK "https://papyri.info/biblio/97481"</w:instrText>
      </w:r>
      <w:r>
        <w:rPr>
          <w:rStyle w:val="Hyperlink.0"/>
        </w:rPr>
        <w:fldChar w:fldCharType="separate" w:fldLock="0"/>
      </w:r>
      <w:r>
        <w:rPr>
          <w:rStyle w:val="Hyperlink.0"/>
          <w:rFonts w:cs="Arial Unicode MS" w:eastAsia="Arial Unicode MS"/>
          <w:rtl w:val="0"/>
        </w:rPr>
        <w:t>Langellotti 2020</w:t>
      </w:r>
      <w:r>
        <w:rPr/>
        <w:fldChar w:fldCharType="end" w:fldLock="0"/>
      </w:r>
      <w:r>
        <w:rPr>
          <w:rFonts w:cs="Arial Unicode MS" w:eastAsia="Arial Unicode MS"/>
          <w:rtl w:val="0"/>
          <w:lang w:val="en-US"/>
        </w:rPr>
        <w:t>.</w:t>
      </w:r>
    </w:p>
  </w:footnote>
  <w:footnote w:id="7">
    <w:p>
      <w:pPr>
        <w:pStyle w:val="footnote text"/>
      </w:pPr>
      <w:r>
        <w:rPr>
          <w:vertAlign w:val="superscript"/>
        </w:rPr>
        <w:footnoteRef/>
      </w:r>
      <w:r>
        <w:rPr>
          <w:rFonts w:cs="Arial Unicode MS" w:eastAsia="Arial Unicode MS"/>
          <w:rtl w:val="0"/>
          <w:lang w:val="en-US"/>
        </w:rPr>
        <w:t xml:space="preserve"> </w:t>
      </w:r>
      <w:r>
        <w:rPr>
          <w:rStyle w:val="Hyperlink.0"/>
        </w:rPr>
        <w:fldChar w:fldCharType="begin" w:fldLock="0"/>
      </w:r>
      <w:r>
        <w:rPr>
          <w:rStyle w:val="Hyperlink.0"/>
        </w:rPr>
        <w:instrText xml:space="preserve"> HYPERLINK "https://papyri.info/biblio/97479"</w:instrText>
      </w:r>
      <w:r>
        <w:rPr>
          <w:rStyle w:val="Hyperlink.0"/>
        </w:rPr>
        <w:fldChar w:fldCharType="separate" w:fldLock="0"/>
      </w:r>
      <w:r>
        <w:rPr>
          <w:rStyle w:val="Hyperlink.0"/>
          <w:rFonts w:cs="Arial Unicode MS" w:eastAsia="Arial Unicode MS"/>
          <w:rtl w:val="0"/>
        </w:rPr>
        <w:t>Borrelli and Claytor 2024</w:t>
      </w:r>
      <w:r>
        <w:rPr/>
        <w:fldChar w:fldCharType="end" w:fldLock="0"/>
      </w:r>
      <w:r>
        <w:rPr>
          <w:rFonts w:cs="Arial Unicode MS" w:eastAsia="Arial Unicode MS"/>
          <w:rtl w:val="0"/>
          <w:lang w:val="en-US"/>
        </w:rPr>
        <w:t>.</w:t>
      </w:r>
    </w:p>
  </w:footnote>
  <w:footnote w:id="8">
    <w:p>
      <w:pPr>
        <w:pStyle w:val="footnote text"/>
      </w:pPr>
      <w:r>
        <w:rPr>
          <w:vertAlign w:val="superscript"/>
        </w:rPr>
        <w:footnoteRef/>
      </w:r>
      <w:r>
        <w:rPr>
          <w:rFonts w:cs="Arial Unicode MS" w:eastAsia="Arial Unicode MS"/>
          <w:rtl w:val="0"/>
          <w:lang w:val="en-US"/>
        </w:rPr>
        <w:t xml:space="preserve"> Cf. </w:t>
      </w:r>
      <w:r>
        <w:rPr>
          <w:rStyle w:val="Hyperlink.0"/>
        </w:rPr>
        <w:fldChar w:fldCharType="begin" w:fldLock="0"/>
      </w:r>
      <w:r>
        <w:rPr>
          <w:rStyle w:val="Hyperlink.0"/>
        </w:rPr>
        <w:instrText xml:space="preserve"> HYPERLINK "https://papyri.info/ddbdp/p.mich%3B11%3B603"</w:instrText>
      </w:r>
      <w:r>
        <w:rPr>
          <w:rStyle w:val="Hyperlink.0"/>
        </w:rPr>
        <w:fldChar w:fldCharType="separate" w:fldLock="0"/>
      </w:r>
      <w:r>
        <w:rPr>
          <w:rStyle w:val="Hyperlink.0"/>
          <w:rFonts w:cs="Arial Unicode MS" w:eastAsia="Arial Unicode MS"/>
          <w:rtl w:val="0"/>
        </w:rPr>
        <w:t>P.Mich. 11</w:t>
      </w:r>
      <w:r>
        <w:rPr>
          <w:rStyle w:val="Hyperlink.0"/>
          <w:rFonts w:cs="Arial Unicode MS" w:eastAsia="Arial Unicode MS" w:hint="default"/>
          <w:rtl w:val="0"/>
        </w:rPr>
        <w:t> </w:t>
      </w:r>
      <w:r>
        <w:rPr>
          <w:rStyle w:val="Hyperlink.0"/>
          <w:rFonts w:cs="Arial Unicode MS" w:eastAsia="Arial Unicode MS"/>
          <w:rtl w:val="0"/>
        </w:rPr>
        <w:t>603</w:t>
      </w:r>
      <w:r>
        <w:rPr/>
        <w:fldChar w:fldCharType="end" w:fldLock="0"/>
      </w:r>
      <w:r>
        <w:rPr>
          <w:rFonts w:cs="Arial Unicode MS" w:eastAsia="Arial Unicode MS"/>
          <w:rtl w:val="0"/>
          <w:lang w:val="en-US"/>
        </w:rPr>
        <w:t xml:space="preserve"> (Arsin., 134), a work contract for nine secretaries (</w:t>
      </w:r>
      <w:r>
        <w:rPr>
          <w:rFonts w:cs="Arial Unicode MS" w:eastAsia="Arial Unicode MS" w:hint="default"/>
          <w:rtl w:val="0"/>
          <w:lang w:val="en-US"/>
        </w:rPr>
        <w:t>γραμματεῖς</w:t>
      </w:r>
      <w:r>
        <w:rPr>
          <w:rFonts w:cs="Arial Unicode MS" w:eastAsia="Arial Unicode MS"/>
          <w:rtl w:val="0"/>
          <w:lang w:val="en-US"/>
        </w:rPr>
        <w:t xml:space="preserve">) employed by the </w:t>
      </w:r>
      <w:r>
        <w:rPr>
          <w:rFonts w:cs="Arial Unicode MS" w:eastAsia="Arial Unicode MS" w:hint="default"/>
          <w:rtl w:val="0"/>
          <w:lang w:val="en-US"/>
        </w:rPr>
        <w:t>γραμματεῖς μητροπόλεως</w:t>
      </w:r>
      <w:r>
        <w:rPr>
          <w:rFonts w:cs="Arial Unicode MS" w:eastAsia="Arial Unicode MS"/>
          <w:rtl w:val="0"/>
          <w:lang w:val="en-US"/>
        </w:rPr>
        <w:t>.</w:t>
      </w:r>
    </w:p>
  </w:footnote>
  <w:footnote w:id="9">
    <w:p>
      <w:pPr>
        <w:pStyle w:val="footnote text"/>
      </w:pPr>
      <w:r>
        <w:rPr>
          <w:vertAlign w:val="superscript"/>
        </w:rPr>
        <w:footnoteRef/>
      </w:r>
      <w:r>
        <w:rPr>
          <w:rFonts w:cs="Arial Unicode MS" w:eastAsia="Arial Unicode MS"/>
          <w:rtl w:val="0"/>
          <w:lang w:val="en-US"/>
        </w:rPr>
        <w:t xml:space="preserve"> On the date, see </w:t>
      </w:r>
      <w:r>
        <w:rPr>
          <w:rStyle w:val="Hyperlink.0"/>
        </w:rPr>
        <w:fldChar w:fldCharType="begin" w:fldLock="0"/>
      </w:r>
      <w:r>
        <w:rPr>
          <w:rStyle w:val="Hyperlink.0"/>
        </w:rPr>
        <w:instrText xml:space="preserve"> HYPERLINK "https://papyri.info/biblio/59788"</w:instrText>
      </w:r>
      <w:r>
        <w:rPr>
          <w:rStyle w:val="Hyperlink.0"/>
        </w:rPr>
        <w:fldChar w:fldCharType="separate" w:fldLock="0"/>
      </w:r>
      <w:r>
        <w:rPr>
          <w:rStyle w:val="Hyperlink.0"/>
          <w:rFonts w:cs="Arial Unicode MS" w:eastAsia="Arial Unicode MS"/>
          <w:rtl w:val="0"/>
        </w:rPr>
        <w:t>Cowey et al. 1989</w:t>
      </w:r>
      <w:r>
        <w:rPr/>
        <w:fldChar w:fldCharType="end" w:fldLock="0"/>
      </w:r>
      <w:r>
        <w:rPr>
          <w:rFonts w:cs="Arial Unicode MS" w:eastAsia="Arial Unicode MS"/>
          <w:rtl w:val="0"/>
          <w:lang w:val="en-US"/>
        </w:rPr>
        <w:t>: 223.</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IFAO-Grec Unicode" w:cs="Arial Unicode MS" w:hAnsi="IFAO-Grec Unicod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outline w:val="0"/>
      <w:color w:val="0563c1"/>
      <w:u w:val="single" w:color="0563c1"/>
      <w14:textFill>
        <w14:solidFill>
          <w14:srgbClr w14:val="0563C1"/>
        </w14:solidFill>
      </w14:textFill>
    </w:rPr>
  </w:style>
  <w:style w:type="paragraph" w:styleId="footnote text">
    <w:name w:val="footnote text"/>
    <w:next w:val="footnote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IFAO-Grec Unicode" w:cs="IFAO-Grec Unicode" w:hAnsi="IFAO-Grec Unicode" w:eastAsia="IFAO-Grec Unicode"/>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1">
    <w:name w:val="Hyperlink.1"/>
    <w:basedOn w:val="Hyperlink.0"/>
    <w:next w:val="Hyperlink.1"/>
    <w:rPr>
      <w:lang w:val="de-DE"/>
    </w:rPr>
  </w:style>
  <w:style w:type="character" w:styleId="Hyperlink.2">
    <w:name w:val="Hyperlink.2"/>
    <w:basedOn w:val="Hyperlink.0"/>
    <w:next w:val="Hyperlink.2"/>
    <w:rPr>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