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pPr>
      <w:r>
        <w:rPr>
          <w:rtl w:val="0"/>
          <w:lang w:val="en-US"/>
        </w:rPr>
        <w:t>#articleTitle</w:t>
      </w:r>
    </w:p>
    <w:p>
      <w:pPr>
        <w:pStyle w:val="Body"/>
      </w:pPr>
      <w:r>
        <w:rPr>
          <w:rtl w:val="0"/>
          <w:lang w:val="en-US"/>
        </w:rPr>
        <w:t>Notes on Papyri from Roman Egypt III</w:t>
      </w:r>
    </w:p>
    <w:p>
      <w:pPr>
        <w:pStyle w:val="Body"/>
      </w:pPr>
    </w:p>
    <w:p>
      <w:pPr>
        <w:pStyle w:val="Body"/>
      </w:pPr>
      <w:r>
        <w:rPr>
          <w:rtl w:val="0"/>
          <w:lang w:val="en-US"/>
        </w:rPr>
        <w:t>#author</w:t>
      </w:r>
    </w:p>
    <w:p>
      <w:pPr>
        <w:pStyle w:val="Body"/>
      </w:pPr>
      <w:r>
        <w:rPr>
          <w:rtl w:val="0"/>
        </w:rPr>
        <w:t>Claytor, W. Graham</w:t>
      </w:r>
    </w:p>
    <w:p>
      <w:pPr>
        <w:pStyle w:val="Body"/>
      </w:pPr>
    </w:p>
    <w:p>
      <w:pPr>
        <w:pStyle w:val="Body"/>
      </w:pPr>
      <w:r>
        <w:rPr>
          <w:rtl w:val="0"/>
          <w:lang w:val="fr-FR"/>
        </w:rPr>
        <w:t>#affiliation</w:t>
      </w:r>
    </w:p>
    <w:p>
      <w:pPr>
        <w:pStyle w:val="Body"/>
      </w:pPr>
      <w:r>
        <w:rPr>
          <w:rtl w:val="0"/>
          <w:lang w:val="en-US"/>
        </w:rPr>
        <w:t>University of Warsaw</w:t>
      </w:r>
    </w:p>
    <w:p>
      <w:pPr>
        <w:pStyle w:val="Body"/>
      </w:pPr>
    </w:p>
    <w:p>
      <w:pPr>
        <w:pStyle w:val="Body"/>
      </w:pPr>
      <w:r>
        <w:rPr>
          <w:rtl w:val="0"/>
          <w:lang w:val="en-US"/>
        </w:rPr>
        <w:t>#email</w:t>
      </w:r>
    </w:p>
    <w:p>
      <w:pPr>
        <w:pStyle w:val="Body"/>
      </w:pPr>
      <w:r>
        <w:rPr>
          <w:rStyle w:val="Hyperlink.0"/>
        </w:rPr>
        <w:fldChar w:fldCharType="begin" w:fldLock="0"/>
      </w:r>
      <w:r>
        <w:rPr>
          <w:rStyle w:val="Hyperlink.0"/>
        </w:rPr>
        <w:instrText xml:space="preserve"> HYPERLINK "mailto:w.claytor-vi@uw.edu.pl"</w:instrText>
      </w:r>
      <w:r>
        <w:rPr>
          <w:rStyle w:val="Hyperlink.0"/>
        </w:rPr>
        <w:fldChar w:fldCharType="separate" w:fldLock="0"/>
      </w:r>
      <w:r>
        <w:rPr>
          <w:rStyle w:val="Hyperlink.0"/>
          <w:rtl w:val="0"/>
        </w:rPr>
        <w:t>w.claytor-vi@uw.edu.pl</w:t>
      </w:r>
      <w:r>
        <w:rPr/>
        <w:fldChar w:fldCharType="end" w:fldLock="0"/>
      </w:r>
    </w:p>
    <w:p>
      <w:pPr>
        <w:pStyle w:val="Body"/>
      </w:pP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#articleHeader</w:t>
      </w:r>
    </w:p>
    <w:p>
      <w:pPr>
        <w:pStyle w:val="Body"/>
      </w:pPr>
    </w:p>
    <w:p>
      <w:pPr>
        <w:pStyle w:val="Heading"/>
      </w:pPr>
      <w:r>
        <w:rPr>
          <w:rtl w:val="0"/>
        </w:rPr>
        <w:t xml:space="preserve">16. </w:t>
      </w:r>
      <w:r>
        <w:rPr>
          <w:rStyle w:val="Hyperlink.0"/>
        </w:rPr>
        <w:fldChar w:fldCharType="begin" w:fldLock="0"/>
      </w:r>
      <w:r>
        <w:rPr>
          <w:rStyle w:val="Hyperlink.0"/>
        </w:rPr>
        <w:instrText xml:space="preserve"> HYPERLINK "https://papyri.info/ddbdp/chr.wilck%3B%3B200a"</w:instrText>
      </w:r>
      <w:r>
        <w:rPr>
          <w:rStyle w:val="Hyperlink.0"/>
        </w:rPr>
        <w:fldChar w:fldCharType="separate" w:fldLock="0"/>
      </w:r>
      <w:r>
        <w:rPr>
          <w:rStyle w:val="Hyperlink.0"/>
          <w:rtl w:val="0"/>
        </w:rPr>
        <w:t>W.Chr. 200a</w:t>
      </w:r>
      <w:r>
        <w:rPr/>
        <w:fldChar w:fldCharType="end" w:fldLock="0"/>
      </w:r>
      <w:r>
        <w:rPr>
          <w:rtl w:val="0"/>
          <w:lang w:val="en-US"/>
        </w:rPr>
        <w:t xml:space="preserve"> and </w:t>
      </w:r>
      <w:r>
        <w:rPr>
          <w:rStyle w:val="Hyperlink.0"/>
        </w:rPr>
        <w:fldChar w:fldCharType="begin" w:fldLock="0"/>
      </w:r>
      <w:r>
        <w:rPr>
          <w:rStyle w:val="Hyperlink.0"/>
        </w:rPr>
        <w:instrText xml:space="preserve"> HYPERLINK "https://papyri.info/ddbdp/chr.wilck%3B%3B200b"</w:instrText>
      </w:r>
      <w:r>
        <w:rPr>
          <w:rStyle w:val="Hyperlink.0"/>
        </w:rPr>
        <w:fldChar w:fldCharType="separate" w:fldLock="0"/>
      </w:r>
      <w:r>
        <w:rPr>
          <w:rStyle w:val="Hyperlink.0"/>
          <w:rtl w:val="0"/>
        </w:rPr>
        <w:t>200b</w:t>
      </w:r>
      <w:r>
        <w:rPr/>
        <w:fldChar w:fldCharType="end" w:fldLock="0"/>
      </w:r>
      <w:r>
        <w:rPr>
          <w:rtl w:val="0"/>
          <w:lang w:val="en-US"/>
        </w:rPr>
        <w:t>: At Home in the Esenremphieion</w:t>
      </w:r>
    </w:p>
    <w:p>
      <w:pPr>
        <w:pStyle w:val="Body"/>
      </w:pPr>
    </w:p>
    <w:p>
      <w:pPr>
        <w:pStyle w:val="Body"/>
      </w:pPr>
      <w:r>
        <w:rPr>
          <w:rtl w:val="0"/>
        </w:rPr>
        <w:tab/>
        <w:t xml:space="preserve">This pair of documents from Theadelphia is often adduced in discussions of the early Roman census (e.g. </w:t>
      </w:r>
      <w:r>
        <w:rPr>
          <w:rStyle w:val="Hyperlink.0"/>
        </w:rPr>
        <w:fldChar w:fldCharType="begin" w:fldLock="0"/>
      </w:r>
      <w:r>
        <w:rPr>
          <w:rStyle w:val="Hyperlink.0"/>
        </w:rPr>
        <w:instrText xml:space="preserve"> HYPERLINK "https://papyri.info/biblio/86643"</w:instrText>
      </w:r>
      <w:r>
        <w:rPr>
          <w:rStyle w:val="Hyperlink.0"/>
        </w:rPr>
        <w:fldChar w:fldCharType="separate" w:fldLock="0"/>
      </w:r>
      <w:r>
        <w:rPr>
          <w:rStyle w:val="Hyperlink.0"/>
          <w:rtl w:val="0"/>
        </w:rPr>
        <w:t>Claytor and Bagnall 2015</w:t>
      </w:r>
      <w:r>
        <w:rPr/>
        <w:fldChar w:fldCharType="end" w:fldLock="0"/>
      </w:r>
      <w:r>
        <w:rPr>
          <w:rtl w:val="0"/>
          <w:lang w:val="en-US"/>
        </w:rPr>
        <w:t>) and poll-tax (Rathbone 2019). Submitted in back-to-back years (19 and 18 BCE) by the same public farmer, Pnepheros son of Phanemieus (also spelled Panemeiees), they include information about the declarant</w:t>
      </w:r>
      <w:r>
        <w:rPr>
          <w:rtl w:val="1"/>
        </w:rPr>
        <w:t>’</w:t>
      </w:r>
      <w:r>
        <w:rPr>
          <w:rtl w:val="0"/>
          <w:lang w:val="en-US"/>
        </w:rPr>
        <w:t>s identity, status, and dwelling, but no mention of other household members.</w:t>
      </w:r>
    </w:p>
    <w:p>
      <w:pPr>
        <w:pStyle w:val="Body"/>
      </w:pPr>
      <w:r>
        <w:rPr>
          <w:rtl w:val="0"/>
        </w:rPr>
        <w:tab/>
        <w:t>Pnepheros</w:t>
      </w:r>
      <w:r>
        <w:rPr>
          <w:rtl w:val="1"/>
        </w:rPr>
        <w:t xml:space="preserve">’ </w:t>
      </w:r>
      <w:r>
        <w:rPr>
          <w:rtl w:val="0"/>
          <w:lang w:val="en-US"/>
        </w:rPr>
        <w:t xml:space="preserve">dwelling place in the first declaration was printed as </w:t>
      </w:r>
      <w:r>
        <w:rPr>
          <w:rtl w:val="0"/>
        </w:rPr>
        <w:t>ἐν δὲ τῶ</w:t>
      </w:r>
      <w:r>
        <w:rPr>
          <w:rtl w:val="0"/>
        </w:rPr>
        <w:t>(</w:t>
      </w:r>
      <w:r>
        <w:rPr>
          <w:rtl w:val="0"/>
        </w:rPr>
        <w:t>ι</w:t>
      </w:r>
      <w:r>
        <w:rPr>
          <w:rtl w:val="0"/>
          <w:lang w:val="pt-PT"/>
        </w:rPr>
        <w:t xml:space="preserve">) [ </w:t>
      </w:r>
      <w:r>
        <w:rPr>
          <w:rtl w:val="0"/>
        </w:rPr>
        <w:t>̣  ̣</w:t>
      </w:r>
      <w:r>
        <w:rPr>
          <w:rtl w:val="0"/>
          <w:lang w:val="pt-PT"/>
        </w:rPr>
        <w:t>]</w:t>
      </w:r>
      <w:r>
        <w:rPr>
          <w:rtl w:val="0"/>
        </w:rPr>
        <w:t>εαγραμφιη</w:t>
      </w:r>
      <w:r>
        <w:rPr>
          <w:rtl w:val="0"/>
        </w:rPr>
        <w:t xml:space="preserve">(  ) | </w:t>
      </w:r>
      <w:r>
        <w:rPr>
          <w:rtl w:val="0"/>
        </w:rPr>
        <w:t>καταγίνομαι</w:t>
      </w:r>
      <w:r>
        <w:rPr>
          <w:rtl w:val="0"/>
          <w:lang w:val="en-US"/>
        </w:rPr>
        <w:t xml:space="preserve">, with Wilcken reading </w:t>
      </w:r>
      <w:r>
        <w:rPr>
          <w:rtl w:val="0"/>
        </w:rPr>
        <w:t>τ</w:t>
      </w:r>
      <w:r>
        <w:rPr>
          <w:vertAlign w:val="superscript"/>
          <w:rtl w:val="0"/>
        </w:rPr>
        <w:t>ω</w:t>
      </w:r>
      <w:r>
        <w:rPr>
          <w:rtl w:val="0"/>
          <w:lang w:val="en-US"/>
        </w:rPr>
        <w:t xml:space="preserve"> for the first editor</w:t>
      </w:r>
      <w:r>
        <w:rPr>
          <w:rtl w:val="1"/>
        </w:rPr>
        <w:t>’</w:t>
      </w:r>
      <w:r>
        <w:rPr>
          <w:rtl w:val="0"/>
        </w:rPr>
        <w:t xml:space="preserve">s </w:t>
      </w:r>
      <w:r>
        <w:rPr>
          <w:rtl w:val="0"/>
        </w:rPr>
        <w:t>τ</w:t>
      </w:r>
      <w:r>
        <w:rPr>
          <w:vertAlign w:val="superscript"/>
          <w:rtl w:val="0"/>
        </w:rPr>
        <w:t>η</w:t>
      </w:r>
      <w:r>
        <w:rPr>
          <w:rtl w:val="0"/>
          <w:lang w:val="en-US"/>
        </w:rPr>
        <w:t xml:space="preserve"> and noting, </w:t>
      </w:r>
      <w:r>
        <w:rPr>
          <w:rtl w:val="1"/>
          <w:lang w:val="ar-SA" w:bidi="ar-SA"/>
        </w:rPr>
        <w:t>“</w:t>
      </w:r>
      <w:r>
        <w:rPr>
          <w:rtl w:val="0"/>
          <w:lang w:val="de-DE"/>
        </w:rPr>
        <w:t xml:space="preserve">es liegt wohl eine griechische Ableitung des </w:t>
      </w:r>
      <w:r>
        <w:rPr>
          <w:rtl w:val="0"/>
        </w:rPr>
        <w:t>ä</w:t>
      </w:r>
      <w:r>
        <w:rPr>
          <w:rtl w:val="0"/>
          <w:lang w:val="de-DE"/>
        </w:rPr>
        <w:t xml:space="preserve">gyptischen Wortes auf </w:t>
      </w:r>
      <w:r>
        <w:rPr>
          <w:rtl w:val="0"/>
        </w:rPr>
        <w:t xml:space="preserve">ιεῖον </w:t>
      </w:r>
      <w:r>
        <w:rPr>
          <w:rtl w:val="0"/>
          <w:lang w:val="de-DE"/>
        </w:rPr>
        <w:t xml:space="preserve">vor, geschrieben </w:t>
      </w:r>
      <w:r>
        <w:rPr>
          <w:rtl w:val="0"/>
        </w:rPr>
        <w:t>ιή</w:t>
      </w:r>
      <w:r>
        <w:rPr>
          <w:rtl w:val="0"/>
        </w:rPr>
        <w:t>(</w:t>
      </w:r>
      <w:r>
        <w:rPr>
          <w:rtl w:val="0"/>
        </w:rPr>
        <w:t>ῳ</w:t>
      </w:r>
      <w:r>
        <w:rPr>
          <w:rtl w:val="0"/>
        </w:rPr>
        <w:t>).</w:t>
      </w:r>
      <w:r>
        <w:rPr>
          <w:rtl w:val="0"/>
        </w:rPr>
        <w:t xml:space="preserve">” </w:t>
      </w:r>
      <w:r>
        <w:rPr>
          <w:rtl w:val="0"/>
          <w:lang w:val="de-DE"/>
        </w:rPr>
        <w:t>Wilcken</w:t>
      </w:r>
      <w:r>
        <w:rPr>
          <w:rtl w:val="1"/>
        </w:rPr>
        <w:t>’</w:t>
      </w:r>
      <w:r>
        <w:rPr>
          <w:rtl w:val="0"/>
          <w:lang w:val="en-US"/>
        </w:rPr>
        <w:t>s inclination was right, and on the image (</w:t>
      </w:r>
      <w:r>
        <w:rPr>
          <w:shd w:val="clear" w:color="auto" w:fill="ffff00"/>
          <w:rtl w:val="0"/>
          <w:lang w:val="en-US"/>
        </w:rPr>
        <w:t>Fig. 1: British Library Board, Papyrus 646</w:t>
      </w:r>
      <w:r>
        <w:rPr>
          <w:rtl w:val="0"/>
          <w:lang w:val="en-US"/>
        </w:rPr>
        <w:t xml:space="preserve">), the name of the sanctuary can be read as </w:t>
      </w:r>
      <w:r>
        <w:rPr>
          <w:rtl w:val="0"/>
        </w:rPr>
        <w:t>Ἐ̣σενρεμφιή</w:t>
      </w:r>
      <w:r>
        <w:rPr>
          <w:rtl w:val="0"/>
        </w:rPr>
        <w:t>(</w:t>
      </w:r>
      <w:r>
        <w:rPr>
          <w:rtl w:val="0"/>
        </w:rPr>
        <w:t>ωι</w:t>
      </w:r>
      <w:r>
        <w:rPr>
          <w:rtl w:val="0"/>
          <w:lang w:val="en-US"/>
        </w:rPr>
        <w:t xml:space="preserve">), the first attestation of this term. The farmer was thus living within the sacred precinct of (Isis) Esenremphis, whose temple in Theadelphia was already known from the </w:t>
      </w:r>
      <w:r>
        <w:rPr>
          <w:rtl w:val="0"/>
        </w:rPr>
        <w:t xml:space="preserve">asylia </w:t>
      </w:r>
      <w:r>
        <w:rPr>
          <w:rtl w:val="0"/>
          <w:lang w:val="es-ES_tradnl"/>
        </w:rPr>
        <w:t xml:space="preserve">decree </w:t>
      </w:r>
      <w:r>
        <w:rPr>
          <w:rStyle w:val="Hyperlink.0"/>
        </w:rPr>
        <w:fldChar w:fldCharType="begin" w:fldLock="0"/>
      </w:r>
      <w:r>
        <w:rPr>
          <w:rStyle w:val="Hyperlink.0"/>
        </w:rPr>
        <w:instrText xml:space="preserve"> HYPERLINK "https://www.trismegistos.org/text/7237"</w:instrText>
      </w:r>
      <w:r>
        <w:rPr>
          <w:rStyle w:val="Hyperlink.0"/>
        </w:rPr>
        <w:fldChar w:fldCharType="separate" w:fldLock="0"/>
      </w:r>
      <w:r>
        <w:rPr>
          <w:rStyle w:val="Hyperlink.0"/>
          <w:rtl w:val="0"/>
        </w:rPr>
        <w:t>I.Fay. II 114</w:t>
      </w:r>
      <w:r>
        <w:rPr/>
        <w:fldChar w:fldCharType="end" w:fldLock="0"/>
      </w:r>
      <w:r>
        <w:rPr>
          <w:rtl w:val="0"/>
        </w:rPr>
        <w:t>.16</w:t>
      </w:r>
      <w:r>
        <w:rPr>
          <w:rtl w:val="0"/>
        </w:rPr>
        <w:t>–</w:t>
      </w:r>
      <w:r>
        <w:rPr>
          <w:rtl w:val="0"/>
          <w:lang w:val="fr-FR"/>
        </w:rPr>
        <w:t xml:space="preserve">17 (70 BCE): </w:t>
      </w:r>
      <w:r>
        <w:rPr>
          <w:rtl w:val="0"/>
        </w:rPr>
        <w:t>ἱεροῦ Ἴσιδος Ἐσερέμφιος θεᾶς μεγίστης</w:t>
      </w:r>
      <w:r>
        <w:rPr>
          <w:rtl w:val="0"/>
        </w:rPr>
        <w:t>.</w:t>
      </w:r>
      <w:r>
        <w:rPr>
          <w:rFonts w:ascii="IFAO-Grec Unicode" w:cs="IFAO-Grec Unicode" w:hAnsi="IFAO-Grec Unicode" w:eastAsia="IFAO-Grec Unicode"/>
          <w:b w:val="0"/>
          <w:bCs w:val="0"/>
          <w:i w:val="0"/>
          <w:iCs w:val="0"/>
          <w:vertAlign w:val="superscript"/>
        </w:rPr>
        <w:footnoteReference w:id="1"/>
      </w:r>
      <w:r>
        <w:rPr>
          <w:rtl w:val="0"/>
          <w:lang w:val="en-US"/>
        </w:rPr>
        <w:t xml:space="preserve"> In the next year, Pnepheros is said to be living simply in a </w:t>
      </w:r>
      <w:r>
        <w:rPr>
          <w:rtl w:val="1"/>
          <w:lang w:val="ar-SA" w:bidi="ar-SA"/>
        </w:rPr>
        <w:t>“</w:t>
      </w:r>
      <w:r>
        <w:rPr>
          <w:rtl w:val="0"/>
          <w:lang w:val="en-US"/>
        </w:rPr>
        <w:t>private house,</w:t>
      </w:r>
      <w:r>
        <w:rPr>
          <w:rtl w:val="0"/>
        </w:rPr>
        <w:t xml:space="preserve">” </w:t>
      </w:r>
      <w:r>
        <w:rPr>
          <w:rtl w:val="0"/>
          <w:lang w:val="en-US"/>
        </w:rPr>
        <w:t xml:space="preserve">which is probably a different description of the same dwelling, since houses within sacred precincts, often called </w:t>
      </w:r>
      <w:r>
        <w:rPr>
          <w:rtl w:val="0"/>
        </w:rPr>
        <w:t>παστοφόρια</w:t>
      </w:r>
      <w:r>
        <w:rPr>
          <w:rtl w:val="0"/>
          <w:lang w:val="en-US"/>
        </w:rPr>
        <w:t xml:space="preserve">, could be privately owned and alienated (cf. </w:t>
      </w:r>
      <w:r>
        <w:rPr>
          <w:rStyle w:val="Hyperlink.0"/>
        </w:rPr>
        <w:fldChar w:fldCharType="begin" w:fldLock="0"/>
      </w:r>
      <w:r>
        <w:rPr>
          <w:rStyle w:val="Hyperlink.0"/>
        </w:rPr>
        <w:instrText xml:space="preserve"> HYPERLINK "https://www.trismegistos.org/text/976587"</w:instrText>
      </w:r>
      <w:r>
        <w:rPr>
          <w:rStyle w:val="Hyperlink.0"/>
        </w:rPr>
        <w:fldChar w:fldCharType="separate" w:fldLock="0"/>
      </w:r>
      <w:r>
        <w:rPr>
          <w:rStyle w:val="Hyperlink.0"/>
          <w:rtl w:val="0"/>
        </w:rPr>
        <w:t>P.Aegyptus Cent. 28</w:t>
      </w:r>
      <w:r>
        <w:rPr/>
        <w:fldChar w:fldCharType="end" w:fldLock="0"/>
      </w:r>
      <w:r>
        <w:rPr>
          <w:rtl w:val="0"/>
        </w:rPr>
        <w:t>.7</w:t>
      </w:r>
      <w:r>
        <w:rPr>
          <w:rtl w:val="0"/>
        </w:rPr>
        <w:t> </w:t>
      </w:r>
      <w:r>
        <w:rPr>
          <w:rtl w:val="0"/>
        </w:rPr>
        <w:t>n.).</w:t>
      </w:r>
    </w:p>
    <w:p>
      <w:pPr>
        <w:pStyle w:val="Body"/>
      </w:pPr>
      <w:r>
        <w:rPr>
          <w:rtl w:val="0"/>
        </w:rPr>
        <w:tab/>
        <w:t xml:space="preserve">The image of </w:t>
      </w:r>
      <w:r>
        <w:rPr>
          <w:rStyle w:val="Hyperlink.0"/>
        </w:rPr>
        <w:fldChar w:fldCharType="begin" w:fldLock="0"/>
      </w:r>
      <w:r>
        <w:rPr>
          <w:rStyle w:val="Hyperlink.0"/>
        </w:rPr>
        <w:instrText xml:space="preserve"> HYPERLINK "https://papyri.info/ddbdp/chr.wilck%3B%3B200b"</w:instrText>
      </w:r>
      <w:r>
        <w:rPr>
          <w:rStyle w:val="Hyperlink.0"/>
        </w:rPr>
        <w:fldChar w:fldCharType="separate" w:fldLock="0"/>
      </w:r>
      <w:r>
        <w:rPr>
          <w:rStyle w:val="Hyperlink.0"/>
          <w:rtl w:val="0"/>
        </w:rPr>
        <w:t>W.Chr. 200b</w:t>
      </w:r>
      <w:r>
        <w:rPr/>
        <w:fldChar w:fldCharType="end" w:fldLock="0"/>
      </w:r>
      <w:r>
        <w:rPr>
          <w:rtl w:val="0"/>
        </w:rPr>
        <w:t xml:space="preserve"> (</w:t>
      </w:r>
      <w:r>
        <w:rPr>
          <w:shd w:val="clear" w:color="auto" w:fill="ffff00"/>
          <w:rtl w:val="0"/>
          <w:lang w:val="en-US"/>
        </w:rPr>
        <w:t>Fig. 2: British Library Board, Papyrus 647</w:t>
      </w:r>
      <w:r>
        <w:rPr>
          <w:rtl w:val="0"/>
          <w:lang w:val="en-US"/>
        </w:rPr>
        <w:t>) also affords some small improvements. Both the first edition and Wilcken</w:t>
      </w:r>
      <w:r>
        <w:rPr>
          <w:rtl w:val="1"/>
        </w:rPr>
        <w:t>’</w:t>
      </w:r>
      <w:r>
        <w:rPr>
          <w:rtl w:val="0"/>
          <w:lang w:val="en-US"/>
        </w:rPr>
        <w:t xml:space="preserve">s text give the impression that a line containing the addressee is lost, but the papyrus in fact contains traces of ink, amounting to perhaps two letters, which were washed out. In line 7, </w:t>
      </w:r>
      <w:r>
        <w:rPr>
          <w:rtl w:val="0"/>
        </w:rPr>
        <w:t xml:space="preserve">οἰδίᾳ </w:t>
      </w:r>
      <w:r>
        <w:rPr>
          <w:rtl w:val="0"/>
          <w:lang w:val="en-US"/>
        </w:rPr>
        <w:t xml:space="preserve">is written, either a phonetic spelling of </w:t>
      </w:r>
      <w:r>
        <w:rPr>
          <w:rtl w:val="0"/>
        </w:rPr>
        <w:t xml:space="preserve">ἰδία </w:t>
      </w:r>
      <w:r>
        <w:rPr>
          <w:rtl w:val="0"/>
          <w:lang w:val="en-US"/>
        </w:rPr>
        <w:t xml:space="preserve">and/or in anticipation of the following </w:t>
      </w:r>
      <w:r>
        <w:rPr>
          <w:rtl w:val="0"/>
        </w:rPr>
        <w:t>οἰκίᾳ</w:t>
      </w:r>
      <w:r>
        <w:rPr>
          <w:rtl w:val="0"/>
          <w:lang w:val="en-US"/>
        </w:rPr>
        <w:t>. Under line 8, the papyrus is cleanly broken, and the current placement of the lower fragment is incorrect, since the end of [</w:t>
      </w:r>
      <w:r>
        <w:rPr>
          <w:rtl w:val="0"/>
        </w:rPr>
        <w:t>ἐπιδίδωμι</w:t>
      </w:r>
      <w:r>
        <w:rPr>
          <w:rtl w:val="0"/>
          <w:lang w:val="en-US"/>
        </w:rPr>
        <w:t xml:space="preserve">] in line 9 ought to be visible in this case. The lower fragment needs to be moved down to accommodate at least one missing line, or rather two if the declaration ended with the same formula as </w:t>
      </w:r>
      <w:r>
        <w:rPr>
          <w:rStyle w:val="Hyperlink.0"/>
        </w:rPr>
        <w:fldChar w:fldCharType="begin" w:fldLock="0"/>
      </w:r>
      <w:r>
        <w:rPr>
          <w:rStyle w:val="Hyperlink.0"/>
        </w:rPr>
        <w:instrText xml:space="preserve"> HYPERLINK "https://papyri.info/ddbdp/chr.wilck%3B%3B200a"</w:instrText>
      </w:r>
      <w:r>
        <w:rPr>
          <w:rStyle w:val="Hyperlink.0"/>
        </w:rPr>
        <w:fldChar w:fldCharType="separate" w:fldLock="0"/>
      </w:r>
      <w:r>
        <w:rPr>
          <w:rStyle w:val="Hyperlink.0"/>
          <w:rtl w:val="0"/>
        </w:rPr>
        <w:t>200a</w:t>
      </w:r>
      <w:r>
        <w:rPr/>
        <w:fldChar w:fldCharType="end" w:fldLock="0"/>
      </w:r>
      <w:r>
        <w:rPr>
          <w:rtl w:val="0"/>
        </w:rPr>
        <w:t xml:space="preserve">: </w:t>
      </w:r>
      <w:r>
        <w:rPr>
          <w:rtl w:val="0"/>
        </w:rPr>
        <w:t>διὸ ἐπιδίδωμι τὸ ὑπόμνη</w:t>
      </w:r>
      <w:r>
        <w:rPr>
          <w:rtl w:val="0"/>
        </w:rPr>
        <w:t>(</w:t>
      </w:r>
      <w:r>
        <w:rPr>
          <w:rtl w:val="0"/>
        </w:rPr>
        <w:t>μα</w:t>
      </w:r>
      <w:r>
        <w:rPr>
          <w:rtl w:val="0"/>
        </w:rPr>
        <w:t xml:space="preserve">) </w:t>
      </w:r>
      <w:r>
        <w:rPr>
          <w:rtl w:val="0"/>
        </w:rPr>
        <w:t>ὅπως καταχωρισθῇ</w:t>
      </w:r>
      <w:r>
        <w:rPr>
          <w:rtl w:val="0"/>
        </w:rPr>
        <w:t>.</w:t>
      </w:r>
    </w:p>
    <w:p>
      <w:pPr>
        <w:pStyle w:val="Body"/>
      </w:pP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#articleHeader</w:t>
      </w:r>
    </w:p>
    <w:p>
      <w:pPr>
        <w:pStyle w:val="Default"/>
        <w:bidi w:val="0"/>
        <w:spacing w:before="0" w:line="240" w:lineRule="auto"/>
        <w:ind w:left="0" w:right="0" w:firstLine="0"/>
        <w:jc w:val="left"/>
        <w:rPr>
          <w:rFonts w:ascii="Times Roman" w:cs="Times Roman" w:hAnsi="Times Roman" w:eastAsia="Times Roman"/>
          <w:rtl w:val="0"/>
        </w:rPr>
      </w:pPr>
    </w:p>
    <w:p>
      <w:pPr>
        <w:pStyle w:val="Heading"/>
      </w:pPr>
      <w:r>
        <w:rPr>
          <w:rtl w:val="0"/>
          <w:lang w:val="es-ES_tradnl"/>
        </w:rPr>
        <w:t xml:space="preserve">17. Kallistratos in </w:t>
      </w:r>
      <w:r>
        <w:rPr>
          <w:rStyle w:val="Hyperlink.0"/>
        </w:rPr>
        <w:fldChar w:fldCharType="begin" w:fldLock="0"/>
      </w:r>
      <w:r>
        <w:rPr>
          <w:rStyle w:val="Hyperlink.0"/>
        </w:rPr>
        <w:instrText xml:space="preserve"> HYPERLINK "https://papyri.info/ddbdp/p.prag%3B1%3B54"</w:instrText>
      </w:r>
      <w:r>
        <w:rPr>
          <w:rStyle w:val="Hyperlink.0"/>
        </w:rPr>
        <w:fldChar w:fldCharType="separate" w:fldLock="0"/>
      </w:r>
      <w:r>
        <w:rPr>
          <w:rStyle w:val="Hyperlink.0"/>
          <w:rtl w:val="0"/>
        </w:rPr>
        <w:t>P.Prag. 1 54</w:t>
      </w:r>
      <w:r>
        <w:rPr/>
        <w:fldChar w:fldCharType="end" w:fldLock="0"/>
      </w:r>
      <w:r>
        <w:rPr>
          <w:rtl w:val="0"/>
        </w:rPr>
        <w:t xml:space="preserve"> (Arsinoite, 19-21)</w:t>
      </w:r>
    </w:p>
    <w:p>
      <w:pPr>
        <w:pStyle w:val="Body"/>
      </w:pPr>
    </w:p>
    <w:p>
      <w:pPr>
        <w:pStyle w:val="Body"/>
        <w:ind w:firstLine="720"/>
      </w:pPr>
      <w:r>
        <w:rPr>
          <w:rtl w:val="0"/>
          <w:lang w:val="en-US"/>
        </w:rPr>
        <w:t xml:space="preserve">The opening of this receipt was printed [ </w:t>
      </w:r>
      <w:r>
        <w:rPr>
          <w:rtl w:val="0"/>
        </w:rPr>
        <w:t>… σ</w:t>
      </w:r>
      <w:r>
        <w:rPr>
          <w:rtl w:val="0"/>
          <w:lang w:val="pt-PT"/>
        </w:rPr>
        <w:t>]</w:t>
      </w:r>
      <w:r>
        <w:rPr>
          <w:rtl w:val="0"/>
        </w:rPr>
        <w:t xml:space="preserve">ιτολόγος τῶν̣ </w:t>
      </w:r>
      <w:r>
        <w:rPr>
          <w:rtl w:val="0"/>
          <w:lang w:val="pt-PT"/>
        </w:rPr>
        <w:t>[</w:t>
      </w:r>
      <w:r>
        <w:rPr>
          <w:rtl w:val="0"/>
        </w:rPr>
        <w:t>Κ</w:t>
      </w:r>
      <w:r>
        <w:rPr>
          <w:rtl w:val="0"/>
          <w:lang w:val="pt-PT"/>
        </w:rPr>
        <w:t>]</w:t>
      </w:r>
      <w:r>
        <w:rPr>
          <w:rtl w:val="0"/>
        </w:rPr>
        <w:t xml:space="preserve">αλλιστράτου Τ̣εσενοῦφι Δημᾶτος </w:t>
      </w:r>
      <w:r>
        <w:rPr>
          <w:rtl w:val="0"/>
        </w:rPr>
        <w:t xml:space="preserve">| </w:t>
      </w:r>
      <w:r>
        <w:rPr>
          <w:rtl w:val="0"/>
        </w:rPr>
        <w:t>γεγ̣ε̣</w:t>
      </w:r>
      <w:r>
        <w:rPr>
          <w:rtl w:val="0"/>
          <w:lang w:val="pt-PT"/>
        </w:rPr>
        <w:t>[</w:t>
      </w:r>
      <w:r>
        <w:rPr>
          <w:rtl w:val="0"/>
        </w:rPr>
        <w:t>νημέ</w:t>
      </w:r>
      <w:r>
        <w:rPr>
          <w:rtl w:val="0"/>
          <w:lang w:val="pt-PT"/>
        </w:rPr>
        <w:t>]</w:t>
      </w:r>
      <w:r>
        <w:rPr>
          <w:rtl w:val="0"/>
        </w:rPr>
        <w:t>νη̣ Κ</w:t>
      </w:r>
      <w:r>
        <w:rPr>
          <w:rtl w:val="0"/>
          <w:lang w:val="pt-PT"/>
        </w:rPr>
        <w:t>[</w:t>
      </w:r>
      <w:r>
        <w:rPr>
          <w:rtl w:val="0"/>
        </w:rPr>
        <w:t>α</w:t>
      </w:r>
      <w:r>
        <w:rPr>
          <w:rtl w:val="0"/>
          <w:lang w:val="pt-PT"/>
        </w:rPr>
        <w:t>]</w:t>
      </w:r>
      <w:r>
        <w:rPr>
          <w:rtl w:val="0"/>
        </w:rPr>
        <w:t>λλισ̣τράτ̣ου χ</w:t>
      </w:r>
      <w:r>
        <w:rPr>
          <w:rtl w:val="0"/>
        </w:rPr>
        <w:t>(</w:t>
      </w:r>
      <w:r>
        <w:rPr>
          <w:rtl w:val="0"/>
        </w:rPr>
        <w:t>αίρειν</w:t>
      </w:r>
      <w:r>
        <w:rPr>
          <w:rtl w:val="0"/>
          <w:lang w:val="en-US"/>
        </w:rPr>
        <w:t xml:space="preserve">) and translated, </w:t>
      </w:r>
      <w:r>
        <w:rPr>
          <w:rtl w:val="0"/>
        </w:rPr>
        <w:t xml:space="preserve">“… </w:t>
      </w:r>
      <w:r>
        <w:rPr>
          <w:rtl w:val="0"/>
          <w:lang w:val="it-IT"/>
        </w:rPr>
        <w:t>sitologo del distretto di Kallistratos a Tesenuphis figlia di Demas originaria di Kallistratos salve.</w:t>
      </w:r>
      <w:r>
        <w:rPr>
          <w:rtl w:val="0"/>
        </w:rPr>
        <w:t xml:space="preserve">” </w:t>
      </w:r>
      <w:r>
        <w:rPr>
          <w:rtl w:val="0"/>
          <w:lang w:val="en-US"/>
        </w:rPr>
        <w:t xml:space="preserve">The unusual </w:t>
      </w:r>
      <w:r>
        <w:rPr>
          <w:rtl w:val="0"/>
        </w:rPr>
        <w:t>γεγ̣ε̣</w:t>
      </w:r>
      <w:r>
        <w:rPr>
          <w:rtl w:val="0"/>
          <w:lang w:val="pt-PT"/>
        </w:rPr>
        <w:t>[</w:t>
      </w:r>
      <w:r>
        <w:rPr>
          <w:rtl w:val="0"/>
        </w:rPr>
        <w:t>νημέ</w:t>
      </w:r>
      <w:r>
        <w:rPr>
          <w:rtl w:val="0"/>
          <w:lang w:val="pt-PT"/>
        </w:rPr>
        <w:t>]</w:t>
      </w:r>
      <w:r>
        <w:rPr>
          <w:rtl w:val="0"/>
        </w:rPr>
        <w:t>νη̣ Κ</w:t>
      </w:r>
      <w:r>
        <w:rPr>
          <w:rtl w:val="0"/>
          <w:lang w:val="pt-PT"/>
        </w:rPr>
        <w:t>[</w:t>
      </w:r>
      <w:r>
        <w:rPr>
          <w:rtl w:val="0"/>
        </w:rPr>
        <w:t>α</w:t>
      </w:r>
      <w:r>
        <w:rPr>
          <w:rtl w:val="0"/>
          <w:lang w:val="pt-PT"/>
        </w:rPr>
        <w:t>]</w:t>
      </w:r>
      <w:r>
        <w:rPr>
          <w:rtl w:val="0"/>
        </w:rPr>
        <w:t xml:space="preserve">λλισ̣τράτ̣ου </w:t>
      </w:r>
      <w:r>
        <w:rPr>
          <w:rtl w:val="0"/>
          <w:lang w:val="en-US"/>
        </w:rPr>
        <w:t xml:space="preserve">is rather </w:t>
      </w:r>
      <w:r>
        <w:rPr>
          <w:rtl w:val="0"/>
        </w:rPr>
        <w:t>γεω̣ρ̣</w:t>
      </w:r>
      <w:r>
        <w:rPr>
          <w:rtl w:val="0"/>
          <w:lang w:val="pt-PT"/>
        </w:rPr>
        <w:t>[</w:t>
      </w:r>
      <w:r>
        <w:rPr>
          <w:rtl w:val="0"/>
        </w:rPr>
        <w:t>γ</w:t>
      </w:r>
      <w:r>
        <w:rPr>
          <w:rtl w:val="0"/>
        </w:rPr>
        <w:t>(</w:t>
      </w:r>
      <w:r>
        <w:rPr>
          <w:rtl w:val="0"/>
        </w:rPr>
        <w:t>ῷ</w:t>
      </w:r>
      <w:r>
        <w:rPr>
          <w:rtl w:val="0"/>
          <w:lang w:val="pt-PT"/>
        </w:rPr>
        <w:t xml:space="preserve">)] </w:t>
      </w:r>
      <w:r>
        <w:rPr>
          <w:rtl w:val="0"/>
        </w:rPr>
        <w:t>τ̣ῶν Κ</w:t>
      </w:r>
      <w:r>
        <w:rPr>
          <w:rtl w:val="0"/>
          <w:lang w:val="pt-PT"/>
        </w:rPr>
        <w:t>[</w:t>
      </w:r>
      <w:r>
        <w:rPr>
          <w:rtl w:val="0"/>
        </w:rPr>
        <w:t>α</w:t>
      </w:r>
      <w:r>
        <w:rPr>
          <w:rtl w:val="0"/>
          <w:lang w:val="pt-PT"/>
        </w:rPr>
        <w:t>]</w:t>
      </w:r>
      <w:r>
        <w:rPr>
          <w:rtl w:val="0"/>
        </w:rPr>
        <w:t>λλισ̣τράτ̣ου</w:t>
      </w:r>
      <w:r>
        <w:rPr>
          <w:rtl w:val="0"/>
          <w:lang w:val="en-US"/>
        </w:rPr>
        <w:t xml:space="preserve">, a parallel construction to the circumscription of the </w:t>
      </w:r>
      <w:r>
        <w:rPr>
          <w:rtl w:val="0"/>
          <w:lang w:val="pt-PT"/>
        </w:rPr>
        <w:t xml:space="preserve">sitologos </w:t>
      </w:r>
      <w:r>
        <w:rPr>
          <w:rtl w:val="0"/>
          <w:lang w:val="en-US"/>
        </w:rPr>
        <w:t>in the previous line.</w:t>
      </w:r>
      <w:r>
        <w:rPr>
          <w:vertAlign w:val="superscript"/>
        </w:rPr>
        <w:footnoteReference w:id="2"/>
      </w:r>
      <w:r>
        <w:rPr>
          <w:rtl w:val="0"/>
          <w:lang w:val="en-US"/>
        </w:rPr>
        <w:t xml:space="preserve"> Tesenouphis is a cross-gender name, here referring not to a woman, as the editor thought, but rather to a male tenant.</w:t>
      </w:r>
      <w:r>
        <w:rPr>
          <w:vertAlign w:val="superscript"/>
        </w:rPr>
        <w:footnoteReference w:id="3"/>
      </w:r>
      <w:r>
        <w:rPr>
          <w:rtl w:val="0"/>
          <w:lang w:val="en-US"/>
        </w:rPr>
        <w:t xml:space="preserve"> With </w:t>
      </w:r>
      <w:r>
        <w:rPr>
          <w:rtl w:val="0"/>
        </w:rPr>
        <w:t xml:space="preserve">τῶν Καλλιστράτου </w:t>
      </w:r>
      <w:r>
        <w:rPr>
          <w:rtl w:val="0"/>
          <w:lang w:val="en-US"/>
        </w:rPr>
        <w:t xml:space="preserve">the editor understood </w:t>
      </w:r>
      <w:r>
        <w:rPr>
          <w:rtl w:val="0"/>
        </w:rPr>
        <w:t>τόπων</w:t>
      </w:r>
      <w:r>
        <w:rPr>
          <w:rtl w:val="0"/>
          <w:lang w:val="en-US"/>
        </w:rPr>
        <w:t xml:space="preserve">, and this supposed toponym has been registered as </w:t>
      </w:r>
      <w:r>
        <w:rPr>
          <w:rStyle w:val="Hyperlink.0"/>
        </w:rPr>
        <w:fldChar w:fldCharType="begin" w:fldLock="0"/>
      </w:r>
      <w:r>
        <w:rPr>
          <w:rStyle w:val="Hyperlink.0"/>
        </w:rPr>
        <w:instrText xml:space="preserve"> HYPERLINK "http://www.trismegistos.org/place/982"</w:instrText>
      </w:r>
      <w:r>
        <w:rPr>
          <w:rStyle w:val="Hyperlink.0"/>
        </w:rPr>
        <w:fldChar w:fldCharType="separate" w:fldLock="0"/>
      </w:r>
      <w:r>
        <w:rPr>
          <w:rStyle w:val="Hyperlink.0"/>
          <w:rtl w:val="0"/>
          <w:lang w:val="it-IT"/>
        </w:rPr>
        <w:t>TM Geo 982</w:t>
      </w:r>
      <w:r>
        <w:rPr/>
        <w:fldChar w:fldCharType="end" w:fldLock="0"/>
      </w:r>
      <w:r>
        <w:rPr>
          <w:rtl w:val="0"/>
          <w:lang w:val="en-US"/>
        </w:rPr>
        <w:t xml:space="preserve">. Kallistratos should instead be taken as an estate owner, with </w:t>
      </w:r>
      <w:r>
        <w:rPr>
          <w:rtl w:val="0"/>
        </w:rPr>
        <w:t xml:space="preserve">τῶν </w:t>
      </w:r>
      <w:r>
        <w:rPr>
          <w:rtl w:val="0"/>
          <w:lang w:val="en-US"/>
        </w:rPr>
        <w:t xml:space="preserve">marking an understood </w:t>
      </w:r>
      <w:r>
        <w:rPr>
          <w:rtl w:val="0"/>
        </w:rPr>
        <w:t xml:space="preserve">ἐδαφῶν </w:t>
      </w:r>
      <w:r>
        <w:rPr>
          <w:rtl w:val="0"/>
        </w:rPr>
        <w:t>vel sim.</w:t>
      </w:r>
      <w:r>
        <w:rPr>
          <w:rtl w:val="0"/>
          <w:lang w:val="en-US"/>
        </w:rPr>
        <w:t xml:space="preserve"> Two examples from the archive of the estate manager Athenodoros (</w:t>
      </w:r>
      <w:r>
        <w:rPr>
          <w:rStyle w:val="Hyperlink.0"/>
        </w:rPr>
        <w:fldChar w:fldCharType="begin" w:fldLock="0"/>
      </w:r>
      <w:r>
        <w:rPr>
          <w:rStyle w:val="Hyperlink.0"/>
        </w:rPr>
        <w:instrText xml:space="preserve"> HYPERLINK "http://www.trismegistos.org/archive/26"</w:instrText>
      </w:r>
      <w:r>
        <w:rPr>
          <w:rStyle w:val="Hyperlink.0"/>
        </w:rPr>
        <w:fldChar w:fldCharType="separate" w:fldLock="0"/>
      </w:r>
      <w:r>
        <w:rPr>
          <w:rStyle w:val="Hyperlink.0"/>
          <w:rtl w:val="0"/>
          <w:lang w:val="en-US"/>
        </w:rPr>
        <w:t>TM Arch 26</w:t>
      </w:r>
      <w:r>
        <w:rPr/>
        <w:fldChar w:fldCharType="end" w:fldLock="0"/>
      </w:r>
      <w:r>
        <w:rPr>
          <w:rtl w:val="0"/>
          <w:lang w:val="en-US"/>
        </w:rPr>
        <w:t xml:space="preserve">) support this interpretation: </w:t>
      </w:r>
      <w:r>
        <w:rPr>
          <w:rtl w:val="0"/>
        </w:rPr>
        <w:t xml:space="preserve">παρ̣ʼ Ἀθ̣η̣ν̣οδ̣ώρου φρο̣ντιστοῦ </w:t>
      </w:r>
      <w:r>
        <w:rPr>
          <w:b w:val="1"/>
          <w:bCs w:val="1"/>
          <w:rtl w:val="0"/>
        </w:rPr>
        <w:t>τῶ̣ν̣ Ἀ̣</w:t>
      </w:r>
      <w:r>
        <w:rPr>
          <w:b w:val="1"/>
          <w:bCs w:val="1"/>
          <w:rtl w:val="0"/>
          <w:lang w:val="pt-PT"/>
        </w:rPr>
        <w:t>[</w:t>
      </w:r>
      <w:r>
        <w:rPr>
          <w:b w:val="1"/>
          <w:bCs w:val="1"/>
          <w:rtl w:val="0"/>
        </w:rPr>
        <w:t>σ</w:t>
      </w:r>
      <w:r>
        <w:rPr>
          <w:b w:val="1"/>
          <w:bCs w:val="1"/>
          <w:rtl w:val="0"/>
          <w:lang w:val="pt-PT"/>
        </w:rPr>
        <w:t>]</w:t>
      </w:r>
      <w:r>
        <w:rPr>
          <w:b w:val="1"/>
          <w:bCs w:val="1"/>
          <w:rtl w:val="0"/>
        </w:rPr>
        <w:t>κ̣ληπ̣ι̣ά̣δ̣ο̣υ̣</w:t>
      </w:r>
      <w:r>
        <w:rPr>
          <w:rtl w:val="0"/>
          <w:lang w:val="pt-PT"/>
        </w:rPr>
        <w:t xml:space="preserve"> [</w:t>
      </w:r>
      <w:r>
        <w:rPr>
          <w:rtl w:val="0"/>
        </w:rPr>
        <w:t>τ</w:t>
      </w:r>
      <w:r>
        <w:rPr>
          <w:rtl w:val="0"/>
          <w:lang w:val="pt-PT"/>
        </w:rPr>
        <w:t>]</w:t>
      </w:r>
      <w:r>
        <w:rPr>
          <w:rtl w:val="0"/>
        </w:rPr>
        <w:t xml:space="preserve">ῶ̣ν ἐν τῶ̣ι Ἡρακλεοπολί̣τ̣η̣ι̣ </w:t>
      </w:r>
      <w:r>
        <w:rPr>
          <w:rtl w:val="0"/>
        </w:rPr>
        <w:t>(</w:t>
      </w:r>
      <w:r>
        <w:rPr>
          <w:rStyle w:val="Hyperlink.0"/>
        </w:rPr>
        <w:fldChar w:fldCharType="begin" w:fldLock="0"/>
      </w:r>
      <w:r>
        <w:rPr>
          <w:rStyle w:val="Hyperlink.0"/>
        </w:rPr>
        <w:instrText xml:space="preserve"> HYPERLINK "https://papyri.info/ddbdp/bgu%3B16%3B2605"</w:instrText>
      </w:r>
      <w:r>
        <w:rPr>
          <w:rStyle w:val="Hyperlink.0"/>
        </w:rPr>
        <w:fldChar w:fldCharType="separate" w:fldLock="0"/>
      </w:r>
      <w:r>
        <w:rPr>
          <w:rStyle w:val="Hyperlink.0"/>
          <w:rtl w:val="0"/>
          <w:lang w:val="de-DE"/>
        </w:rPr>
        <w:t>BGU 16 2605</w:t>
      </w:r>
      <w:r>
        <w:rPr/>
        <w:fldChar w:fldCharType="end" w:fldLock="0"/>
      </w:r>
      <w:r>
        <w:rPr>
          <w:rtl w:val="0"/>
        </w:rPr>
        <w:t>.1</w:t>
      </w:r>
      <w:r>
        <w:rPr>
          <w:rtl w:val="0"/>
        </w:rPr>
        <w:t>–</w:t>
      </w:r>
      <w:r>
        <w:rPr>
          <w:rtl w:val="0"/>
        </w:rPr>
        <w:t xml:space="preserve">3 = </w:t>
      </w:r>
      <w:r>
        <w:rPr>
          <w:rStyle w:val="Hyperlink.0"/>
        </w:rPr>
        <w:fldChar w:fldCharType="begin" w:fldLock="0"/>
      </w:r>
      <w:r>
        <w:rPr>
          <w:rStyle w:val="Hyperlink.0"/>
        </w:rPr>
        <w:instrText xml:space="preserve"> HYPERLINK "https://papyri.info/biblio/96416"</w:instrText>
      </w:r>
      <w:r>
        <w:rPr>
          <w:rStyle w:val="Hyperlink.0"/>
        </w:rPr>
        <w:fldChar w:fldCharType="separate" w:fldLock="0"/>
      </w:r>
      <w:r>
        <w:rPr>
          <w:rStyle w:val="Hyperlink.0"/>
          <w:rtl w:val="0"/>
          <w:lang w:val="it-IT"/>
        </w:rPr>
        <w:t>Armoni 2018</w:t>
      </w:r>
      <w:r>
        <w:rPr/>
        <w:fldChar w:fldCharType="end" w:fldLock="0"/>
      </w:r>
      <w:r>
        <w:rPr>
          <w:rtl w:val="0"/>
        </w:rPr>
        <w:t>: 129</w:t>
      </w:r>
      <w:r>
        <w:rPr>
          <w:rtl w:val="0"/>
        </w:rPr>
        <w:t>–</w:t>
      </w:r>
      <w:r>
        <w:rPr>
          <w:rtl w:val="0"/>
          <w:lang w:val="en-US"/>
        </w:rPr>
        <w:t xml:space="preserve">131) and  </w:t>
      </w:r>
      <w:r>
        <w:rPr>
          <w:rtl w:val="0"/>
        </w:rPr>
        <w:t xml:space="preserve">Ἀθηνόδωρος φροντιστὴς </w:t>
      </w:r>
      <w:r>
        <w:rPr>
          <w:b w:val="1"/>
          <w:bCs w:val="1"/>
          <w:rtl w:val="0"/>
        </w:rPr>
        <w:t>τῶν</w:t>
      </w:r>
      <w:r>
        <w:rPr>
          <w:rtl w:val="0"/>
        </w:rPr>
        <w:t xml:space="preserve"> ἐν τῶ</w:t>
      </w:r>
      <w:r>
        <w:rPr>
          <w:rtl w:val="0"/>
          <w:lang w:val="pt-PT"/>
        </w:rPr>
        <w:t>[</w:t>
      </w:r>
      <w:r>
        <w:rPr>
          <w:rtl w:val="0"/>
        </w:rPr>
        <w:t>ι Ἡρακλε</w:t>
      </w:r>
      <w:r>
        <w:rPr>
          <w:rtl w:val="0"/>
          <w:lang w:val="pt-PT"/>
        </w:rPr>
        <w:t>]</w:t>
      </w:r>
      <w:r>
        <w:rPr>
          <w:rtl w:val="0"/>
        </w:rPr>
        <w:t xml:space="preserve">οπολίτηι </w:t>
      </w:r>
      <w:r>
        <w:rPr>
          <w:b w:val="1"/>
          <w:bCs w:val="1"/>
          <w:rtl w:val="0"/>
        </w:rPr>
        <w:t>Ἀσκληπιάδου</w:t>
      </w:r>
      <w:r>
        <w:rPr>
          <w:rtl w:val="0"/>
        </w:rPr>
        <w:t xml:space="preserve"> (</w:t>
      </w:r>
      <w:r>
        <w:rPr>
          <w:rStyle w:val="Hyperlink.0"/>
        </w:rPr>
        <w:fldChar w:fldCharType="begin" w:fldLock="0"/>
      </w:r>
      <w:r>
        <w:rPr>
          <w:rStyle w:val="Hyperlink.0"/>
        </w:rPr>
        <w:instrText xml:space="preserve"> HYPERLINK "https://papyri.info/ddbdp/bgu%3B16%3B2664"</w:instrText>
      </w:r>
      <w:r>
        <w:rPr>
          <w:rStyle w:val="Hyperlink.0"/>
        </w:rPr>
        <w:fldChar w:fldCharType="separate" w:fldLock="0"/>
      </w:r>
      <w:r>
        <w:rPr>
          <w:rStyle w:val="Hyperlink.0"/>
          <w:rtl w:val="0"/>
        </w:rPr>
        <w:t>BGU 16 2664</w:t>
      </w:r>
      <w:r>
        <w:rPr/>
        <w:fldChar w:fldCharType="end" w:fldLock="0"/>
      </w:r>
      <w:r>
        <w:rPr>
          <w:rtl w:val="0"/>
        </w:rPr>
        <w:t>.3</w:t>
      </w:r>
      <w:r>
        <w:rPr>
          <w:rtl w:val="0"/>
        </w:rPr>
        <w:t>–</w:t>
      </w:r>
      <w:r>
        <w:rPr>
          <w:rtl w:val="0"/>
        </w:rPr>
        <w:t>4).</w:t>
      </w:r>
      <w:r>
        <w:rPr>
          <w:vertAlign w:val="superscript"/>
        </w:rPr>
        <w:footnoteReference w:id="4"/>
      </w:r>
      <w:r>
        <w:rPr>
          <w:rtl w:val="0"/>
          <w:lang w:val="en-US"/>
        </w:rPr>
        <w:t xml:space="preserve"> Both Kallistratos in the Arsinoite nome and Asklepiades in the Herakleopolite were owners of private estates large enough to support permanent staff.</w:t>
      </w:r>
      <w:r>
        <w:rPr>
          <w:vertAlign w:val="superscript"/>
        </w:rPr>
        <w:footnoteReference w:id="5"/>
      </w:r>
      <w:r>
        <w:rPr>
          <w:rtl w:val="0"/>
        </w:rPr>
        <w:t xml:space="preserve"> </w:t>
      </w:r>
    </w:p>
    <w:p>
      <w:pPr>
        <w:pStyle w:val="Body"/>
        <w:ind w:firstLine="720"/>
      </w:pPr>
      <w:r>
        <w:rPr>
          <w:rtl w:val="0"/>
          <w:lang w:val="en-US"/>
        </w:rPr>
        <w:t xml:space="preserve">Kallistratos is a common name, but given that his estate employed a </w:t>
      </w:r>
      <w:r>
        <w:rPr>
          <w:rtl w:val="0"/>
        </w:rPr>
        <w:t>σιτολόγος</w:t>
      </w:r>
      <w:r>
        <w:rPr>
          <w:rtl w:val="0"/>
          <w:lang w:val="en-US"/>
        </w:rPr>
        <w:t xml:space="preserve">, it reasonable to see a connection with the </w:t>
      </w:r>
      <w:r>
        <w:rPr>
          <w:rtl w:val="0"/>
        </w:rPr>
        <w:t>θ</w:t>
      </w:r>
      <w:r>
        <w:rPr>
          <w:rtl w:val="0"/>
        </w:rPr>
        <w:t>(</w:t>
      </w:r>
      <w:r>
        <w:rPr>
          <w:rtl w:val="0"/>
        </w:rPr>
        <w:t>ησαυροῦ</w:t>
      </w:r>
      <w:r>
        <w:rPr>
          <w:rtl w:val="0"/>
        </w:rPr>
        <w:t xml:space="preserve">) </w:t>
      </w:r>
      <w:r>
        <w:rPr>
          <w:rtl w:val="0"/>
        </w:rPr>
        <w:t xml:space="preserve">Καλλιστράτου </w:t>
      </w:r>
      <w:r>
        <w:rPr>
          <w:rtl w:val="0"/>
          <w:lang w:val="en-US"/>
        </w:rPr>
        <w:t xml:space="preserve">in the contemporary order </w:t>
      </w:r>
      <w:r>
        <w:rPr>
          <w:rStyle w:val="Hyperlink.0"/>
        </w:rPr>
        <w:fldChar w:fldCharType="begin" w:fldLock="0"/>
      </w:r>
      <w:r>
        <w:rPr>
          <w:rStyle w:val="Hyperlink.0"/>
        </w:rPr>
        <w:instrText xml:space="preserve"> HYPERLINK "https://papyri.info/ddbdp/o.lund%3B%3B1"</w:instrText>
      </w:r>
      <w:r>
        <w:rPr>
          <w:rStyle w:val="Hyperlink.0"/>
        </w:rPr>
        <w:fldChar w:fldCharType="separate" w:fldLock="0"/>
      </w:r>
      <w:r>
        <w:rPr>
          <w:rStyle w:val="Hyperlink.0"/>
          <w:rtl w:val="0"/>
        </w:rPr>
        <w:t>O.Lund. 1</w:t>
      </w:r>
      <w:r>
        <w:rPr/>
        <w:fldChar w:fldCharType="end" w:fldLock="0"/>
      </w:r>
      <w:r>
        <w:rPr>
          <w:rtl w:val="0"/>
          <w:lang w:val="en-US"/>
        </w:rPr>
        <w:t xml:space="preserve"> with </w:t>
      </w:r>
      <w:r>
        <w:rPr>
          <w:rStyle w:val="Hyperlink.0"/>
        </w:rPr>
        <w:fldChar w:fldCharType="begin" w:fldLock="0"/>
      </w:r>
      <w:r>
        <w:rPr>
          <w:rStyle w:val="Hyperlink.0"/>
        </w:rPr>
        <w:instrText xml:space="preserve"> HYPERLINK "https://beehive.zaw.uni-heidelberg.de/hgv/74865"</w:instrText>
      </w:r>
      <w:r>
        <w:rPr>
          <w:rStyle w:val="Hyperlink.0"/>
        </w:rPr>
        <w:fldChar w:fldCharType="separate" w:fldLock="0"/>
      </w:r>
      <w:r>
        <w:rPr>
          <w:rStyle w:val="Hyperlink.0"/>
          <w:rtl w:val="0"/>
          <w:lang w:val="da-DK"/>
        </w:rPr>
        <w:t>BL 8</w:t>
      </w:r>
      <w:r>
        <w:rPr>
          <w:rStyle w:val="Hyperlink.0"/>
          <w:rtl w:val="0"/>
        </w:rPr>
        <w:t> </w:t>
      </w:r>
      <w:r>
        <w:rPr>
          <w:rStyle w:val="Hyperlink.0"/>
          <w:rtl w:val="0"/>
        </w:rPr>
        <w:t>522</w:t>
      </w:r>
      <w:r>
        <w:rPr/>
        <w:fldChar w:fldCharType="end" w:fldLock="0"/>
      </w:r>
      <w:r>
        <w:rPr>
          <w:rtl w:val="0"/>
          <w:lang w:val="it-IT"/>
        </w:rPr>
        <w:t xml:space="preserve"> (Euhemeria, 19).</w:t>
      </w:r>
      <w:r>
        <w:rPr>
          <w:vertAlign w:val="superscript"/>
        </w:rPr>
        <w:footnoteReference w:id="6"/>
      </w:r>
      <w:r>
        <w:rPr>
          <w:rtl w:val="0"/>
          <w:lang w:val="en-US"/>
        </w:rPr>
        <w:t xml:space="preserve"> Another possible reference to the estate is found in </w:t>
      </w:r>
      <w:r>
        <w:rPr>
          <w:rStyle w:val="Hyperlink.0"/>
        </w:rPr>
        <w:fldChar w:fldCharType="begin" w:fldLock="0"/>
      </w:r>
      <w:r>
        <w:rPr>
          <w:rStyle w:val="Hyperlink.0"/>
        </w:rPr>
        <w:instrText xml:space="preserve"> HYPERLINK "https://quod.lib.umich.edu/a/apis/x-15438/4447DR.TIF"</w:instrText>
      </w:r>
      <w:r>
        <w:rPr>
          <w:rStyle w:val="Hyperlink.0"/>
        </w:rPr>
        <w:fldChar w:fldCharType="separate" w:fldLock="0"/>
      </w:r>
      <w:r>
        <w:rPr>
          <w:rStyle w:val="Hyperlink.0"/>
          <w:rtl w:val="0"/>
        </w:rPr>
        <w:t>P.Mich. inv. 4447d</w:t>
      </w:r>
      <w:r>
        <w:rPr/>
        <w:fldChar w:fldCharType="end" w:fldLock="0"/>
      </w:r>
      <w:r>
        <w:rPr>
          <w:rtl w:val="0"/>
          <w:lang w:val="en-US"/>
        </w:rPr>
        <w:t xml:space="preserve"> (Arsinoite, 3 July, 12: edition in preparation), a brief rent receipt written by </w:t>
      </w:r>
      <w:r>
        <w:rPr>
          <w:rtl w:val="0"/>
        </w:rPr>
        <w:t xml:space="preserve">Δημ̣ή̣τριος ἐνυκιωλόγος </w:t>
      </w:r>
      <w:r>
        <w:rPr>
          <w:rtl w:val="0"/>
          <w:lang w:val="pt-PT"/>
        </w:rPr>
        <w:t xml:space="preserve">(l. </w:t>
      </w:r>
      <w:r>
        <w:rPr>
          <w:rtl w:val="0"/>
        </w:rPr>
        <w:t>ἐνοικιολόγος</w:t>
      </w:r>
      <w:r>
        <w:rPr>
          <w:rtl w:val="0"/>
        </w:rPr>
        <w:t xml:space="preserve">) </w:t>
      </w:r>
      <w:r>
        <w:rPr>
          <w:rtl w:val="0"/>
        </w:rPr>
        <w:t>Καλλ̣ι̣στράτου</w:t>
      </w:r>
      <w:r>
        <w:rPr>
          <w:rtl w:val="0"/>
        </w:rPr>
        <w:t>.</w:t>
      </w:r>
    </w:p>
    <w:p>
      <w:pPr>
        <w:pStyle w:val="Body"/>
        <w:ind w:firstLine="720"/>
      </w:pPr>
      <w:r>
        <w:rPr>
          <w:rtl w:val="0"/>
          <w:lang w:val="en-US"/>
        </w:rPr>
        <w:t xml:space="preserve">Another prominent Kallistratos in the Fayum at this time is the agent working for the estate of Livia and Germanicus as </w:t>
      </w:r>
      <w:r>
        <w:rPr>
          <w:rtl w:val="0"/>
        </w:rPr>
        <w:t>προεστὼς κτηνῶν</w:t>
      </w:r>
      <w:r>
        <w:rPr>
          <w:rtl w:val="0"/>
          <w:lang w:val="en-US"/>
        </w:rPr>
        <w:t xml:space="preserve">, who submitted the petition </w:t>
      </w:r>
      <w:r>
        <w:rPr>
          <w:rStyle w:val="Hyperlink.0"/>
        </w:rPr>
        <w:fldChar w:fldCharType="begin" w:fldLock="0"/>
      </w:r>
      <w:r>
        <w:rPr>
          <w:rStyle w:val="Hyperlink.0"/>
        </w:rPr>
        <w:instrText xml:space="preserve"> HYPERLINK "https://papyri.info/ddbdp/p.nyu%3B2%3B3"</w:instrText>
      </w:r>
      <w:r>
        <w:rPr>
          <w:rStyle w:val="Hyperlink.0"/>
        </w:rPr>
        <w:fldChar w:fldCharType="separate" w:fldLock="0"/>
      </w:r>
      <w:r>
        <w:rPr>
          <w:rStyle w:val="Hyperlink.0"/>
          <w:rtl w:val="0"/>
          <w:lang w:val="en-US"/>
        </w:rPr>
        <w:t>P.NYU 2 3</w:t>
      </w:r>
      <w:r>
        <w:rPr/>
        <w:fldChar w:fldCharType="end" w:fldLock="0"/>
      </w:r>
      <w:r>
        <w:rPr>
          <w:rtl w:val="0"/>
          <w:lang w:val="en-US"/>
        </w:rPr>
        <w:t xml:space="preserve"> in 5 CE against an </w:t>
      </w:r>
      <w:r>
        <w:rPr>
          <w:rtl w:val="0"/>
        </w:rPr>
        <w:t xml:space="preserve">ὀνηλάτης </w:t>
      </w:r>
      <w:r>
        <w:rPr>
          <w:rtl w:val="0"/>
          <w:lang w:val="en-US"/>
        </w:rPr>
        <w:t xml:space="preserve">in his employ. Little is known of the background of these </w:t>
      </w:r>
      <w:r>
        <w:rPr>
          <w:rtl w:val="0"/>
        </w:rPr>
        <w:t xml:space="preserve">προεστῶτες </w:t>
      </w:r>
      <w:r>
        <w:rPr>
          <w:rtl w:val="0"/>
          <w:lang w:val="en-US"/>
        </w:rPr>
        <w:t>of imperial properties,</w:t>
      </w:r>
      <w:r>
        <w:rPr>
          <w:vertAlign w:val="superscript"/>
        </w:rPr>
        <w:footnoteReference w:id="7"/>
      </w:r>
      <w:r>
        <w:rPr>
          <w:rtl w:val="0"/>
          <w:lang w:val="en-US"/>
        </w:rPr>
        <w:t xml:space="preserve"> but they may themselves have been local landowners of some note (as were the administrators of Appianus</w:t>
      </w:r>
      <w:r>
        <w:rPr>
          <w:rtl w:val="1"/>
        </w:rPr>
        <w:t xml:space="preserve">’ </w:t>
      </w:r>
      <w:r>
        <w:rPr>
          <w:rtl w:val="0"/>
          <w:lang w:val="en-US"/>
        </w:rPr>
        <w:t xml:space="preserve">estate, for instance), so an identification of Kallistratos the landowner with Kallistratos the </w:t>
      </w:r>
      <w:r>
        <w:rPr>
          <w:rtl w:val="0"/>
        </w:rPr>
        <w:t xml:space="preserve">προεστώς </w:t>
      </w:r>
      <w:r>
        <w:rPr>
          <w:rtl w:val="0"/>
          <w:lang w:val="en-US"/>
        </w:rPr>
        <w:t>is not out of the question.</w:t>
      </w:r>
      <w:r>
        <w:rPr>
          <w:vertAlign w:val="superscript"/>
        </w:rPr>
        <w:footnoteReference w:id="8"/>
      </w:r>
    </w:p>
    <w:p>
      <w:pPr>
        <w:pStyle w:val="Body"/>
      </w:pP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#articleHeader</w:t>
      </w:r>
    </w:p>
    <w:p>
      <w:pPr>
        <w:pStyle w:val="Heading"/>
      </w:pPr>
      <w:r>
        <w:rPr>
          <w:rtl w:val="0"/>
        </w:rPr>
        <w:t xml:space="preserve">18. </w:t>
      </w:r>
      <w:r>
        <w:rPr>
          <w:rStyle w:val="Hyperlink.0"/>
        </w:rPr>
        <w:fldChar w:fldCharType="begin" w:fldLock="0"/>
      </w:r>
      <w:r>
        <w:rPr>
          <w:rStyle w:val="Hyperlink.0"/>
        </w:rPr>
        <w:instrText xml:space="preserve"> HYPERLINK "https://papyri.info/ddbdp/stud.pal%3B22%3B1"</w:instrText>
      </w:r>
      <w:r>
        <w:rPr>
          <w:rStyle w:val="Hyperlink.0"/>
        </w:rPr>
        <w:fldChar w:fldCharType="separate" w:fldLock="0"/>
      </w:r>
      <w:r>
        <w:rPr>
          <w:rStyle w:val="Hyperlink.0"/>
          <w:rtl w:val="0"/>
          <w:lang w:val="pt-PT"/>
        </w:rPr>
        <w:t>SPP 22 1</w:t>
      </w:r>
      <w:r>
        <w:rPr/>
        <w:fldChar w:fldCharType="end" w:fldLock="0"/>
      </w:r>
      <w:r>
        <w:rPr>
          <w:rtl w:val="0"/>
          <w:lang w:val="pt-PT"/>
        </w:rPr>
        <w:t xml:space="preserve"> (Soknopaiou Nesos, II</w:t>
      </w:r>
      <w:r>
        <w:rPr>
          <w:rtl w:val="0"/>
        </w:rPr>
        <w:t>–</w:t>
      </w:r>
      <w:r>
        <w:rPr>
          <w:rtl w:val="0"/>
        </w:rPr>
        <w:t>III)</w:t>
      </w:r>
    </w:p>
    <w:p>
      <w:pPr>
        <w:pStyle w:val="Body"/>
      </w:pPr>
    </w:p>
    <w:p>
      <w:pPr>
        <w:pStyle w:val="Body"/>
        <w:ind w:firstLine="720"/>
      </w:pPr>
      <w:r>
        <w:rPr>
          <w:rtl w:val="0"/>
          <w:lang w:val="en-US"/>
        </w:rPr>
        <w:t xml:space="preserve">This summons sent to Soknopaiou Nesos refers to charges brought </w:t>
      </w:r>
      <w:r>
        <w:rPr>
          <w:rtl w:val="0"/>
        </w:rPr>
        <w:t>ὑπὸ Ἀμμ</w:t>
      </w:r>
      <w:r>
        <w:rPr>
          <w:rtl w:val="0"/>
          <w:lang w:val="pt-PT"/>
        </w:rPr>
        <w:t>[</w:t>
      </w:r>
      <w:r>
        <w:rPr>
          <w:rtl w:val="0"/>
        </w:rPr>
        <w:t>ωνί</w:t>
      </w:r>
      <w:r>
        <w:rPr>
          <w:rtl w:val="0"/>
          <w:lang w:val="pt-PT"/>
        </w:rPr>
        <w:t>]</w:t>
      </w:r>
      <w:r>
        <w:rPr>
          <w:rtl w:val="0"/>
        </w:rPr>
        <w:t>ου πράκτορος ταμι</w:t>
      </w:r>
      <w:r>
        <w:rPr>
          <w:rtl w:val="0"/>
          <w:lang w:val="pt-PT"/>
        </w:rPr>
        <w:t>[</w:t>
      </w:r>
      <w:r>
        <w:rPr>
          <w:rtl w:val="0"/>
        </w:rPr>
        <w:t>ακ</w:t>
      </w:r>
      <w:r>
        <w:rPr>
          <w:rtl w:val="0"/>
          <w:lang w:val="pt-PT"/>
        </w:rPr>
        <w:t>]</w:t>
      </w:r>
      <w:r>
        <w:rPr>
          <w:rtl w:val="0"/>
        </w:rPr>
        <w:t>ῶν</w:t>
      </w:r>
      <w:r>
        <w:rPr>
          <w:rtl w:val="0"/>
          <w:lang w:val="en-US"/>
        </w:rPr>
        <w:t>, as the edition has it (ll. 3</w:t>
      </w:r>
      <w:r>
        <w:rPr>
          <w:rtl w:val="0"/>
        </w:rPr>
        <w:t>–</w:t>
      </w:r>
      <w:r>
        <w:rPr>
          <w:rtl w:val="0"/>
          <w:lang w:val="en-US"/>
        </w:rPr>
        <w:t xml:space="preserve">4). Such an official is not known elsewhere, and the date (before ca. 240 due to the mention of Soknopaiou Nesos) would be early for the use of </w:t>
      </w:r>
      <w:r>
        <w:rPr>
          <w:rtl w:val="0"/>
        </w:rPr>
        <w:t>ταμιακός</w:t>
      </w:r>
      <w:r>
        <w:rPr>
          <w:rtl w:val="0"/>
          <w:lang w:val="en-US"/>
        </w:rPr>
        <w:t xml:space="preserve">. The image shows that there is not enough room for the reading, and in any case the top half of an epsilon (not alpha) follows tau. </w:t>
      </w:r>
      <w:r>
        <w:rPr>
          <w:rtl w:val="0"/>
        </w:rPr>
        <w:t xml:space="preserve">τειμ̣ῶν </w:t>
      </w:r>
      <w:r>
        <w:rPr>
          <w:rtl w:val="0"/>
          <w:lang w:val="en-US"/>
        </w:rPr>
        <w:t xml:space="preserve">is possible palaeographically but also entails an otherwise-unattested remit, and the mu would also have an unusually-tall peak to its first stroke. Probably we are dealing with the omission of a syllable with haplography, </w:t>
      </w:r>
      <w:r>
        <w:rPr>
          <w:rtl w:val="0"/>
        </w:rPr>
        <w:t>πράκτορος ⟨σι⟩τεικ̣ῶν</w:t>
      </w:r>
      <w:r>
        <w:rPr>
          <w:rtl w:val="0"/>
          <w:lang w:val="en-US"/>
        </w:rPr>
        <w:t xml:space="preserve">, although this solution runs against the Lex Youtie. In any case, the </w:t>
      </w:r>
      <w:r>
        <w:rPr>
          <w:rtl w:val="0"/>
        </w:rPr>
        <w:t xml:space="preserve">πράκτωρ ταμιακῶν </w:t>
      </w:r>
      <w:r>
        <w:rPr>
          <w:rtl w:val="0"/>
          <w:lang w:val="en-US"/>
        </w:rPr>
        <w:t>can be discarded.</w:t>
      </w:r>
    </w:p>
    <w:p>
      <w:pPr>
        <w:pStyle w:val="Body"/>
        <w:ind w:firstLine="720"/>
      </w:pP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#articleHeader</w:t>
      </w:r>
    </w:p>
    <w:p>
      <w:pPr>
        <w:pStyle w:val="Heading"/>
      </w:pPr>
      <w:r>
        <w:rPr>
          <w:rtl w:val="0"/>
        </w:rPr>
        <w:t xml:space="preserve">19. </w:t>
      </w:r>
      <w:r>
        <w:rPr>
          <w:rStyle w:val="Hyperlink.0"/>
        </w:rPr>
        <w:fldChar w:fldCharType="begin" w:fldLock="0"/>
      </w:r>
      <w:r>
        <w:rPr>
          <w:rStyle w:val="Hyperlink.0"/>
        </w:rPr>
        <w:instrText xml:space="preserve"> HYPERLINK "https://papyri.info/ddbdp/bgu%3B1%3B98"</w:instrText>
      </w:r>
      <w:r>
        <w:rPr>
          <w:rStyle w:val="Hyperlink.0"/>
        </w:rPr>
        <w:fldChar w:fldCharType="separate" w:fldLock="0"/>
      </w:r>
      <w:r>
        <w:rPr>
          <w:rStyle w:val="Hyperlink.0"/>
          <w:rtl w:val="0"/>
        </w:rPr>
        <w:t>BGU I 98</w:t>
      </w:r>
      <w:r>
        <w:rPr/>
        <w:fldChar w:fldCharType="end" w:fldLock="0"/>
      </w:r>
      <w:r>
        <w:rPr>
          <w:rtl w:val="0"/>
          <w:lang w:val="pt-PT"/>
        </w:rPr>
        <w:t xml:space="preserve"> (Sonopaiou Nesos, 211)</w:t>
      </w:r>
    </w:p>
    <w:p>
      <w:pPr>
        <w:pStyle w:val="Body"/>
      </w:pPr>
    </w:p>
    <w:p>
      <w:pPr>
        <w:pStyle w:val="Body"/>
      </w:pPr>
      <w:r>
        <w:rPr>
          <w:rStyle w:val="Hyperlink.0"/>
        </w:rPr>
        <w:fldChar w:fldCharType="begin" w:fldLock="0"/>
      </w:r>
      <w:r>
        <w:rPr>
          <w:rStyle w:val="Hyperlink.0"/>
        </w:rPr>
        <w:instrText xml:space="preserve"> HYPERLINK "https://papyri.info/biblio/78018"</w:instrText>
      </w:r>
      <w:r>
        <w:rPr>
          <w:rStyle w:val="Hyperlink.0"/>
        </w:rPr>
        <w:fldChar w:fldCharType="separate" w:fldLock="0"/>
      </w:r>
      <w:r>
        <w:rPr>
          <w:rStyle w:val="Hyperlink.0"/>
          <w:rtl w:val="0"/>
        </w:rPr>
        <w:t>Worp 2009</w:t>
      </w:r>
      <w:r>
        <w:rPr/>
        <w:fldChar w:fldCharType="end" w:fldLock="0"/>
      </w:r>
      <w:r>
        <w:rPr>
          <w:rtl w:val="0"/>
          <w:lang w:val="en-US"/>
        </w:rPr>
        <w:t xml:space="preserve">: 148 pointed to this text as the only example of a woman described by an </w:t>
      </w:r>
      <w:r>
        <w:rPr>
          <w:rtl w:val="0"/>
        </w:rPr>
        <w:t xml:space="preserve">οὐλή </w:t>
      </w:r>
      <w:r>
        <w:rPr>
          <w:rtl w:val="0"/>
          <w:lang w:val="en-US"/>
        </w:rPr>
        <w:t xml:space="preserve">on her thigh and suggested on the basis of gender roles that </w:t>
      </w:r>
      <w:r>
        <w:rPr>
          <w:rtl w:val="0"/>
        </w:rPr>
        <w:t xml:space="preserve">μηρῷ </w:t>
      </w:r>
      <w:r>
        <w:rPr>
          <w:rtl w:val="0"/>
          <w:lang w:val="en-US"/>
        </w:rPr>
        <w:t xml:space="preserve">in l. 26 was a phonetic variant of </w:t>
      </w:r>
      <w:r>
        <w:rPr>
          <w:rtl w:val="0"/>
        </w:rPr>
        <w:t>μήλῳ</w:t>
      </w:r>
      <w:r>
        <w:rPr>
          <w:rtl w:val="0"/>
          <w:lang w:val="en-US"/>
        </w:rPr>
        <w:t xml:space="preserve">, thereby moving the mark to her cheek. The image now available in </w:t>
      </w:r>
      <w:r>
        <w:rPr>
          <w:rStyle w:val="Hyperlink.0"/>
        </w:rPr>
        <w:fldChar w:fldCharType="begin" w:fldLock="0"/>
      </w:r>
      <w:r>
        <w:rPr>
          <w:rStyle w:val="Hyperlink.0"/>
        </w:rPr>
        <w:instrText xml:space="preserve"> HYPERLINK "https://berlpap.smb.museum/01705/"</w:instrText>
      </w:r>
      <w:r>
        <w:rPr>
          <w:rStyle w:val="Hyperlink.0"/>
        </w:rPr>
        <w:fldChar w:fldCharType="separate" w:fldLock="0"/>
      </w:r>
      <w:r>
        <w:rPr>
          <w:rStyle w:val="Hyperlink.0"/>
          <w:rtl w:val="0"/>
        </w:rPr>
        <w:t>BerlPap</w:t>
      </w:r>
      <w:r>
        <w:rPr/>
        <w:fldChar w:fldCharType="end" w:fldLock="0"/>
      </w:r>
      <w:r>
        <w:rPr>
          <w:rtl w:val="0"/>
          <w:lang w:val="en-US"/>
        </w:rPr>
        <w:t xml:space="preserve"> shows that it was there all along: the papyrus has </w:t>
      </w:r>
      <w:r>
        <w:rPr>
          <w:rtl w:val="0"/>
        </w:rPr>
        <w:t>μήλῳ</w:t>
      </w:r>
      <w:r>
        <w:rPr>
          <w:rtl w:val="0"/>
        </w:rPr>
        <w:t>.</w:t>
      </w:r>
    </w:p>
    <w:p>
      <w:pPr>
        <w:pStyle w:val="Body"/>
      </w:pP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#articleHeader</w:t>
      </w:r>
    </w:p>
    <w:p>
      <w:pPr>
        <w:pStyle w:val="Heading"/>
      </w:pPr>
      <w:r>
        <w:rPr>
          <w:rtl w:val="0"/>
        </w:rPr>
        <w:t xml:space="preserve">20. </w:t>
      </w:r>
      <w:r>
        <w:rPr>
          <w:rStyle w:val="Hyperlink.0"/>
        </w:rPr>
        <w:fldChar w:fldCharType="begin" w:fldLock="0"/>
      </w:r>
      <w:r>
        <w:rPr>
          <w:rStyle w:val="Hyperlink.0"/>
        </w:rPr>
        <w:instrText xml:space="preserve"> HYPERLINK "https://papyri.info/ddbdp/bgu%3B7%3B1683"</w:instrText>
      </w:r>
      <w:r>
        <w:rPr>
          <w:rStyle w:val="Hyperlink.0"/>
        </w:rPr>
        <w:fldChar w:fldCharType="separate" w:fldLock="0"/>
      </w:r>
      <w:r>
        <w:rPr>
          <w:rStyle w:val="Hyperlink.0"/>
          <w:rtl w:val="0"/>
        </w:rPr>
        <w:t>BGU 7 1683</w:t>
      </w:r>
      <w:r>
        <w:rPr/>
        <w:fldChar w:fldCharType="end" w:fldLock="0"/>
      </w:r>
      <w:r>
        <w:rPr>
          <w:rtl w:val="0"/>
          <w:lang w:val="en-US"/>
        </w:rPr>
        <w:t xml:space="preserve"> = Kolveris 2025 (Philadelphia, III</w:t>
      </w:r>
      <w:r>
        <w:rPr>
          <w:rtl w:val="0"/>
        </w:rPr>
        <w:t>–</w:t>
      </w:r>
      <w:r>
        <w:rPr>
          <w:rtl w:val="0"/>
        </w:rPr>
        <w:t>IV)</w:t>
      </w:r>
    </w:p>
    <w:p>
      <w:pPr>
        <w:pStyle w:val="Body"/>
      </w:pPr>
    </w:p>
    <w:p>
      <w:pPr>
        <w:pStyle w:val="Body"/>
      </w:pPr>
      <w:r>
        <w:rPr>
          <w:rtl w:val="0"/>
        </w:rPr>
        <w:tab/>
        <w:t xml:space="preserve">The new edition, made from a digital image, provides an improved text of this third or fourth century business letter excavated at Philadelphia by Viereck and Zucker. The first line is badly smudged but should contain the names of the correspondents (or at least the recipient), since </w:t>
      </w:r>
      <w:r>
        <w:rPr>
          <w:rtl w:val="0"/>
        </w:rPr>
        <w:t xml:space="preserve">χαίρειν </w:t>
      </w:r>
      <w:r>
        <w:rPr>
          <w:rtl w:val="0"/>
          <w:lang w:val="en-US"/>
        </w:rPr>
        <w:t xml:space="preserve">follows in the next line. The new edition prints </w:t>
      </w:r>
      <w:r>
        <w:rPr>
          <w:rtl w:val="0"/>
        </w:rPr>
        <w:t xml:space="preserve">Ευ ̣  ̣ι ̣  ̣  ̣ν̣ε ̣  ̣  ̣  ̣  ̣  ̣  ̣ </w:t>
      </w:r>
      <w:r>
        <w:rPr>
          <w:rtl w:val="0"/>
          <w:lang w:val="en-US"/>
        </w:rPr>
        <w:t xml:space="preserve">where the first edition had </w:t>
      </w:r>
      <w:r>
        <w:rPr>
          <w:rtl w:val="0"/>
        </w:rPr>
        <w:t>Εὐγ̣ε̣  ̣  ̣  ̣  ̣  ̣ ἀδ̣</w:t>
      </w:r>
      <w:r>
        <w:rPr>
          <w:rtl w:val="0"/>
          <w:lang w:val="pt-PT"/>
        </w:rPr>
        <w:t>[</w:t>
      </w:r>
      <w:r>
        <w:rPr>
          <w:rtl w:val="0"/>
        </w:rPr>
        <w:t>ε</w:t>
      </w:r>
      <w:r>
        <w:rPr>
          <w:rtl w:val="0"/>
          <w:lang w:val="pt-PT"/>
        </w:rPr>
        <w:t>]</w:t>
      </w:r>
      <w:r>
        <w:rPr>
          <w:rtl w:val="0"/>
        </w:rPr>
        <w:t>λφῷ</w:t>
      </w:r>
      <w:r>
        <w:rPr>
          <w:rtl w:val="0"/>
        </w:rPr>
        <w:t>.</w:t>
      </w:r>
    </w:p>
    <w:p>
      <w:pPr>
        <w:pStyle w:val="Body"/>
        <w:ind w:firstLine="720"/>
      </w:pPr>
      <w:r>
        <w:rPr>
          <w:rtl w:val="0"/>
          <w:lang w:val="en-US"/>
        </w:rPr>
        <w:t>Examination of the original in Warsaw with the aid of a digital microscope shows that the sender</w:t>
      </w:r>
      <w:r>
        <w:rPr>
          <w:rtl w:val="1"/>
        </w:rPr>
        <w:t>’</w:t>
      </w:r>
      <w:r>
        <w:rPr>
          <w:rtl w:val="0"/>
          <w:lang w:val="en-US"/>
        </w:rPr>
        <w:t xml:space="preserve">s name is </w:t>
      </w:r>
      <w:r>
        <w:rPr>
          <w:rtl w:val="0"/>
        </w:rPr>
        <w:t>Εὔνους</w:t>
      </w:r>
      <w:r>
        <w:rPr>
          <w:rtl w:val="0"/>
          <w:lang w:val="en-US"/>
        </w:rPr>
        <w:t>, which is otherwise not found in Egypt after 109 (</w:t>
      </w:r>
      <w:r>
        <w:rPr>
          <w:rStyle w:val="Hyperlink.0"/>
        </w:rPr>
        <w:fldChar w:fldCharType="begin" w:fldLock="0"/>
      </w:r>
      <w:r>
        <w:rPr>
          <w:rStyle w:val="Hyperlink.0"/>
        </w:rPr>
        <w:instrText xml:space="preserve"> HYPERLINK "http://www.trismegistos.org/name/3048"</w:instrText>
      </w:r>
      <w:r>
        <w:rPr>
          <w:rStyle w:val="Hyperlink.0"/>
        </w:rPr>
        <w:fldChar w:fldCharType="separate" w:fldLock="0"/>
      </w:r>
      <w:r>
        <w:rPr>
          <w:rStyle w:val="Hyperlink.0"/>
          <w:rtl w:val="0"/>
        </w:rPr>
        <w:t>TM Nam 3048</w:t>
      </w:r>
      <w:r>
        <w:rPr/>
        <w:fldChar w:fldCharType="end" w:fldLock="0"/>
      </w:r>
      <w:r>
        <w:rPr>
          <w:rtl w:val="0"/>
          <w:lang w:val="en-US"/>
        </w:rPr>
        <w:t xml:space="preserve">). Fig. 3 contains infrared images of the ending </w:t>
      </w:r>
      <w:r>
        <w:rPr>
          <w:rtl w:val="0"/>
        </w:rPr>
        <w:t>νους</w:t>
      </w:r>
      <w:r>
        <w:rPr>
          <w:rtl w:val="0"/>
          <w:lang w:val="en-US"/>
        </w:rPr>
        <w:t xml:space="preserve">, with a wide nu whose final hasta starts with a hook, as elsewhere in the text, followed by a small omicron filled with ink, a Vshaped upsilon starting above the omicron, and finally a sigma in two parts. </w:t>
      </w:r>
    </w:p>
    <w:p>
      <w:pPr>
        <w:pStyle w:val="Body"/>
      </w:pPr>
    </w:p>
    <w:p>
      <w:pPr>
        <w:pStyle w:val="Body"/>
      </w:pPr>
    </w:p>
    <w:p>
      <w:pPr>
        <w:pStyle w:val="Body"/>
      </w:pPr>
    </w:p>
    <w:p>
      <w:pPr>
        <w:pStyle w:val="Body"/>
      </w:pPr>
      <w:r>
        <w:rPr>
          <w:rtl w:val="0"/>
          <w:lang w:val="en-US"/>
        </w:rPr>
        <w:t>What follows is more difficult, but if the original editors</w:t>
      </w:r>
      <w:r>
        <w:rPr>
          <w:rtl w:val="0"/>
        </w:rPr>
        <w:t xml:space="preserve">’ ἀδελφῷ </w:t>
      </w:r>
      <w:r>
        <w:rPr>
          <w:rtl w:val="0"/>
          <w:lang w:val="en-US"/>
        </w:rPr>
        <w:t>is retained, the recipient</w:t>
      </w:r>
      <w:r>
        <w:rPr>
          <w:rtl w:val="1"/>
        </w:rPr>
        <w:t>’</w:t>
      </w:r>
      <w:r>
        <w:rPr>
          <w:rtl w:val="0"/>
          <w:lang w:val="en-US"/>
        </w:rPr>
        <w:t xml:space="preserve">s name must be short. In this case, </w:t>
      </w:r>
      <w:r>
        <w:rPr>
          <w:rtl w:val="0"/>
        </w:rPr>
        <w:t xml:space="preserve">Ὅλ </w:t>
      </w:r>
      <w:r>
        <w:rPr>
          <w:rtl w:val="0"/>
          <w:lang w:val="en-US"/>
        </w:rPr>
        <w:t xml:space="preserve">works: the omicron is small, and the lambda is just cut off by the break (part of the ink in between could be the </w:t>
      </w:r>
      <w:r>
        <w:rPr>
          <w:rtl w:val="1"/>
          <w:lang w:val="ar-SA" w:bidi="ar-SA"/>
        </w:rPr>
        <w:t>“</w:t>
      </w:r>
      <w:r>
        <w:rPr>
          <w:rtl w:val="0"/>
          <w:lang w:val="en-US"/>
        </w:rPr>
        <w:t>wind up</w:t>
      </w:r>
      <w:r>
        <w:rPr>
          <w:rtl w:val="0"/>
        </w:rPr>
        <w:t xml:space="preserve">” </w:t>
      </w:r>
      <w:r>
        <w:rPr>
          <w:rtl w:val="0"/>
          <w:lang w:val="en-US"/>
        </w:rPr>
        <w:t xml:space="preserve">of the second stroke of lambda, as in </w:t>
      </w:r>
      <w:r>
        <w:rPr>
          <w:rtl w:val="0"/>
        </w:rPr>
        <w:t>ἀμελήσῃς</w:t>
      </w:r>
      <w:r>
        <w:rPr>
          <w:rtl w:val="0"/>
          <w:lang w:val="en-US"/>
        </w:rPr>
        <w:t>, l. 7): see Fig. 4, with the beginning of the following alpha.</w:t>
      </w:r>
    </w:p>
    <w:p>
      <w:pPr>
        <w:pStyle w:val="Body"/>
      </w:pPr>
    </w:p>
    <w:p>
      <w:pPr>
        <w:pStyle w:val="Body"/>
      </w:pPr>
    </w:p>
    <w:p>
      <w:pPr>
        <w:pStyle w:val="Body"/>
      </w:pPr>
    </w:p>
    <w:p>
      <w:pPr>
        <w:pStyle w:val="Body"/>
      </w:pPr>
      <w:r>
        <w:rPr>
          <w:rtl w:val="0"/>
        </w:rPr>
        <w:tab/>
        <w:t xml:space="preserve">The proposal for line 1 is thus: </w:t>
      </w:r>
      <w:r>
        <w:rPr>
          <w:rtl w:val="0"/>
        </w:rPr>
        <w:t>Εὔνους Ὃλ ἀδ̣ε̣λ̣φ̣ῷ̣</w:t>
      </w:r>
      <w:r>
        <w:rPr>
          <w:rtl w:val="0"/>
          <w:lang w:val="en-US"/>
        </w:rPr>
        <w:t>. As mentioned, the name Eunous is rare, but since he is the sender of the business letter, he might not belong to the community of Philadelphia. Hol, on the other hand, a variant of Horos, is well established in the village (and the Fayum generally) from the end of the third century.</w:t>
      </w:r>
      <w:r>
        <w:rPr>
          <w:rFonts w:ascii="IFAO-Grec Unicode" w:cs="IFAO-Grec Unicode" w:hAnsi="IFAO-Grec Unicode" w:eastAsia="IFAO-Grec Unicode"/>
          <w:b w:val="0"/>
          <w:bCs w:val="0"/>
          <w:i w:val="0"/>
          <w:iCs w:val="0"/>
          <w:vertAlign w:val="superscript"/>
        </w:rPr>
        <w:footnoteReference w:id="9"/>
      </w:r>
    </w:p>
    <w:p>
      <w:pPr>
        <w:pStyle w:val="Body"/>
      </w:pP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#articleHeader</w:t>
      </w:r>
    </w:p>
    <w:p>
      <w:pPr>
        <w:pStyle w:val="Heading"/>
      </w:pPr>
      <w:r>
        <w:rPr>
          <w:rtl w:val="0"/>
          <w:lang w:val="en-US"/>
        </w:rPr>
        <w:t>21. Compensation for the Work of Slave Girl</w:t>
      </w:r>
    </w:p>
    <w:p>
      <w:pPr>
        <w:pStyle w:val="Body"/>
      </w:pPr>
    </w:p>
    <w:p>
      <w:pPr>
        <w:pStyle w:val="Body"/>
      </w:pPr>
      <w:r>
        <w:rPr>
          <w:rtl w:val="0"/>
        </w:rPr>
        <w:tab/>
        <w:t xml:space="preserve">In my edition of the </w:t>
      </w:r>
      <w:r>
        <w:rPr>
          <w:rtl w:val="0"/>
          <w:lang w:val="it-IT"/>
        </w:rPr>
        <w:t xml:space="preserve">eiromenon </w:t>
      </w:r>
      <w:r>
        <w:rPr>
          <w:rStyle w:val="Hyperlink.0"/>
        </w:rPr>
        <w:fldChar w:fldCharType="begin" w:fldLock="0"/>
      </w:r>
      <w:r>
        <w:rPr>
          <w:rStyle w:val="Hyperlink.0"/>
        </w:rPr>
        <w:instrText xml:space="preserve"> HYPERLINK "https://papyri.info/ddbdp/basp%3B50%3B89"</w:instrText>
      </w:r>
      <w:r>
        <w:rPr>
          <w:rStyle w:val="Hyperlink.0"/>
        </w:rPr>
        <w:fldChar w:fldCharType="separate" w:fldLock="0"/>
      </w:r>
      <w:r>
        <w:rPr>
          <w:rStyle w:val="Hyperlink.0"/>
          <w:rtl w:val="0"/>
          <w:lang w:val="pt-PT"/>
        </w:rPr>
        <w:t>P.Fay. 344 recto</w:t>
      </w:r>
      <w:r>
        <w:rPr/>
        <w:fldChar w:fldCharType="end" w:fldLock="0"/>
      </w:r>
      <w:r>
        <w:rPr>
          <w:rtl w:val="0"/>
          <w:lang w:val="en-US"/>
        </w:rPr>
        <w:t>, I described the abstract in ll. 23</w:t>
      </w:r>
      <w:r>
        <w:rPr>
          <w:rtl w:val="0"/>
        </w:rPr>
        <w:t>–</w:t>
      </w:r>
      <w:r>
        <w:rPr>
          <w:rtl w:val="0"/>
          <w:lang w:val="en-US"/>
        </w:rPr>
        <w:t xml:space="preserve">24 (labeled with the letter </w:t>
      </w:r>
      <w:r>
        <w:rPr>
          <w:b w:val="1"/>
          <w:bCs w:val="1"/>
          <w:rtl w:val="0"/>
        </w:rPr>
        <w:t>l</w:t>
      </w:r>
      <w:r>
        <w:rPr>
          <w:rtl w:val="0"/>
          <w:lang w:val="en-US"/>
        </w:rPr>
        <w:t xml:space="preserve">) as a </w:t>
      </w:r>
      <w:r>
        <w:rPr>
          <w:rtl w:val="1"/>
          <w:lang w:val="ar-SA" w:bidi="ar-SA"/>
        </w:rPr>
        <w:t>“</w:t>
      </w:r>
      <w:r>
        <w:rPr>
          <w:rtl w:val="0"/>
          <w:lang w:val="en-US"/>
        </w:rPr>
        <w:t xml:space="preserve">loan of 60 drachmas with </w:t>
      </w:r>
      <w:r>
        <w:rPr>
          <w:rtl w:val="0"/>
        </w:rPr>
        <w:t xml:space="preserve">παραμονή </w:t>
      </w:r>
      <w:r>
        <w:rPr>
          <w:rtl w:val="0"/>
          <w:lang w:val="en-US"/>
        </w:rPr>
        <w:t>of slave girl in exchange for interest</w:t>
      </w:r>
      <w:r>
        <w:rPr>
          <w:rtl w:val="0"/>
        </w:rPr>
        <w:t xml:space="preserve">” </w:t>
      </w:r>
      <w:r>
        <w:rPr>
          <w:rtl w:val="0"/>
        </w:rPr>
        <w:t>(</w:t>
      </w:r>
      <w:r>
        <w:rPr>
          <w:rStyle w:val="Hyperlink.0"/>
        </w:rPr>
        <w:fldChar w:fldCharType="begin" w:fldLock="0"/>
      </w:r>
      <w:r>
        <w:rPr>
          <w:rStyle w:val="Hyperlink.0"/>
        </w:rPr>
        <w:instrText xml:space="preserve"> HYPERLINK "https://papyri.info/biblio/86477"</w:instrText>
      </w:r>
      <w:r>
        <w:rPr>
          <w:rStyle w:val="Hyperlink.0"/>
        </w:rPr>
        <w:fldChar w:fldCharType="separate" w:fldLock="0"/>
      </w:r>
      <w:r>
        <w:rPr>
          <w:rStyle w:val="Hyperlink.0"/>
          <w:rtl w:val="0"/>
          <w:lang w:val="da-DK"/>
        </w:rPr>
        <w:t>Claytor 2013</w:t>
      </w:r>
      <w:r>
        <w:rPr/>
        <w:fldChar w:fldCharType="end" w:fldLock="0"/>
      </w:r>
      <w:r>
        <w:rPr>
          <w:rtl w:val="0"/>
          <w:lang w:val="en-US"/>
        </w:rPr>
        <w:t>: 82). Line 23 contains the receipt of the loan, while the next line contains the end of the clause regarding the girl</w:t>
      </w:r>
      <w:r>
        <w:rPr>
          <w:rtl w:val="1"/>
        </w:rPr>
        <w:t>’</w:t>
      </w:r>
      <w:r>
        <w:rPr>
          <w:rtl w:val="0"/>
          <w:lang w:val="en-US"/>
        </w:rPr>
        <w:t xml:space="preserve">s work, the penalty clause for absence, and the return clause. This last was printed: </w:t>
      </w:r>
      <w:r>
        <w:rPr>
          <w:rtl w:val="0"/>
        </w:rPr>
        <w:t>μ̣ετὰ τὸν χρό</w:t>
      </w:r>
      <w:r>
        <w:rPr>
          <w:rtl w:val="0"/>
        </w:rPr>
        <w:t>(</w:t>
      </w:r>
      <w:r>
        <w:rPr>
          <w:rtl w:val="0"/>
        </w:rPr>
        <w:t>νον</w:t>
      </w:r>
      <w:r>
        <w:rPr>
          <w:rtl w:val="0"/>
        </w:rPr>
        <w:t xml:space="preserve">) </w:t>
      </w:r>
      <w:r>
        <w:rPr>
          <w:rtl w:val="0"/>
        </w:rPr>
        <w:t>ἀποδότο ἀργυ</w:t>
      </w:r>
      <w:r>
        <w:rPr>
          <w:rtl w:val="0"/>
        </w:rPr>
        <w:t>(</w:t>
      </w:r>
      <w:r>
        <w:rPr>
          <w:rtl w:val="0"/>
        </w:rPr>
        <w:t>ρίου</w:t>
      </w:r>
      <w:r>
        <w:rPr>
          <w:rtl w:val="0"/>
        </w:rPr>
        <w:t xml:space="preserve">) </w:t>
      </w:r>
      <w:r>
        <w:rPr>
          <w:rtl w:val="0"/>
        </w:rPr>
        <w:t>⟨</w:t>
      </w:r>
      <w:r>
        <w:rPr>
          <w:rtl w:val="0"/>
        </w:rPr>
        <w:t>(</w:t>
      </w:r>
      <w:r>
        <w:rPr>
          <w:rtl w:val="0"/>
        </w:rPr>
        <w:t>δραχμὰς</w:t>
      </w:r>
      <w:r>
        <w:rPr>
          <w:rtl w:val="0"/>
        </w:rPr>
        <w:t>)</w:t>
      </w:r>
      <w:r>
        <w:rPr>
          <w:rtl w:val="0"/>
        </w:rPr>
        <w:t>⟩   ̣ καὶ δώσ̣ε̣ι ὁ Δι  ̣  ̣  ̣ο</w:t>
      </w:r>
      <w:r>
        <w:rPr>
          <w:rtl w:val="0"/>
          <w:lang w:val="de-DE"/>
        </w:rPr>
        <w:t xml:space="preserve">( ) </w:t>
      </w:r>
      <w:r>
        <w:rPr>
          <w:rtl w:val="0"/>
        </w:rPr>
        <w:t>τ̣ῇ̣ παι̣δ</w:t>
      </w:r>
      <w:r>
        <w:rPr>
          <w:rtl w:val="0"/>
        </w:rPr>
        <w:t>(</w:t>
      </w:r>
      <w:r>
        <w:rPr>
          <w:rtl w:val="0"/>
        </w:rPr>
        <w:t>ίσκηι</w:t>
      </w:r>
      <w:r>
        <w:rPr>
          <w:rtl w:val="0"/>
          <w:lang w:val="de-DE"/>
        </w:rPr>
        <w:t xml:space="preserve">)   </w:t>
      </w:r>
      <w:r>
        <w:rPr>
          <w:rtl w:val="0"/>
        </w:rPr>
        <w:t>̣  ̣ο</w:t>
      </w:r>
      <w:r>
        <w:rPr>
          <w:rtl w:val="0"/>
          <w:lang w:val="de-DE"/>
        </w:rPr>
        <w:t xml:space="preserve">( ) </w:t>
      </w:r>
      <w:r>
        <w:rPr>
          <w:rtl w:val="0"/>
        </w:rPr>
        <w:t xml:space="preserve">κ̣α̣ὶ̣ </w:t>
      </w:r>
      <w:r>
        <w:rPr>
          <w:rtl w:val="0"/>
          <w:lang w:val="en-US"/>
        </w:rPr>
        <w:t>[. A reexamination of the image (excerpted in Fig. 5) has produced some new ideas.</w:t>
      </w:r>
    </w:p>
    <w:p>
      <w:pPr>
        <w:pStyle w:val="Body"/>
        <w:ind w:firstLine="720"/>
      </w:pPr>
      <w:r>
        <w:rPr>
          <w:rtl w:val="0"/>
          <w:lang w:val="en-US"/>
        </w:rPr>
        <w:t xml:space="preserve">Following </w:t>
      </w:r>
      <w:r>
        <w:rPr>
          <w:rtl w:val="0"/>
        </w:rPr>
        <w:t>ἀργυ</w:t>
      </w:r>
      <w:r>
        <w:rPr>
          <w:rtl w:val="0"/>
        </w:rPr>
        <w:t>(</w:t>
      </w:r>
      <w:r>
        <w:rPr>
          <w:rtl w:val="0"/>
        </w:rPr>
        <w:t>ρίου</w:t>
      </w:r>
      <w:r>
        <w:rPr>
          <w:rtl w:val="0"/>
          <w:lang w:val="en-US"/>
        </w:rPr>
        <w:t>), the expected (</w:t>
      </w:r>
      <w:r>
        <w:rPr>
          <w:rtl w:val="0"/>
        </w:rPr>
        <w:t>δ̣ρ̣α̣χ̣μ̣ὰ̣ς̣</w:t>
      </w:r>
      <w:r>
        <w:rPr>
          <w:rtl w:val="0"/>
        </w:rPr>
        <w:t xml:space="preserve">) </w:t>
      </w:r>
      <w:r>
        <w:rPr>
          <w:rtl w:val="0"/>
        </w:rPr>
        <w:t xml:space="preserve">ξ̣ </w:t>
      </w:r>
      <w:r>
        <w:rPr>
          <w:rtl w:val="0"/>
          <w:lang w:val="en-US"/>
        </w:rPr>
        <w:t xml:space="preserve">should be read: the ligature between the overstroke of </w:t>
      </w:r>
      <w:r>
        <w:rPr>
          <w:rtl w:val="0"/>
        </w:rPr>
        <w:t xml:space="preserve">αργ ̅ </w:t>
      </w:r>
      <w:r>
        <w:rPr>
          <w:rtl w:val="0"/>
          <w:lang w:val="en-US"/>
        </w:rPr>
        <w:t xml:space="preserve">and the drachma sign is damaged but otherwise resembles the others, even if the drachma sign is less wavy than elsewhere. It is difficult to distinguish between the xi and the beginning of </w:t>
      </w:r>
      <w:r>
        <w:rPr>
          <w:rtl w:val="0"/>
        </w:rPr>
        <w:t>καί</w:t>
      </w:r>
      <w:r>
        <w:rPr>
          <w:rtl w:val="0"/>
          <w:lang w:val="en-US"/>
        </w:rPr>
        <w:t xml:space="preserve">, but the figure is not much in doubt, since the amount is spelled out in the previous line: </w:t>
      </w:r>
      <w:r>
        <w:rPr>
          <w:rtl w:val="0"/>
        </w:rPr>
        <w:t>ἔχιν παρ’ αὐ</w:t>
      </w:r>
      <w:r>
        <w:rPr>
          <w:rtl w:val="0"/>
        </w:rPr>
        <w:t>(</w:t>
      </w:r>
      <w:r>
        <w:rPr>
          <w:rtl w:val="0"/>
        </w:rPr>
        <w:t>τοῦ</w:t>
      </w:r>
      <w:r>
        <w:rPr>
          <w:rtl w:val="0"/>
        </w:rPr>
        <w:t xml:space="preserve">) </w:t>
      </w:r>
      <w:r>
        <w:rPr>
          <w:rtl w:val="0"/>
        </w:rPr>
        <w:t>δ</w:t>
      </w:r>
      <w:r>
        <w:rPr>
          <w:rtl w:val="0"/>
          <w:lang w:val="pt-PT"/>
        </w:rPr>
        <w:t>[</w:t>
      </w:r>
      <w:r>
        <w:rPr>
          <w:rtl w:val="0"/>
        </w:rPr>
        <w:t>ι</w:t>
      </w:r>
      <w:r>
        <w:rPr>
          <w:rtl w:val="0"/>
          <w:lang w:val="pt-PT"/>
        </w:rPr>
        <w:t>]</w:t>
      </w:r>
      <w:r>
        <w:rPr>
          <w:rtl w:val="0"/>
        </w:rPr>
        <w:t>ὰ̣ χ̣ε</w:t>
      </w:r>
      <w:r>
        <w:rPr>
          <w:rtl w:val="0"/>
        </w:rPr>
        <w:t>(</w:t>
      </w:r>
      <w:r>
        <w:rPr>
          <w:rtl w:val="0"/>
        </w:rPr>
        <w:t>ιρὸς</w:t>
      </w:r>
      <w:r>
        <w:rPr>
          <w:rtl w:val="0"/>
        </w:rPr>
        <w:t xml:space="preserve">) </w:t>
      </w:r>
      <w:r>
        <w:rPr>
          <w:rtl w:val="0"/>
        </w:rPr>
        <w:t>ἀργυ</w:t>
      </w:r>
      <w:r>
        <w:rPr>
          <w:rtl w:val="0"/>
        </w:rPr>
        <w:t>(</w:t>
      </w:r>
      <w:r>
        <w:rPr>
          <w:rtl w:val="0"/>
        </w:rPr>
        <w:t>ρίου</w:t>
      </w:r>
      <w:r>
        <w:rPr>
          <w:rtl w:val="0"/>
        </w:rPr>
        <w:t>) (</w:t>
      </w:r>
      <w:r>
        <w:rPr>
          <w:rtl w:val="0"/>
        </w:rPr>
        <w:t>δραχμὰς</w:t>
      </w:r>
      <w:r>
        <w:rPr>
          <w:rtl w:val="0"/>
        </w:rPr>
        <w:t xml:space="preserve">) </w:t>
      </w:r>
      <w:r>
        <w:rPr>
          <w:rtl w:val="0"/>
        </w:rPr>
        <w:t>ἑξήκοντα</w:t>
      </w:r>
      <w:r>
        <w:rPr>
          <w:rtl w:val="0"/>
        </w:rPr>
        <w:t>.</w:t>
      </w:r>
    </w:p>
    <w:p>
      <w:pPr>
        <w:pStyle w:val="Body"/>
        <w:ind w:firstLine="720"/>
      </w:pPr>
      <w:r>
        <w:rPr>
          <w:rtl w:val="0"/>
          <w:lang w:val="en-US"/>
        </w:rPr>
        <w:t xml:space="preserve">The name following the article is not in doubt </w:t>
      </w:r>
      <w:r>
        <w:rPr>
          <w:rtl w:val="0"/>
        </w:rPr>
        <w:t>Δίδ̣υ̣μο</w:t>
      </w:r>
      <w:r>
        <w:rPr>
          <w:rtl w:val="0"/>
        </w:rPr>
        <w:t>(</w:t>
      </w:r>
      <w:r>
        <w:rPr>
          <w:rtl w:val="0"/>
        </w:rPr>
        <w:t>ς</w:t>
      </w:r>
      <w:r>
        <w:rPr>
          <w:rtl w:val="0"/>
          <w:lang w:val="en-US"/>
        </w:rPr>
        <w:t>), with the base of the second delta and the low undulations of mu clearly visible. The name is added because the two verbs have different subjects: at the end of the contract, the first party must return (</w:t>
      </w:r>
      <w:r>
        <w:rPr>
          <w:rtl w:val="0"/>
        </w:rPr>
        <w:t>ἀποδότο</w:t>
      </w:r>
      <w:r>
        <w:rPr>
          <w:rtl w:val="0"/>
          <w:lang w:val="pt-PT"/>
        </w:rPr>
        <w:t xml:space="preserve">, l. </w:t>
      </w:r>
      <w:r>
        <w:rPr>
          <w:rtl w:val="0"/>
        </w:rPr>
        <w:t>ἀποδότω</w:t>
      </w:r>
      <w:r>
        <w:rPr>
          <w:rtl w:val="0"/>
          <w:lang w:val="en-US"/>
        </w:rPr>
        <w:t xml:space="preserve">) the 60-drachma principal, while Didymos, the lender, must give something to the slave girl. The article before </w:t>
      </w:r>
      <w:r>
        <w:rPr>
          <w:rtl w:val="0"/>
        </w:rPr>
        <w:t>Δίδ̣υ̣μο</w:t>
      </w:r>
      <w:r>
        <w:rPr>
          <w:rtl w:val="0"/>
        </w:rPr>
        <w:t>(</w:t>
      </w:r>
      <w:r>
        <w:rPr>
          <w:rtl w:val="0"/>
        </w:rPr>
        <w:t>ς</w:t>
      </w:r>
      <w:r>
        <w:rPr>
          <w:rtl w:val="0"/>
          <w:lang w:val="en-US"/>
        </w:rPr>
        <w:t>) is anaphoric, since he was already introduced in the lost beginning of the abstract.</w:t>
      </w:r>
    </w:p>
    <w:p>
      <w:pPr>
        <w:pStyle w:val="Body"/>
        <w:ind w:firstLine="720"/>
      </w:pPr>
      <w:r>
        <w:rPr>
          <w:rStyle w:val="Hyperlink.0"/>
        </w:rPr>
        <w:fldChar w:fldCharType="begin" w:fldLock="0"/>
      </w:r>
      <w:r>
        <w:rPr>
          <w:rStyle w:val="Hyperlink.0"/>
        </w:rPr>
        <w:instrText xml:space="preserve"> HYPERLINK "https://papyri.info/ddbdp/psi%3B6%3B710"</w:instrText>
      </w:r>
      <w:r>
        <w:rPr>
          <w:rStyle w:val="Hyperlink.0"/>
        </w:rPr>
        <w:fldChar w:fldCharType="separate" w:fldLock="0"/>
      </w:r>
      <w:r>
        <w:rPr>
          <w:rStyle w:val="Hyperlink.0"/>
          <w:rtl w:val="0"/>
          <w:lang w:val="pt-PT"/>
        </w:rPr>
        <w:t>PSI 6</w:t>
      </w:r>
      <w:r>
        <w:rPr>
          <w:rStyle w:val="Hyperlink.0"/>
          <w:rtl w:val="0"/>
        </w:rPr>
        <w:t> </w:t>
      </w:r>
      <w:r>
        <w:rPr>
          <w:rStyle w:val="Hyperlink.0"/>
          <w:rtl w:val="0"/>
        </w:rPr>
        <w:t>710</w:t>
      </w:r>
      <w:r>
        <w:rPr/>
        <w:fldChar w:fldCharType="end" w:fldLock="0"/>
      </w:r>
      <w:r>
        <w:rPr>
          <w:rtl w:val="0"/>
        </w:rPr>
        <w:t>.9</w:t>
      </w:r>
      <w:r>
        <w:rPr>
          <w:rtl w:val="0"/>
        </w:rPr>
        <w:t>–</w:t>
      </w:r>
      <w:r>
        <w:rPr>
          <w:rtl w:val="0"/>
          <w:lang w:val="en-US"/>
        </w:rPr>
        <w:t xml:space="preserve">10 (Oxyrhynchos [?], II), another </w:t>
      </w:r>
      <w:r>
        <w:rPr>
          <w:rtl w:val="0"/>
          <w:lang w:val="it-IT"/>
        </w:rPr>
        <w:t xml:space="preserve">paramone </w:t>
      </w:r>
      <w:r>
        <w:rPr>
          <w:rtl w:val="0"/>
          <w:lang w:val="en-US"/>
        </w:rPr>
        <w:t xml:space="preserve">contract for a slave (but based on lease, not a loan), provides a parallel: </w:t>
      </w:r>
      <w:r>
        <w:rPr>
          <w:rtl w:val="0"/>
        </w:rPr>
        <w:t>δώσει δὲ ὁ Διόσκορος τῷ παιδὶ πλ̣ηρώσαν̣τ̣ι̣ τ</w:t>
      </w:r>
      <w:r>
        <w:rPr>
          <w:rtl w:val="0"/>
          <w:lang w:val="pt-PT"/>
        </w:rPr>
        <w:t xml:space="preserve">[ </w:t>
      </w:r>
      <w:r>
        <w:rPr>
          <w:rtl w:val="0"/>
        </w:rPr>
        <w:t xml:space="preserve">… </w:t>
      </w:r>
      <w:r>
        <w:rPr>
          <w:rtl w:val="0"/>
        </w:rPr>
        <w:t xml:space="preserve">] | </w:t>
      </w:r>
      <w:r>
        <w:rPr>
          <w:rtl w:val="0"/>
        </w:rPr>
        <w:t>χ̣ιτῶνα ἄξιον δραχμῶν δέκα κ̣α̣ὶ̣ δραχμὰς δεκαδύ</w:t>
      </w:r>
      <w:r>
        <w:rPr>
          <w:rtl w:val="0"/>
          <w:lang w:val="pt-PT"/>
        </w:rPr>
        <w:t>[</w:t>
      </w:r>
      <w:r>
        <w:rPr>
          <w:rtl w:val="0"/>
        </w:rPr>
        <w:t xml:space="preserve">ο  … </w:t>
      </w:r>
      <w:r>
        <w:rPr>
          <w:rtl w:val="0"/>
          <w:lang w:val="en-US"/>
        </w:rPr>
        <w:t xml:space="preserve">]. As the editor already considered, line 9 can be supplemented </w:t>
      </w:r>
      <w:r>
        <w:rPr>
          <w:rtl w:val="0"/>
        </w:rPr>
        <w:t>πλ̣ηρώσαν̣τ̣ι̣ τ</w:t>
      </w:r>
      <w:r>
        <w:rPr>
          <w:rtl w:val="0"/>
          <w:lang w:val="pt-PT"/>
        </w:rPr>
        <w:t>[</w:t>
      </w:r>
      <w:r>
        <w:rPr>
          <w:rtl w:val="0"/>
        </w:rPr>
        <w:t>ὸν χρόνον</w:t>
      </w:r>
      <w:r>
        <w:rPr>
          <w:rtl w:val="0"/>
          <w:lang w:val="en-US"/>
        </w:rPr>
        <w:t xml:space="preserve">] (the equivalent of </w:t>
      </w:r>
      <w:r>
        <w:rPr>
          <w:rtl w:val="0"/>
        </w:rPr>
        <w:t>μετὰ τὸν χρόνον</w:t>
      </w:r>
      <w:r>
        <w:rPr>
          <w:rtl w:val="0"/>
          <w:lang w:val="en-US"/>
        </w:rPr>
        <w:t xml:space="preserve">). Dioskoros, the lessee of the slave, must, in addition to the regular wages, provide a </w:t>
      </w:r>
      <w:r>
        <w:rPr>
          <w:rtl w:val="0"/>
        </w:rPr>
        <w:t xml:space="preserve">chiton </w:t>
      </w:r>
      <w:r>
        <w:rPr>
          <w:rtl w:val="0"/>
          <w:lang w:val="en-US"/>
        </w:rPr>
        <w:t>worth 12 drachmas at the conclusion of the contract. This parallel suggests that clothing might have supplemented the compensation package in the Fayum contract as well, but the papyrus is bunched up here, and little besides the raised omicron is legible.</w:t>
      </w:r>
    </w:p>
    <w:p>
      <w:pPr>
        <w:pStyle w:val="Body"/>
        <w:ind w:firstLine="720"/>
      </w:pPr>
      <w:r>
        <w:rPr>
          <w:rtl w:val="0"/>
          <w:lang w:val="en-US"/>
        </w:rPr>
        <w:t>The proposed reading is:</w:t>
      </w:r>
    </w:p>
    <w:p>
      <w:pPr>
        <w:pStyle w:val="Body"/>
      </w:pPr>
      <w:r>
        <w:rPr>
          <w:rtl w:val="0"/>
        </w:rPr>
        <w:t>μετὰ τὸν χρό</w:t>
      </w:r>
      <w:r>
        <w:rPr>
          <w:rtl w:val="0"/>
        </w:rPr>
        <w:t>(</w:t>
      </w:r>
      <w:r>
        <w:rPr>
          <w:rtl w:val="0"/>
        </w:rPr>
        <w:t>νον</w:t>
      </w:r>
      <w:r>
        <w:rPr>
          <w:rtl w:val="0"/>
        </w:rPr>
        <w:t xml:space="preserve">) </w:t>
      </w:r>
      <w:r>
        <w:rPr>
          <w:rtl w:val="0"/>
        </w:rPr>
        <w:t>ἀποδότο ἀργυ</w:t>
      </w:r>
      <w:r>
        <w:rPr>
          <w:rtl w:val="0"/>
        </w:rPr>
        <w:t>(</w:t>
      </w:r>
      <w:r>
        <w:rPr>
          <w:rtl w:val="0"/>
        </w:rPr>
        <w:t>ρίου</w:t>
      </w:r>
      <w:r>
        <w:rPr>
          <w:rtl w:val="0"/>
        </w:rPr>
        <w:t>) (</w:t>
      </w:r>
      <w:r>
        <w:rPr>
          <w:rtl w:val="0"/>
        </w:rPr>
        <w:t>δ̣ρ̣α̣χ̣μ̣ὰ̣ς̣</w:t>
      </w:r>
      <w:r>
        <w:rPr>
          <w:rtl w:val="0"/>
        </w:rPr>
        <w:t xml:space="preserve">) </w:t>
      </w:r>
      <w:r>
        <w:rPr>
          <w:rtl w:val="0"/>
        </w:rPr>
        <w:t>ξ̣ καὶ δώσ̣ε̣ι ὁ Δίδ̣υ̣μο</w:t>
      </w:r>
      <w:r>
        <w:rPr>
          <w:rtl w:val="0"/>
        </w:rPr>
        <w:t>(</w:t>
      </w:r>
      <w:r>
        <w:rPr>
          <w:rtl w:val="0"/>
        </w:rPr>
        <w:t>ς</w:t>
      </w:r>
      <w:r>
        <w:rPr>
          <w:rtl w:val="0"/>
        </w:rPr>
        <w:t xml:space="preserve">) </w:t>
      </w:r>
      <w:r>
        <w:rPr>
          <w:rtl w:val="0"/>
        </w:rPr>
        <w:t>τῇ παι̣δ</w:t>
      </w:r>
      <w:r>
        <w:rPr>
          <w:rtl w:val="0"/>
        </w:rPr>
        <w:t>(</w:t>
      </w:r>
      <w:r>
        <w:rPr>
          <w:rtl w:val="0"/>
        </w:rPr>
        <w:t>ίσκηι</w:t>
      </w:r>
      <w:r>
        <w:rPr>
          <w:rtl w:val="0"/>
        </w:rPr>
        <w:t xml:space="preserve">) </w:t>
      </w:r>
      <w:r>
        <w:rPr>
          <w:rtl w:val="0"/>
        </w:rPr>
        <w:t>θ̣  ̣  ̣ο</w:t>
      </w:r>
      <w:r>
        <w:rPr>
          <w:rtl w:val="0"/>
          <w:lang w:val="de-DE"/>
        </w:rPr>
        <w:t xml:space="preserve">( ) </w:t>
      </w:r>
      <w:r>
        <w:rPr>
          <w:rtl w:val="0"/>
        </w:rPr>
        <w:t>κ̣  ̣  ̣  ̣</w:t>
      </w:r>
      <w:r>
        <w:rPr>
          <w:rtl w:val="0"/>
          <w:lang w:val="pt-PT"/>
        </w:rPr>
        <w:t>[</w:t>
      </w:r>
    </w:p>
    <w:p>
      <w:pPr>
        <w:pStyle w:val="Body"/>
      </w:pPr>
    </w:p>
    <w:p>
      <w:pPr>
        <w:pStyle w:val="Body"/>
      </w:pPr>
    </w:p>
    <w:p>
      <w:pPr>
        <w:pStyle w:val="Body"/>
      </w:pPr>
    </w:p>
    <w:p>
      <w:pPr>
        <w:pStyle w:val="Body"/>
      </w:pPr>
    </w:p>
    <w:p>
      <w:pPr>
        <w:pStyle w:val="Heading"/>
      </w:pP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#articleHeader</w:t>
      </w:r>
    </w:p>
    <w:p>
      <w:pPr>
        <w:pStyle w:val="Heading"/>
      </w:pPr>
      <w:r>
        <w:rPr>
          <w:rtl w:val="0"/>
          <w:lang w:val="en-US"/>
        </w:rPr>
        <w:t>22. Reflections of Hadrian</w:t>
      </w:r>
      <w:r>
        <w:rPr>
          <w:rtl w:val="1"/>
        </w:rPr>
        <w:t>’</w:t>
      </w:r>
      <w:r>
        <w:rPr>
          <w:rtl w:val="0"/>
          <w:lang w:val="en-US"/>
        </w:rPr>
        <w:t>s Tax Relief Edict of 136</w:t>
      </w:r>
    </w:p>
    <w:p>
      <w:pPr>
        <w:pStyle w:val="Body"/>
      </w:pPr>
    </w:p>
    <w:p>
      <w:pPr>
        <w:pStyle w:val="Body"/>
      </w:pPr>
      <w:r>
        <w:rPr>
          <w:rtl w:val="0"/>
        </w:rPr>
        <w:tab/>
        <w:t xml:space="preserve">Following two dangerously low inundations, Hadrian ordered a moratorium on the payment of </w:t>
      </w:r>
      <w:r>
        <w:rPr>
          <w:rtl w:val="0"/>
        </w:rPr>
        <w:t xml:space="preserve">ἀργυρικὸς φόρος </w:t>
      </w:r>
      <w:r>
        <w:rPr>
          <w:rtl w:val="0"/>
          <w:lang w:val="en-US"/>
        </w:rPr>
        <w:t xml:space="preserve">by the </w:t>
      </w:r>
      <w:r>
        <w:rPr>
          <w:rtl w:val="0"/>
        </w:rPr>
        <w:t xml:space="preserve">γεωργοί </w:t>
      </w:r>
      <w:r>
        <w:rPr>
          <w:rtl w:val="0"/>
          <w:lang w:val="en-US"/>
        </w:rPr>
        <w:t>of Egypt: payments due for the 20</w:t>
      </w:r>
      <w:r>
        <w:rPr>
          <w:vertAlign w:val="superscript"/>
          <w:rtl w:val="0"/>
          <w:lang w:val="en-US"/>
        </w:rPr>
        <w:t>th</w:t>
      </w:r>
      <w:r>
        <w:rPr>
          <w:rtl w:val="0"/>
          <w:lang w:val="en-US"/>
        </w:rPr>
        <w:t xml:space="preserve"> year (135/136) could be spread over five years in the hard-hit Thebaid, four years in the Heptanomia, and three years in Lower Egypt.</w:t>
      </w:r>
      <w:r>
        <w:rPr>
          <w:rFonts w:ascii="IFAO-Grec Unicode" w:cs="IFAO-Grec Unicode" w:hAnsi="IFAO-Grec Unicode" w:eastAsia="IFAO-Grec Unicode"/>
          <w:b w:val="0"/>
          <w:bCs w:val="0"/>
          <w:i w:val="0"/>
          <w:iCs w:val="0"/>
          <w:vertAlign w:val="superscript"/>
        </w:rPr>
        <w:footnoteReference w:id="10"/>
      </w:r>
      <w:r>
        <w:rPr>
          <w:rtl w:val="0"/>
          <w:lang w:val="en-US"/>
        </w:rPr>
        <w:t xml:space="preserve"> Youtie first identified signs of the implementation of this edict in the payment of (</w:t>
      </w:r>
      <w:r>
        <w:rPr>
          <w:rtl w:val="0"/>
        </w:rPr>
        <w:t>πέμπτον</w:t>
      </w:r>
      <w:r>
        <w:rPr>
          <w:rtl w:val="0"/>
        </w:rPr>
        <w:t xml:space="preserve">) </w:t>
      </w:r>
      <w:r>
        <w:rPr>
          <w:rtl w:val="0"/>
        </w:rPr>
        <w:t>μέρος γεωμετρίας</w:t>
      </w:r>
      <w:r>
        <w:rPr>
          <w:rtl w:val="0"/>
          <w:lang w:val="en-US"/>
        </w:rPr>
        <w:t xml:space="preserve">, that is, an annual installment of </w:t>
      </w:r>
      <w:r>
        <w:rPr>
          <w:rFonts w:ascii="Arial Unicode MS" w:cs="Arial Unicode MS" w:hAnsi="Arial Unicode MS" w:eastAsia="Arial Unicode MS" w:hint="default"/>
          <w:b w:val="0"/>
          <w:bCs w:val="0"/>
          <w:i w:val="0"/>
          <w:iCs w:val="0"/>
          <w:rtl w:val="0"/>
          <w:lang w:val="en-US"/>
        </w:rPr>
        <w:t>⅕</w:t>
      </w:r>
      <w:r>
        <w:rPr>
          <w:rtl w:val="0"/>
          <w:lang w:val="en-US"/>
        </w:rPr>
        <w:t xml:space="preserve"> of the land-survey tax, in several Theban ostraka between 136</w:t>
      </w:r>
      <w:r>
        <w:rPr>
          <w:rtl w:val="0"/>
        </w:rPr>
        <w:t>–</w:t>
      </w:r>
      <w:r>
        <w:rPr>
          <w:rtl w:val="0"/>
          <w:lang w:val="en-US"/>
        </w:rPr>
        <w:t>140, and the evidence base has since expanded to include a range of money taxes from Thebes and Elephantine, recently examined by Andrea J</w:t>
      </w:r>
      <w:r>
        <w:rPr>
          <w:rtl w:val="0"/>
          <w:lang w:val="sv-SE"/>
        </w:rPr>
        <w:t>ö</w:t>
      </w:r>
      <w:r>
        <w:rPr>
          <w:rtl w:val="0"/>
        </w:rPr>
        <w:t>rdens.</w:t>
      </w:r>
      <w:r>
        <w:rPr>
          <w:rFonts w:ascii="IFAO-Grec Unicode" w:cs="IFAO-Grec Unicode" w:hAnsi="IFAO-Grec Unicode" w:eastAsia="IFAO-Grec Unicode"/>
          <w:b w:val="0"/>
          <w:bCs w:val="0"/>
          <w:i w:val="0"/>
          <w:iCs w:val="0"/>
          <w:vertAlign w:val="superscript"/>
        </w:rPr>
        <w:footnoteReference w:id="11"/>
      </w:r>
    </w:p>
    <w:p>
      <w:pPr>
        <w:pStyle w:val="Body"/>
      </w:pPr>
      <w:r>
        <w:rPr>
          <w:rtl w:val="0"/>
        </w:rPr>
        <w:tab/>
        <w:t xml:space="preserve">The Fayum, I believe, also offers a reflection of the edict. </w:t>
      </w:r>
      <w:r>
        <w:rPr>
          <w:rStyle w:val="Hyperlink.1"/>
        </w:rPr>
        <w:fldChar w:fldCharType="begin" w:fldLock="0"/>
      </w:r>
      <w:r>
        <w:rPr>
          <w:rStyle w:val="Hyperlink.1"/>
        </w:rPr>
        <w:instrText xml:space="preserve"> HYPERLINK "https://papyri.info/ddbdp/p.prag%3B1%3B62a"</w:instrText>
      </w:r>
      <w:r>
        <w:rPr>
          <w:rStyle w:val="Hyperlink.1"/>
        </w:rPr>
        <w:fldChar w:fldCharType="separate" w:fldLock="0"/>
      </w:r>
      <w:r>
        <w:rPr>
          <w:rStyle w:val="Hyperlink.1"/>
          <w:rtl w:val="0"/>
        </w:rPr>
        <w:t xml:space="preserve">P.Prag. </w:t>
      </w:r>
      <w:r>
        <w:rPr>
          <w:rStyle w:val="Hyperlink.0"/>
          <w:rtl w:val="0"/>
        </w:rPr>
        <w:t>1 62a</w:t>
      </w:r>
      <w:r>
        <w:rPr/>
        <w:fldChar w:fldCharType="end" w:fldLock="0"/>
      </w:r>
      <w:r>
        <w:rPr>
          <w:rtl w:val="0"/>
          <w:lang w:val="en-US"/>
        </w:rPr>
        <w:t xml:space="preserve"> is a garden-tax receipt dated to Pauni 17 of Hadrian</w:t>
      </w:r>
      <w:r>
        <w:rPr>
          <w:rtl w:val="1"/>
        </w:rPr>
        <w:t>’</w:t>
      </w:r>
      <w:r>
        <w:rPr>
          <w:rtl w:val="0"/>
        </w:rPr>
        <w:t>s 22</w:t>
      </w:r>
      <w:r>
        <w:rPr>
          <w:vertAlign w:val="superscript"/>
          <w:rtl w:val="0"/>
        </w:rPr>
        <w:t>nd</w:t>
      </w:r>
      <w:r>
        <w:rPr>
          <w:rtl w:val="0"/>
          <w:lang w:val="en-US"/>
        </w:rPr>
        <w:t xml:space="preserve"> year (11 June, 138),</w:t>
      </w:r>
      <w:r>
        <w:rPr>
          <w:rFonts w:ascii="IFAO-Grec Unicode" w:cs="IFAO-Grec Unicode" w:hAnsi="IFAO-Grec Unicode" w:eastAsia="IFAO-Grec Unicode"/>
          <w:b w:val="0"/>
          <w:bCs w:val="0"/>
          <w:i w:val="0"/>
          <w:iCs w:val="0"/>
          <w:vertAlign w:val="superscript"/>
        </w:rPr>
        <w:footnoteReference w:id="12"/>
      </w:r>
      <w:r>
        <w:rPr>
          <w:rtl w:val="0"/>
          <w:lang w:val="en-US"/>
        </w:rPr>
        <w:t xml:space="preserve"> which opens with payments for the previous 21</w:t>
      </w:r>
      <w:r>
        <w:rPr>
          <w:vertAlign w:val="superscript"/>
          <w:rtl w:val="0"/>
        </w:rPr>
        <w:t>st</w:t>
      </w:r>
      <w:r>
        <w:rPr>
          <w:rtl w:val="0"/>
          <w:lang w:val="en-US"/>
        </w:rPr>
        <w:t xml:space="preserve"> year. Since garden taxes were normally settled the year following, the payment is routine and can be taken as the full set of dues on what amounts to just under two arouras, as the editor noted. The receipt then takes an unusual turn in that it backtracks to garden taxes of the 20</w:t>
      </w:r>
      <w:r>
        <w:rPr>
          <w:vertAlign w:val="superscript"/>
          <w:rtl w:val="0"/>
          <w:lang w:val="en-US"/>
        </w:rPr>
        <w:t>th</w:t>
      </w:r>
      <w:r>
        <w:rPr>
          <w:rtl w:val="0"/>
          <w:lang w:val="en-US"/>
        </w:rPr>
        <w:t xml:space="preserve"> year, with amounts corresponding to about </w:t>
      </w:r>
      <w:r>
        <w:rPr>
          <w:rtl w:val="0"/>
        </w:rPr>
        <w:t xml:space="preserve">½ </w:t>
      </w:r>
      <w:r>
        <w:rPr>
          <w:rtl w:val="0"/>
          <w:lang w:val="en-US"/>
        </w:rPr>
        <w:t xml:space="preserve">an aroura according to the editor, </w:t>
      </w:r>
      <w:r>
        <w:rPr>
          <w:rtl w:val="1"/>
          <w:lang w:val="ar-SA" w:bidi="ar-SA"/>
        </w:rPr>
        <w:t>“</w:t>
      </w:r>
      <w:r>
        <w:rPr>
          <w:rtl w:val="0"/>
          <w:lang w:val="it-IT"/>
        </w:rPr>
        <w:t>quindi circa un quarto della prima serie</w:t>
      </w:r>
      <w:r>
        <w:rPr>
          <w:rtl w:val="0"/>
        </w:rPr>
        <w:t xml:space="preserve">” </w:t>
      </w:r>
      <w:r>
        <w:rPr>
          <w:rtl w:val="0"/>
        </w:rPr>
        <w:t>(</w:t>
      </w:r>
      <w:r>
        <w:rPr>
          <w:rStyle w:val="Hyperlink.1"/>
        </w:rPr>
        <w:fldChar w:fldCharType="begin" w:fldLock="0"/>
      </w:r>
      <w:r>
        <w:rPr>
          <w:rStyle w:val="Hyperlink.1"/>
        </w:rPr>
        <w:instrText xml:space="preserve"> HYPERLINK "https://papyri.info/ddbdp/p.prag%3B1%3B62a"</w:instrText>
      </w:r>
      <w:r>
        <w:rPr>
          <w:rStyle w:val="Hyperlink.1"/>
        </w:rPr>
        <w:fldChar w:fldCharType="separate" w:fldLock="0"/>
      </w:r>
      <w:r>
        <w:rPr>
          <w:rStyle w:val="Hyperlink.1"/>
          <w:rtl w:val="0"/>
        </w:rPr>
        <w:t xml:space="preserve">P.Prag. </w:t>
      </w:r>
      <w:r>
        <w:rPr>
          <w:rStyle w:val="Hyperlink.0"/>
          <w:rtl w:val="0"/>
        </w:rPr>
        <w:t>I 62a</w:t>
      </w:r>
      <w:r>
        <w:rPr/>
        <w:fldChar w:fldCharType="end" w:fldLock="0"/>
      </w:r>
      <w:r>
        <w:rPr>
          <w:rtl w:val="0"/>
          <w:lang w:val="en-US"/>
        </w:rPr>
        <w:t>.7 n.). The quarter payment for the 20</w:t>
      </w:r>
      <w:r>
        <w:rPr>
          <w:vertAlign w:val="superscript"/>
          <w:rtl w:val="0"/>
          <w:lang w:val="en-US"/>
        </w:rPr>
        <w:t>th</w:t>
      </w:r>
      <w:r>
        <w:rPr>
          <w:rtl w:val="0"/>
          <w:lang w:val="en-US"/>
        </w:rPr>
        <w:t xml:space="preserve"> year is a significant clue: rather than pertaining to a smaller plot of land, it no doubt represents a </w:t>
      </w:r>
      <w:r>
        <w:rPr>
          <w:rtl w:val="0"/>
        </w:rPr>
        <w:t xml:space="preserve">τέταρτον μέρος </w:t>
      </w:r>
      <w:r>
        <w:rPr>
          <w:rtl w:val="0"/>
          <w:lang w:val="en-US"/>
        </w:rPr>
        <w:t>of the full payment on the same plot, just as Hadrian</w:t>
      </w:r>
      <w:r>
        <w:rPr>
          <w:rtl w:val="1"/>
        </w:rPr>
        <w:t>’</w:t>
      </w:r>
      <w:r>
        <w:rPr>
          <w:rtl w:val="0"/>
          <w:lang w:val="en-US"/>
        </w:rPr>
        <w:t>s edict permitted in the Heptanomia.</w:t>
      </w:r>
      <w:r>
        <w:rPr>
          <w:rFonts w:ascii="IFAO-Grec Unicode" w:cs="IFAO-Grec Unicode" w:hAnsi="IFAO-Grec Unicode" w:eastAsia="IFAO-Grec Unicode"/>
          <w:b w:val="0"/>
          <w:bCs w:val="0"/>
          <w:i w:val="0"/>
          <w:iCs w:val="0"/>
          <w:vertAlign w:val="superscript"/>
        </w:rPr>
        <w:footnoteReference w:id="13"/>
      </w:r>
    </w:p>
    <w:p>
      <w:pPr>
        <w:pStyle w:val="Body"/>
      </w:pPr>
    </w:p>
    <w:p>
      <w:pPr>
        <w:pStyle w:val="Body"/>
      </w:pPr>
      <w:r>
        <w:rPr>
          <w:rtl w:val="0"/>
          <w:lang w:val="de-DE"/>
        </w:rPr>
        <w:t>#bibliography</w:t>
      </w:r>
    </w:p>
    <w:p>
      <w:pPr>
        <w:pStyle w:val="Heading"/>
      </w:pPr>
    </w:p>
    <w:p>
      <w:pPr>
        <w:pStyle w:val="Body"/>
      </w:pPr>
      <w:r>
        <w:rPr>
          <w:rStyle w:val="Hyperlink.0"/>
        </w:rPr>
        <w:fldChar w:fldCharType="begin" w:fldLock="0"/>
      </w:r>
      <w:r>
        <w:rPr>
          <w:rStyle w:val="Hyperlink.0"/>
        </w:rPr>
        <w:instrText xml:space="preserve"> HYPERLINK "https://papyri.info/biblio/96416"</w:instrText>
      </w:r>
      <w:r>
        <w:rPr>
          <w:rStyle w:val="Hyperlink.0"/>
        </w:rPr>
        <w:fldChar w:fldCharType="separate" w:fldLock="0"/>
      </w:r>
      <w:bookmarkStart w:name="_Hlk210396005" w:id="0"/>
      <w:r>
        <w:rPr>
          <w:rStyle w:val="Hyperlink.0"/>
          <w:rtl w:val="0"/>
          <w:lang w:val="it-IT"/>
        </w:rPr>
        <w:t>Armoni, C. (2018)</w:t>
      </w:r>
      <w:r>
        <w:rPr/>
        <w:fldChar w:fldCharType="end" w:fldLock="0"/>
      </w:r>
      <w:r>
        <w:rPr>
          <w:rtl w:val="1"/>
          <w:lang w:val="ar-SA" w:bidi="ar-SA"/>
        </w:rPr>
        <w:t xml:space="preserve"> “</w:t>
      </w:r>
      <w:r>
        <w:rPr>
          <w:rtl w:val="0"/>
          <w:lang w:val="de-DE"/>
        </w:rPr>
        <w:t xml:space="preserve">Aus dem Archiv des </w:t>
      </w:r>
      <w:r>
        <w:rPr>
          <w:rtl w:val="0"/>
        </w:rPr>
        <w:t xml:space="preserve">Διοικητής </w:t>
      </w:r>
      <w:r>
        <w:rPr>
          <w:rtl w:val="0"/>
          <w:lang w:val="de-DE"/>
        </w:rPr>
        <w:t>Athenodoros: Neuedition von BGU XVI 2601, 2605 und 2618,</w:t>
      </w:r>
      <w:r>
        <w:rPr>
          <w:rtl w:val="0"/>
        </w:rPr>
        <w:t xml:space="preserve">” </w:t>
      </w:r>
      <w:r>
        <w:rPr>
          <w:rtl w:val="0"/>
        </w:rPr>
        <w:t xml:space="preserve">ZPE </w:t>
      </w:r>
      <w:r>
        <w:rPr>
          <w:rtl w:val="0"/>
        </w:rPr>
        <w:t>207: 123</w:t>
      </w:r>
      <w:r>
        <w:rPr>
          <w:rtl w:val="0"/>
        </w:rPr>
        <w:t>–</w:t>
      </w:r>
      <w:r>
        <w:rPr>
          <w:rtl w:val="0"/>
        </w:rPr>
        <w:t>134.</w:t>
      </w:r>
      <w:bookmarkEnd w:id="0"/>
    </w:p>
    <w:p>
      <w:pPr>
        <w:pStyle w:val="Body"/>
      </w:pPr>
    </w:p>
    <w:p>
      <w:pPr>
        <w:pStyle w:val="Body"/>
      </w:pPr>
      <w:r>
        <w:rPr>
          <w:rStyle w:val="Hyperlink.0"/>
        </w:rPr>
        <w:fldChar w:fldCharType="begin" w:fldLock="0"/>
      </w:r>
      <w:r>
        <w:rPr>
          <w:rStyle w:val="Hyperlink.0"/>
        </w:rPr>
        <w:instrText xml:space="preserve"> HYPERLINK "https://www.trismegistos.org/top/"</w:instrText>
      </w:r>
      <w:r>
        <w:rPr>
          <w:rStyle w:val="Hyperlink.0"/>
        </w:rPr>
        <w:fldChar w:fldCharType="separate" w:fldLock="0"/>
      </w:r>
      <w:r>
        <w:rPr>
          <w:rStyle w:val="Hyperlink.0"/>
          <w:rtl w:val="0"/>
        </w:rPr>
        <w:t>Broux, Y. (2024)</w:t>
      </w:r>
      <w:r>
        <w:rPr/>
        <w:fldChar w:fldCharType="end" w:fldLock="0"/>
      </w:r>
      <w:r>
        <w:rPr>
          <w:rtl w:val="0"/>
        </w:rPr>
        <w:t xml:space="preserve"> </w:t>
      </w:r>
      <w:r>
        <w:rPr>
          <w:rtl w:val="0"/>
          <w:lang w:val="nl-NL"/>
        </w:rPr>
        <w:t xml:space="preserve">The Imperial Ousiai of Roman Egypt. </w:t>
      </w:r>
      <w:r>
        <w:rPr>
          <w:rtl w:val="0"/>
        </w:rPr>
        <w:t>Leuven.</w:t>
      </w:r>
    </w:p>
    <w:p>
      <w:pPr>
        <w:pStyle w:val="Body"/>
      </w:pPr>
    </w:p>
    <w:p>
      <w:pPr>
        <w:pStyle w:val="Body"/>
      </w:pPr>
      <w:r>
        <w:rPr>
          <w:rStyle w:val="Hyperlink.0"/>
        </w:rPr>
        <w:fldChar w:fldCharType="begin" w:fldLock="0"/>
      </w:r>
      <w:r>
        <w:rPr>
          <w:rStyle w:val="Hyperlink.0"/>
        </w:rPr>
        <w:instrText xml:space="preserve"> HYPERLINK "https://papyri.info/biblio/86477"</w:instrText>
      </w:r>
      <w:r>
        <w:rPr>
          <w:rStyle w:val="Hyperlink.0"/>
        </w:rPr>
        <w:fldChar w:fldCharType="separate" w:fldLock="0"/>
      </w:r>
      <w:r>
        <w:rPr>
          <w:rStyle w:val="Hyperlink.0"/>
          <w:rtl w:val="0"/>
        </w:rPr>
        <w:t>Claytor, W.G. (2013)</w:t>
      </w:r>
      <w:r>
        <w:rPr/>
        <w:fldChar w:fldCharType="end" w:fldLock="0"/>
      </w:r>
      <w:r>
        <w:rPr>
          <w:rtl w:val="0"/>
        </w:rPr>
        <w:t xml:space="preserve">, </w:t>
      </w:r>
      <w:r>
        <w:rPr>
          <w:rtl w:val="1"/>
          <w:lang w:val="ar-SA" w:bidi="ar-SA"/>
        </w:rPr>
        <w:t>“</w:t>
      </w:r>
      <w:r>
        <w:rPr>
          <w:rtl w:val="0"/>
          <w:lang w:val="en-US"/>
        </w:rPr>
        <w:t>A Schedule of Contracts and a Private Letter: P.Fay. 344,</w:t>
      </w:r>
      <w:r>
        <w:rPr>
          <w:rtl w:val="0"/>
        </w:rPr>
        <w:t xml:space="preserve">” </w:t>
      </w:r>
      <w:r>
        <w:rPr>
          <w:rtl w:val="0"/>
        </w:rPr>
        <w:t xml:space="preserve">BASP </w:t>
      </w:r>
      <w:r>
        <w:rPr>
          <w:rtl w:val="0"/>
        </w:rPr>
        <w:t>50: 77</w:t>
      </w:r>
      <w:r>
        <w:rPr>
          <w:rtl w:val="0"/>
        </w:rPr>
        <w:t>–</w:t>
      </w:r>
      <w:r>
        <w:rPr>
          <w:rtl w:val="0"/>
        </w:rPr>
        <w:t>121.</w:t>
      </w:r>
    </w:p>
    <w:p>
      <w:pPr>
        <w:pStyle w:val="Body"/>
      </w:pPr>
    </w:p>
    <w:p>
      <w:pPr>
        <w:pStyle w:val="Body"/>
      </w:pPr>
      <w:r>
        <w:rPr>
          <w:rStyle w:val="Hyperlink.0"/>
        </w:rPr>
        <w:fldChar w:fldCharType="begin" w:fldLock="0"/>
      </w:r>
      <w:r>
        <w:rPr>
          <w:rStyle w:val="Hyperlink.0"/>
        </w:rPr>
        <w:instrText xml:space="preserve"> HYPERLINK "https://papyri.info/biblio/86643"</w:instrText>
      </w:r>
      <w:r>
        <w:rPr>
          <w:rStyle w:val="Hyperlink.0"/>
        </w:rPr>
        <w:fldChar w:fldCharType="separate" w:fldLock="0"/>
      </w:r>
      <w:r>
        <w:rPr>
          <w:rStyle w:val="Hyperlink.0"/>
          <w:rtl w:val="0"/>
        </w:rPr>
        <w:t>Claytor, W.G. and Bagnall, R.S. (2015)</w:t>
      </w:r>
      <w:r>
        <w:rPr/>
        <w:fldChar w:fldCharType="end" w:fldLock="0"/>
      </w:r>
      <w:r>
        <w:rPr>
          <w:rtl w:val="0"/>
          <w:lang w:val="en-US"/>
        </w:rPr>
        <w:t xml:space="preserve"> The Beginnings of the Roman Provincial Census: A New Declaration from 3 BCE,</w:t>
      </w:r>
      <w:r>
        <w:rPr>
          <w:rtl w:val="0"/>
        </w:rPr>
        <w:t xml:space="preserve">” </w:t>
      </w:r>
      <w:r>
        <w:rPr>
          <w:rtl w:val="0"/>
        </w:rPr>
        <w:t xml:space="preserve">GRBS </w:t>
      </w:r>
      <w:r>
        <w:rPr>
          <w:rtl w:val="0"/>
        </w:rPr>
        <w:t>55: 637</w:t>
      </w:r>
      <w:r>
        <w:rPr>
          <w:rtl w:val="0"/>
        </w:rPr>
        <w:t>–</w:t>
      </w:r>
      <w:r>
        <w:rPr>
          <w:rtl w:val="0"/>
        </w:rPr>
        <w:t>653.</w:t>
      </w:r>
    </w:p>
    <w:p>
      <w:pPr>
        <w:pStyle w:val="Body"/>
      </w:pPr>
    </w:p>
    <w:p>
      <w:pPr>
        <w:pStyle w:val="Body"/>
      </w:pPr>
      <w:r>
        <w:rPr>
          <w:rStyle w:val="Hyperlink.0"/>
        </w:rPr>
        <w:fldChar w:fldCharType="begin" w:fldLock="0"/>
      </w:r>
      <w:r>
        <w:rPr>
          <w:rStyle w:val="Hyperlink.0"/>
        </w:rPr>
        <w:instrText xml:space="preserve"> HYPERLINK "https://papyri.info/biblio/96039"</w:instrText>
      </w:r>
      <w:r>
        <w:rPr>
          <w:rStyle w:val="Hyperlink.0"/>
        </w:rPr>
        <w:fldChar w:fldCharType="separate" w:fldLock="0"/>
      </w:r>
      <w:r>
        <w:rPr>
          <w:rStyle w:val="Hyperlink.0"/>
          <w:rtl w:val="0"/>
        </w:rPr>
        <w:t>Claytor, W.G. and Wegner, W. (2022)</w:t>
      </w:r>
      <w:r>
        <w:rPr/>
        <w:fldChar w:fldCharType="end" w:fldLock="0"/>
      </w:r>
      <w:r>
        <w:rPr>
          <w:rtl w:val="1"/>
          <w:lang w:val="ar-SA" w:bidi="ar-SA"/>
        </w:rPr>
        <w:t xml:space="preserve"> “</w:t>
      </w:r>
      <w:r>
        <w:rPr>
          <w:rtl w:val="0"/>
          <w:lang w:val="de-DE"/>
        </w:rPr>
        <w:t xml:space="preserve">Eine Quittung </w:t>
      </w:r>
      <w:r>
        <w:rPr>
          <w:rtl w:val="0"/>
        </w:rPr>
        <w:t>ü</w:t>
      </w:r>
      <w:r>
        <w:rPr>
          <w:rtl w:val="0"/>
        </w:rPr>
        <w:t xml:space="preserve">ber </w:t>
      </w:r>
      <w:r>
        <w:rPr>
          <w:rtl w:val="0"/>
        </w:rPr>
        <w:t>didrachmia</w:t>
      </w:r>
      <w:r>
        <w:rPr>
          <w:rtl w:val="0"/>
          <w:lang w:val="de-DE"/>
        </w:rPr>
        <w:t xml:space="preserve"> des Suchos,</w:t>
      </w:r>
      <w:r>
        <w:rPr>
          <w:rtl w:val="0"/>
        </w:rPr>
        <w:t xml:space="preserve">” </w:t>
      </w:r>
      <w:r>
        <w:rPr>
          <w:rtl w:val="0"/>
          <w:lang w:val="it-IT"/>
        </w:rPr>
        <w:t>Cd</w:t>
      </w:r>
      <w:r>
        <w:rPr>
          <w:rtl w:val="0"/>
          <w:lang w:val="pt-PT"/>
        </w:rPr>
        <w:t xml:space="preserve">É </w:t>
      </w:r>
      <w:r>
        <w:rPr>
          <w:rtl w:val="0"/>
        </w:rPr>
        <w:t>97: 173</w:t>
      </w:r>
      <w:r>
        <w:rPr>
          <w:rtl w:val="0"/>
        </w:rPr>
        <w:t>–</w:t>
      </w:r>
      <w:r>
        <w:rPr>
          <w:rtl w:val="0"/>
        </w:rPr>
        <w:t>196.</w:t>
      </w:r>
    </w:p>
    <w:p>
      <w:pPr>
        <w:pStyle w:val="Body"/>
      </w:pPr>
    </w:p>
    <w:p>
      <w:pPr>
        <w:pStyle w:val="Body"/>
      </w:pPr>
      <w:r>
        <w:rPr>
          <w:rStyle w:val="Hyperlink.0"/>
        </w:rPr>
        <w:fldChar w:fldCharType="begin" w:fldLock="0"/>
      </w:r>
      <w:r>
        <w:rPr>
          <w:rStyle w:val="Hyperlink.0"/>
        </w:rPr>
        <w:instrText xml:space="preserve"> HYPERLINK "https://papyri.info/biblio/96451"</w:instrText>
      </w:r>
      <w:r>
        <w:rPr>
          <w:rStyle w:val="Hyperlink.0"/>
        </w:rPr>
        <w:fldChar w:fldCharType="separate" w:fldLock="0"/>
      </w:r>
      <w:r>
        <w:rPr>
          <w:rStyle w:val="Hyperlink.0"/>
          <w:rtl w:val="0"/>
        </w:rPr>
        <w:t>Duttenh</w:t>
      </w:r>
      <w:r>
        <w:rPr>
          <w:rStyle w:val="Hyperlink.0"/>
          <w:rtl w:val="0"/>
          <w:lang w:val="sv-SE"/>
        </w:rPr>
        <w:t>ö</w:t>
      </w:r>
      <w:r>
        <w:rPr>
          <w:rStyle w:val="Hyperlink.0"/>
          <w:rtl w:val="0"/>
        </w:rPr>
        <w:t>fer, R. (2017)</w:t>
      </w:r>
      <w:r>
        <w:rPr/>
        <w:fldChar w:fldCharType="end" w:fldLock="0"/>
      </w:r>
      <w:r>
        <w:rPr>
          <w:rtl w:val="1"/>
          <w:lang w:val="ar-SA" w:bidi="ar-SA"/>
        </w:rPr>
        <w:t xml:space="preserve"> “</w:t>
      </w:r>
      <w:r>
        <w:rPr>
          <w:rtl w:val="0"/>
          <w:lang w:val="de-DE"/>
        </w:rPr>
        <w:t>Korrekturen zu Ostraka aus Elephantine III: Anmerkungen zu O.Bankes und verwandten Texten</w:t>
      </w:r>
      <w:r>
        <w:rPr>
          <w:rtl w:val="0"/>
        </w:rPr>
        <w:t xml:space="preserve">” </w:t>
      </w:r>
      <w:r>
        <w:rPr>
          <w:rtl w:val="0"/>
        </w:rPr>
        <w:t xml:space="preserve">ZPE </w:t>
      </w:r>
      <w:r>
        <w:rPr>
          <w:rtl w:val="0"/>
        </w:rPr>
        <w:t>202: 221</w:t>
      </w:r>
      <w:r>
        <w:rPr>
          <w:rtl w:val="0"/>
        </w:rPr>
        <w:t>–</w:t>
      </w:r>
      <w:r>
        <w:rPr>
          <w:rtl w:val="0"/>
        </w:rPr>
        <w:t>247.</w:t>
      </w:r>
    </w:p>
    <w:p>
      <w:pPr>
        <w:pStyle w:val="Body"/>
      </w:pPr>
    </w:p>
    <w:p>
      <w:pPr>
        <w:pStyle w:val="Body"/>
      </w:pPr>
      <w:r>
        <w:rPr>
          <w:rStyle w:val="Hyperlink.0"/>
        </w:rPr>
        <w:fldChar w:fldCharType="begin" w:fldLock="0"/>
      </w:r>
      <w:r>
        <w:rPr>
          <w:rStyle w:val="Hyperlink.0"/>
        </w:rPr>
        <w:instrText xml:space="preserve"> HYPERLINK "https://papyri.info/biblio/86603"</w:instrText>
      </w:r>
      <w:r>
        <w:rPr>
          <w:rStyle w:val="Hyperlink.0"/>
        </w:rPr>
        <w:fldChar w:fldCharType="separate" w:fldLock="0"/>
      </w:r>
      <w:r>
        <w:rPr>
          <w:rStyle w:val="Hyperlink.0"/>
          <w:rtl w:val="0"/>
        </w:rPr>
        <w:t>Heilporn, P. (2016)</w:t>
      </w:r>
      <w:r>
        <w:rPr/>
        <w:fldChar w:fldCharType="end" w:fldLock="0"/>
      </w:r>
      <w:r>
        <w:rPr>
          <w:rtl w:val="1"/>
          <w:lang w:val="ar-SA" w:bidi="ar-SA"/>
        </w:rPr>
        <w:t xml:space="preserve"> “</w:t>
      </w:r>
      <w:r>
        <w:rPr>
          <w:rtl w:val="0"/>
        </w:rPr>
        <w:t>Papyrologica. III: 17. P. Bingen 87 et l</w:t>
      </w:r>
      <w:r>
        <w:rPr>
          <w:rtl w:val="0"/>
          <w:lang w:val="fr-FR"/>
        </w:rPr>
        <w:t>’é</w:t>
      </w:r>
      <w:r>
        <w:rPr>
          <w:rtl w:val="0"/>
          <w:lang w:val="fr-FR"/>
        </w:rPr>
        <w:t>talement des imp</w:t>
      </w:r>
      <w:r>
        <w:rPr>
          <w:rtl w:val="0"/>
        </w:rPr>
        <w:t>ô</w:t>
      </w:r>
      <w:r>
        <w:rPr>
          <w:rtl w:val="0"/>
          <w:lang w:val="fr-FR"/>
        </w:rPr>
        <w:t>ts de l</w:t>
      </w:r>
      <w:r>
        <w:rPr>
          <w:rtl w:val="1"/>
        </w:rPr>
        <w:t>’</w:t>
      </w:r>
      <w:r>
        <w:rPr>
          <w:rtl w:val="0"/>
          <w:lang w:val="nl-NL"/>
        </w:rPr>
        <w:t>an 20 d</w:t>
      </w:r>
      <w:r>
        <w:rPr>
          <w:rtl w:val="1"/>
        </w:rPr>
        <w:t>’</w:t>
      </w:r>
      <w:r>
        <w:rPr>
          <w:rtl w:val="0"/>
          <w:lang w:val="fr-FR"/>
        </w:rPr>
        <w:t>Hadrien,</w:t>
      </w:r>
      <w:r>
        <w:rPr>
          <w:rtl w:val="0"/>
        </w:rPr>
        <w:t xml:space="preserve">” </w:t>
      </w:r>
      <w:r>
        <w:rPr>
          <w:rtl w:val="0"/>
          <w:lang w:val="it-IT"/>
        </w:rPr>
        <w:t>Cd</w:t>
      </w:r>
      <w:r>
        <w:rPr>
          <w:rtl w:val="0"/>
          <w:lang w:val="pt-PT"/>
        </w:rPr>
        <w:t xml:space="preserve">É </w:t>
      </w:r>
      <w:r>
        <w:rPr>
          <w:rtl w:val="0"/>
        </w:rPr>
        <w:t>91: 214</w:t>
      </w:r>
      <w:r>
        <w:rPr>
          <w:rtl w:val="0"/>
        </w:rPr>
        <w:t>–</w:t>
      </w:r>
      <w:r>
        <w:rPr>
          <w:rtl w:val="0"/>
        </w:rPr>
        <w:t>216.</w:t>
      </w:r>
    </w:p>
    <w:p>
      <w:pPr>
        <w:pStyle w:val="Body"/>
      </w:pPr>
    </w:p>
    <w:p>
      <w:pPr>
        <w:pStyle w:val="Body"/>
      </w:pPr>
      <w:r>
        <w:rPr>
          <w:rStyle w:val="Hyperlink.0"/>
        </w:rPr>
        <w:fldChar w:fldCharType="begin" w:fldLock="0"/>
      </w:r>
      <w:r>
        <w:rPr>
          <w:rStyle w:val="Hyperlink.0"/>
        </w:rPr>
        <w:instrText xml:space="preserve"> HYPERLINK "https://papyri.info/biblio/97484"</w:instrText>
      </w:r>
      <w:r>
        <w:rPr>
          <w:rStyle w:val="Hyperlink.0"/>
        </w:rPr>
        <w:fldChar w:fldCharType="separate" w:fldLock="0"/>
      </w:r>
      <w:r>
        <w:rPr>
          <w:rStyle w:val="Hyperlink.0"/>
          <w:rtl w:val="0"/>
        </w:rPr>
        <w:t>J</w:t>
      </w:r>
      <w:r>
        <w:rPr>
          <w:rStyle w:val="Hyperlink.0"/>
          <w:rtl w:val="0"/>
          <w:lang w:val="sv-SE"/>
        </w:rPr>
        <w:t>ö</w:t>
      </w:r>
      <w:r>
        <w:rPr>
          <w:rStyle w:val="Hyperlink.0"/>
          <w:rtl w:val="0"/>
        </w:rPr>
        <w:t>rdens, A. (2019)</w:t>
      </w:r>
      <w:r>
        <w:rPr/>
        <w:fldChar w:fldCharType="end" w:fldLock="0"/>
      </w:r>
      <w:r>
        <w:rPr>
          <w:rtl w:val="1"/>
          <w:lang w:val="ar-SA" w:bidi="ar-SA"/>
        </w:rPr>
        <w:t xml:space="preserve"> “</w:t>
      </w:r>
      <w:r>
        <w:rPr>
          <w:rtl w:val="0"/>
          <w:lang w:val="de-DE"/>
        </w:rPr>
        <w:t xml:space="preserve">Reflexe kaiserlichen Wirkens in </w:t>
      </w:r>
      <w:r>
        <w:rPr>
          <w:rtl w:val="0"/>
        </w:rPr>
        <w:t>ä</w:t>
      </w:r>
      <w:r>
        <w:rPr>
          <w:rtl w:val="0"/>
          <w:lang w:val="de-DE"/>
        </w:rPr>
        <w:t>gyptischen Papyri und Ostraka</w:t>
      </w:r>
      <w:r>
        <w:rPr>
          <w:rtl w:val="0"/>
        </w:rPr>
        <w:t xml:space="preserve">” </w:t>
      </w:r>
      <w:r>
        <w:rPr>
          <w:rtl w:val="0"/>
          <w:lang w:val="fr-FR"/>
        </w:rPr>
        <w:t xml:space="preserve">Chiron </w:t>
      </w:r>
      <w:r>
        <w:rPr>
          <w:rtl w:val="0"/>
        </w:rPr>
        <w:t>49: 299</w:t>
      </w:r>
      <w:r>
        <w:rPr>
          <w:rtl w:val="0"/>
        </w:rPr>
        <w:t>–</w:t>
      </w:r>
      <w:r>
        <w:rPr>
          <w:rtl w:val="0"/>
        </w:rPr>
        <w:t>342.</w:t>
      </w:r>
    </w:p>
    <w:p>
      <w:pPr>
        <w:pStyle w:val="Body"/>
      </w:pPr>
    </w:p>
    <w:p>
      <w:pPr>
        <w:pStyle w:val="Body"/>
      </w:pPr>
      <w:r>
        <w:rPr>
          <w:rStyle w:val="Hyperlink.0"/>
        </w:rPr>
        <w:fldChar w:fldCharType="begin" w:fldLock="0"/>
      </w:r>
      <w:r>
        <w:rPr>
          <w:rStyle w:val="Hyperlink.0"/>
        </w:rPr>
        <w:instrText xml:space="preserve"> HYPERLINK "https://papyri.info/biblio/97485"</w:instrText>
      </w:r>
      <w:r>
        <w:rPr>
          <w:rStyle w:val="Hyperlink.0"/>
        </w:rPr>
        <w:fldChar w:fldCharType="separate" w:fldLock="0"/>
      </w:r>
      <w:r>
        <w:rPr>
          <w:rStyle w:val="Hyperlink.0"/>
          <w:rtl w:val="0"/>
        </w:rPr>
        <w:t>Kolveris, N. (2025)</w:t>
      </w:r>
      <w:r>
        <w:rPr/>
        <w:fldChar w:fldCharType="end" w:fldLock="0"/>
      </w:r>
      <w:r>
        <w:rPr>
          <w:rtl w:val="1"/>
          <w:lang w:val="ar-SA" w:bidi="ar-SA"/>
        </w:rPr>
        <w:t xml:space="preserve"> “</w:t>
      </w:r>
      <w:r>
        <w:rPr>
          <w:rtl w:val="0"/>
          <w:lang w:val="en-US"/>
        </w:rPr>
        <w:t>A New Edition of BGU VII 1683</w:t>
      </w:r>
      <w:r>
        <w:rPr>
          <w:rtl w:val="0"/>
        </w:rPr>
        <w:t xml:space="preserve">” </w:t>
      </w:r>
      <w:r>
        <w:rPr>
          <w:rtl w:val="0"/>
        </w:rPr>
        <w:t xml:space="preserve">ZPE </w:t>
      </w:r>
      <w:r>
        <w:rPr>
          <w:rtl w:val="0"/>
        </w:rPr>
        <w:t>234: 222</w:t>
      </w:r>
      <w:r>
        <w:rPr>
          <w:rtl w:val="0"/>
        </w:rPr>
        <w:t>–</w:t>
      </w:r>
      <w:r>
        <w:rPr>
          <w:rtl w:val="0"/>
        </w:rPr>
        <w:t>223.</w:t>
      </w:r>
    </w:p>
    <w:p>
      <w:pPr>
        <w:pStyle w:val="Body"/>
      </w:pPr>
    </w:p>
    <w:p>
      <w:pPr>
        <w:pStyle w:val="Body"/>
      </w:pPr>
      <w:r>
        <w:rPr>
          <w:rStyle w:val="Hyperlink.0"/>
        </w:rPr>
        <w:fldChar w:fldCharType="begin" w:fldLock="0"/>
      </w:r>
      <w:r>
        <w:rPr>
          <w:rStyle w:val="Hyperlink.0"/>
        </w:rPr>
        <w:instrText xml:space="preserve"> HYPERLINK "https://papyri.info/biblio/11850"</w:instrText>
      </w:r>
      <w:r>
        <w:rPr>
          <w:rStyle w:val="Hyperlink.0"/>
        </w:rPr>
        <w:fldChar w:fldCharType="separate" w:fldLock="0"/>
      </w:r>
      <w:r>
        <w:rPr>
          <w:rStyle w:val="Hyperlink.0"/>
          <w:rtl w:val="0"/>
          <w:lang w:val="it-IT"/>
        </w:rPr>
        <w:t>Oliver, J.H. (1989)</w:t>
      </w:r>
      <w:r>
        <w:rPr/>
        <w:fldChar w:fldCharType="end" w:fldLock="0"/>
      </w:r>
      <w:r>
        <w:rPr>
          <w:rtl w:val="0"/>
        </w:rPr>
        <w:t xml:space="preserve"> </w:t>
      </w:r>
      <w:r>
        <w:rPr>
          <w:rtl w:val="0"/>
          <w:lang w:val="en-US"/>
        </w:rPr>
        <w:t>Greek Constitutions of Early Roman Emperors from Inscriptions and Papyri</w:t>
      </w:r>
      <w:r>
        <w:rPr>
          <w:rtl w:val="0"/>
          <w:lang w:val="it-IT"/>
        </w:rPr>
        <w:t xml:space="preserve"> (Philadelphia).</w:t>
      </w:r>
    </w:p>
    <w:p>
      <w:pPr>
        <w:pStyle w:val="Body"/>
      </w:pPr>
    </w:p>
    <w:p>
      <w:pPr>
        <w:pStyle w:val="Body"/>
      </w:pPr>
      <w:r>
        <w:rPr>
          <w:rStyle w:val="Hyperlink.0"/>
        </w:rPr>
        <w:fldChar w:fldCharType="begin" w:fldLock="0"/>
      </w:r>
      <w:r>
        <w:rPr>
          <w:rStyle w:val="Hyperlink.0"/>
        </w:rPr>
        <w:instrText xml:space="preserve"> HYPERLINK "https://papyri.info/biblio/56002"</w:instrText>
      </w:r>
      <w:r>
        <w:rPr>
          <w:rStyle w:val="Hyperlink.0"/>
        </w:rPr>
        <w:fldChar w:fldCharType="separate" w:fldLock="0"/>
      </w:r>
      <w:r>
        <w:rPr>
          <w:rStyle w:val="Hyperlink.0"/>
          <w:rtl w:val="0"/>
          <w:lang w:val="nl-NL"/>
        </w:rPr>
        <w:t>Quaegebeur, J. (1983)</w:t>
      </w:r>
      <w:r>
        <w:rPr/>
        <w:fldChar w:fldCharType="end" w:fldLock="0"/>
      </w:r>
      <w:r>
        <w:rPr>
          <w:rtl w:val="1"/>
          <w:lang w:val="ar-SA" w:bidi="ar-SA"/>
        </w:rPr>
        <w:t xml:space="preserve"> “</w:t>
      </w:r>
      <w:r>
        <w:rPr>
          <w:rtl w:val="0"/>
          <w:lang w:val="fr-FR"/>
        </w:rPr>
        <w:t xml:space="preserve">Eseremphis: Une Isis de haute </w:t>
      </w:r>
      <w:r>
        <w:rPr>
          <w:rtl w:val="0"/>
          <w:lang w:val="fr-FR"/>
        </w:rPr>
        <w:t>é</w:t>
      </w:r>
      <w:r>
        <w:rPr>
          <w:rtl w:val="0"/>
          <w:lang w:val="fr-FR"/>
        </w:rPr>
        <w:t>poque en vogue dans l'</w:t>
      </w:r>
      <w:r>
        <w:rPr>
          <w:rtl w:val="0"/>
          <w:lang w:val="fr-FR"/>
        </w:rPr>
        <w:t>É</w:t>
      </w:r>
      <w:r>
        <w:rPr>
          <w:rtl w:val="0"/>
          <w:lang w:val="nl-NL"/>
        </w:rPr>
        <w:t>gypte gr</w:t>
      </w:r>
      <w:r>
        <w:rPr>
          <w:rtl w:val="0"/>
          <w:lang w:val="fr-FR"/>
        </w:rPr>
        <w:t>é</w:t>
      </w:r>
      <w:r>
        <w:rPr>
          <w:rtl w:val="0"/>
          <w:lang w:val="fr-FR"/>
        </w:rPr>
        <w:t>co-romaine,</w:t>
      </w:r>
      <w:r>
        <w:rPr>
          <w:rtl w:val="0"/>
        </w:rPr>
        <w:t xml:space="preserve">” </w:t>
      </w:r>
      <w:r>
        <w:rPr>
          <w:rtl w:val="0"/>
          <w:lang w:val="de-DE"/>
        </w:rPr>
        <w:t>in G. Grimm et al. (eds) Das r</w:t>
      </w:r>
      <w:r>
        <w:rPr>
          <w:rtl w:val="0"/>
          <w:lang w:val="sv-SE"/>
        </w:rPr>
        <w:t>ö</w:t>
      </w:r>
      <w:r>
        <w:rPr>
          <w:rtl w:val="0"/>
          <w:lang w:val="de-DE"/>
        </w:rPr>
        <w:t xml:space="preserve">misch-byzantinische </w:t>
      </w:r>
      <w:r>
        <w:rPr>
          <w:rtl w:val="0"/>
          <w:lang w:val="sv-SE"/>
        </w:rPr>
        <w:t>Ä</w:t>
      </w:r>
      <w:r>
        <w:rPr>
          <w:rtl w:val="0"/>
        </w:rPr>
        <w:t>gypten. Akten des internationalen Symposions. Trier, 26.</w:t>
      </w:r>
      <w:r>
        <w:rPr>
          <w:rtl w:val="0"/>
        </w:rPr>
        <w:t>–</w:t>
      </w:r>
      <w:r>
        <w:rPr>
          <w:rtl w:val="0"/>
          <w:lang w:val="de-DE"/>
        </w:rPr>
        <w:t>30. September 1978. Mainz: 67</w:t>
      </w:r>
      <w:r>
        <w:rPr>
          <w:rtl w:val="0"/>
        </w:rPr>
        <w:t>–</w:t>
      </w:r>
      <w:r>
        <w:rPr>
          <w:rtl w:val="0"/>
        </w:rPr>
        <w:t>75.</w:t>
      </w:r>
    </w:p>
    <w:p>
      <w:pPr>
        <w:pStyle w:val="Body"/>
      </w:pPr>
    </w:p>
    <w:p>
      <w:pPr>
        <w:pStyle w:val="Body"/>
      </w:pPr>
      <w:r>
        <w:rPr>
          <w:rStyle w:val="Hyperlink.0"/>
        </w:rPr>
        <w:fldChar w:fldCharType="begin" w:fldLock="0"/>
      </w:r>
      <w:r>
        <w:rPr>
          <w:rStyle w:val="Hyperlink.0"/>
        </w:rPr>
        <w:instrText xml:space="preserve"> HYPERLINK "https://papyri.info/biblio/12541"</w:instrText>
      </w:r>
      <w:r>
        <w:rPr>
          <w:rStyle w:val="Hyperlink.0"/>
        </w:rPr>
        <w:fldChar w:fldCharType="separate" w:fldLock="0"/>
      </w:r>
      <w:r>
        <w:rPr>
          <w:rStyle w:val="Hyperlink.0"/>
          <w:rtl w:val="0"/>
        </w:rPr>
        <w:t>Rathbone, D. (1991)</w:t>
      </w:r>
      <w:r>
        <w:rPr/>
        <w:fldChar w:fldCharType="end" w:fldLock="0"/>
      </w:r>
      <w:r>
        <w:rPr>
          <w:rtl w:val="0"/>
        </w:rPr>
        <w:t xml:space="preserve"> </w:t>
      </w:r>
      <w:r>
        <w:rPr>
          <w:rtl w:val="0"/>
          <w:lang w:val="en-US"/>
        </w:rPr>
        <w:t>Economic Rationalism and Rural Society in Third-Century A.D. Egypt. The Heroninos Archive and the Appianus Estate</w:t>
      </w:r>
      <w:r>
        <w:rPr>
          <w:rtl w:val="0"/>
          <w:lang w:val="en-US"/>
        </w:rPr>
        <w:t>. Cambridge.</w:t>
      </w:r>
    </w:p>
    <w:p>
      <w:pPr>
        <w:pStyle w:val="Body"/>
      </w:pPr>
    </w:p>
    <w:p>
      <w:pPr>
        <w:pStyle w:val="Body"/>
      </w:pPr>
      <w:r>
        <w:rPr>
          <w:rStyle w:val="Hyperlink.0"/>
        </w:rPr>
        <w:fldChar w:fldCharType="begin" w:fldLock="0"/>
      </w:r>
      <w:r>
        <w:rPr>
          <w:rStyle w:val="Hyperlink.0"/>
        </w:rPr>
        <w:instrText xml:space="preserve"> HYPERLINK "https://papyri.info/biblio/97483"</w:instrText>
      </w:r>
      <w:r>
        <w:rPr>
          <w:rStyle w:val="Hyperlink.0"/>
        </w:rPr>
        <w:fldChar w:fldCharType="separate" w:fldLock="0"/>
      </w:r>
      <w:r>
        <w:rPr>
          <w:rStyle w:val="Hyperlink.0"/>
          <w:rtl w:val="0"/>
        </w:rPr>
        <w:t>Rathbone, D. (2019)</w:t>
      </w:r>
      <w:r>
        <w:rPr/>
        <w:fldChar w:fldCharType="end" w:fldLock="0"/>
      </w:r>
      <w:r>
        <w:rPr>
          <w:rtl w:val="1"/>
          <w:lang w:val="ar-SA" w:bidi="ar-SA"/>
        </w:rPr>
        <w:t xml:space="preserve"> “</w:t>
      </w:r>
      <w:r>
        <w:rPr>
          <w:rtl w:val="0"/>
          <w:lang w:val="en-US"/>
        </w:rPr>
        <w:t>The Age of Poll-Tax Exemption in Roman Egypt</w:t>
      </w:r>
      <w:r>
        <w:rPr>
          <w:rtl w:val="0"/>
        </w:rPr>
        <w:t xml:space="preserve">” </w:t>
      </w:r>
      <w:r>
        <w:rPr>
          <w:rtl w:val="0"/>
          <w:lang w:val="fr-FR"/>
        </w:rPr>
        <w:t xml:space="preserve">in M. Maiuro et al. (eds) </w:t>
      </w:r>
      <w:r>
        <w:rPr>
          <w:rtl w:val="0"/>
          <w:lang w:val="it-IT"/>
        </w:rPr>
        <w:t>Uomini, istituzioni, mercati. Studi di storia per Elio Lo Cascio</w:t>
      </w:r>
      <w:r>
        <w:rPr>
          <w:rtl w:val="0"/>
          <w:lang w:val="it-IT"/>
        </w:rPr>
        <w:t>. Bari: 353</w:t>
      </w:r>
      <w:r>
        <w:rPr>
          <w:rtl w:val="0"/>
        </w:rPr>
        <w:t>–</w:t>
      </w:r>
      <w:r>
        <w:rPr>
          <w:rtl w:val="0"/>
        </w:rPr>
        <w:t>361.</w:t>
      </w:r>
    </w:p>
    <w:p>
      <w:pPr>
        <w:pStyle w:val="Body"/>
      </w:pPr>
    </w:p>
    <w:p>
      <w:pPr>
        <w:pStyle w:val="Body"/>
      </w:pPr>
      <w:r>
        <w:rPr>
          <w:rStyle w:val="Hyperlink.0"/>
        </w:rPr>
        <w:fldChar w:fldCharType="begin" w:fldLock="0"/>
      </w:r>
      <w:r>
        <w:rPr>
          <w:rStyle w:val="Hyperlink.0"/>
        </w:rPr>
        <w:instrText xml:space="preserve"> HYPERLINK "https://papyri.info/biblio/61048"</w:instrText>
      </w:r>
      <w:r>
        <w:rPr>
          <w:rStyle w:val="Hyperlink.0"/>
        </w:rPr>
        <w:fldChar w:fldCharType="separate" w:fldLock="0"/>
      </w:r>
      <w:r>
        <w:rPr>
          <w:rStyle w:val="Hyperlink.0"/>
          <w:rtl w:val="0"/>
          <w:lang w:val="it-IT"/>
        </w:rPr>
        <w:t>Shelton, J.C. (1990)</w:t>
      </w:r>
      <w:r>
        <w:rPr/>
        <w:fldChar w:fldCharType="end" w:fldLock="0"/>
      </w:r>
      <w:r>
        <w:rPr>
          <w:rtl w:val="1"/>
          <w:lang w:val="ar-SA" w:bidi="ar-SA"/>
        </w:rPr>
        <w:t xml:space="preserve"> “</w:t>
      </w:r>
      <w:r>
        <w:rPr>
          <w:rtl w:val="0"/>
          <w:lang w:val="en-US"/>
        </w:rPr>
        <w:t>Ostraca from Elephantine in the Fitzwilliam Museum</w:t>
      </w:r>
      <w:r>
        <w:rPr>
          <w:rtl w:val="0"/>
        </w:rPr>
        <w:t xml:space="preserve">” </w:t>
      </w:r>
      <w:r>
        <w:rPr>
          <w:rtl w:val="0"/>
        </w:rPr>
        <w:t xml:space="preserve">ZPE </w:t>
      </w:r>
      <w:r>
        <w:rPr>
          <w:rtl w:val="0"/>
        </w:rPr>
        <w:t>80: 221</w:t>
      </w:r>
      <w:r>
        <w:rPr>
          <w:rtl w:val="0"/>
        </w:rPr>
        <w:t>–</w:t>
      </w:r>
      <w:r>
        <w:rPr>
          <w:rtl w:val="0"/>
        </w:rPr>
        <w:t>238.</w:t>
      </w:r>
    </w:p>
    <w:p>
      <w:pPr>
        <w:pStyle w:val="Body"/>
      </w:pPr>
    </w:p>
    <w:p>
      <w:pPr>
        <w:pStyle w:val="Body"/>
      </w:pPr>
      <w:r>
        <w:rPr>
          <w:rStyle w:val="Hyperlink.0"/>
        </w:rPr>
        <w:fldChar w:fldCharType="begin" w:fldLock="0"/>
      </w:r>
      <w:r>
        <w:rPr>
          <w:rStyle w:val="Hyperlink.0"/>
        </w:rPr>
        <w:instrText xml:space="preserve"> HYPERLINK "https://doi.org/10.1093/9780198947042.003.0008"</w:instrText>
      </w:r>
      <w:r>
        <w:rPr>
          <w:rStyle w:val="Hyperlink.0"/>
        </w:rPr>
        <w:fldChar w:fldCharType="separate" w:fldLock="0"/>
      </w:r>
      <w:r>
        <w:rPr>
          <w:rStyle w:val="Hyperlink.0"/>
          <w:rtl w:val="0"/>
        </w:rPr>
        <w:t>Schentuleit, M. (2025)</w:t>
      </w:r>
      <w:r>
        <w:rPr/>
        <w:fldChar w:fldCharType="end" w:fldLock="0"/>
      </w:r>
      <w:r>
        <w:rPr>
          <w:rtl w:val="1"/>
          <w:lang w:val="ar-SA" w:bidi="ar-SA"/>
        </w:rPr>
        <w:t xml:space="preserve"> “</w:t>
      </w:r>
      <w:r>
        <w:rPr>
          <w:rtl w:val="0"/>
          <w:lang w:val="en-US"/>
        </w:rPr>
        <w:t>Egyptian Cross-gender Names in Graeco-Roman Dime and Beyond,</w:t>
      </w:r>
      <w:r>
        <w:rPr>
          <w:rtl w:val="0"/>
        </w:rPr>
        <w:t xml:space="preserve">” </w:t>
      </w:r>
      <w:r>
        <w:rPr>
          <w:rtl w:val="0"/>
        </w:rPr>
        <w:t>in Alm</w:t>
      </w:r>
      <w:r>
        <w:rPr>
          <w:rtl w:val="0"/>
        </w:rPr>
        <w:t>á</w:t>
      </w:r>
      <w:r>
        <w:rPr>
          <w:rtl w:val="0"/>
          <w:lang w:val="en-US"/>
        </w:rPr>
        <w:t xml:space="preserve">sy-Martin, A. and Broux, Y. (eds), </w:t>
      </w:r>
      <w:r>
        <w:rPr>
          <w:rtl w:val="0"/>
          <w:lang w:val="nl-NL"/>
        </w:rPr>
        <w:t>Greek Personal Names in Egypt</w:t>
      </w:r>
      <w:r>
        <w:rPr>
          <w:rtl w:val="0"/>
        </w:rPr>
        <w:t>. Oxford: 221</w:t>
      </w:r>
      <w:r>
        <w:rPr>
          <w:rtl w:val="0"/>
        </w:rPr>
        <w:t>–</w:t>
      </w:r>
      <w:r>
        <w:rPr>
          <w:rtl w:val="0"/>
        </w:rPr>
        <w:t>258.</w:t>
      </w:r>
    </w:p>
    <w:p>
      <w:pPr>
        <w:pStyle w:val="Body"/>
      </w:pPr>
    </w:p>
    <w:p>
      <w:pPr>
        <w:pStyle w:val="Body"/>
      </w:pPr>
      <w:r>
        <w:rPr>
          <w:rStyle w:val="Hyperlink.0"/>
        </w:rPr>
        <w:fldChar w:fldCharType="begin" w:fldLock="0"/>
      </w:r>
      <w:r>
        <w:rPr>
          <w:rStyle w:val="Hyperlink.0"/>
        </w:rPr>
        <w:instrText xml:space="preserve"> HYPERLINK "https://papyri.info/biblio/78018"</w:instrText>
      </w:r>
      <w:r>
        <w:rPr>
          <w:rStyle w:val="Hyperlink.0"/>
        </w:rPr>
        <w:fldChar w:fldCharType="separate" w:fldLock="0"/>
      </w:r>
      <w:r>
        <w:rPr>
          <w:rStyle w:val="Hyperlink.0"/>
          <w:rtl w:val="0"/>
        </w:rPr>
        <w:t>Worp, K.A. (2009)</w:t>
      </w:r>
      <w:r>
        <w:rPr/>
        <w:fldChar w:fldCharType="end" w:fldLock="0"/>
      </w:r>
      <w:r>
        <w:rPr>
          <w:rtl w:val="0"/>
        </w:rPr>
        <w:t xml:space="preserve"> “Οὐλαί </w:t>
      </w:r>
      <w:r>
        <w:rPr>
          <w:rtl w:val="0"/>
          <w:lang w:val="en-US"/>
        </w:rPr>
        <w:t>on Women</w:t>
      </w:r>
      <w:r>
        <w:rPr>
          <w:rtl w:val="1"/>
        </w:rPr>
        <w:t>’</w:t>
      </w:r>
      <w:r>
        <w:rPr>
          <w:rtl w:val="0"/>
          <w:lang w:val="en-US"/>
        </w:rPr>
        <w:t>s Thighs?</w:t>
      </w:r>
      <w:r>
        <w:rPr>
          <w:rtl w:val="0"/>
        </w:rPr>
        <w:t xml:space="preserve">” </w:t>
      </w:r>
      <w:r>
        <w:rPr>
          <w:rtl w:val="0"/>
        </w:rPr>
        <w:t xml:space="preserve">ZPE </w:t>
      </w:r>
      <w:r>
        <w:rPr>
          <w:rtl w:val="0"/>
          <w:lang w:val="ru-RU"/>
        </w:rPr>
        <w:t>170: 147</w:t>
      </w:r>
      <w:r>
        <w:rPr>
          <w:rtl w:val="0"/>
        </w:rPr>
        <w:t>–</w:t>
      </w:r>
      <w:r>
        <w:rPr>
          <w:rtl w:val="0"/>
        </w:rPr>
        <w:t>148.</w:t>
      </w:r>
    </w:p>
    <w:p>
      <w:pPr>
        <w:pStyle w:val="Body"/>
      </w:pPr>
    </w:p>
    <w:p>
      <w:pPr>
        <w:pStyle w:val="Body"/>
      </w:pPr>
      <w:r>
        <w:rPr>
          <w:rStyle w:val="Hyperlink.0"/>
        </w:rPr>
        <w:fldChar w:fldCharType="begin" w:fldLock="0"/>
      </w:r>
      <w:r>
        <w:rPr>
          <w:rStyle w:val="Hyperlink.0"/>
        </w:rPr>
        <w:instrText xml:space="preserve"> HYPERLINK "https://papyri.info/biblio/39615"</w:instrText>
      </w:r>
      <w:r>
        <w:rPr>
          <w:rStyle w:val="Hyperlink.0"/>
        </w:rPr>
        <w:fldChar w:fldCharType="separate" w:fldLock="0"/>
      </w:r>
      <w:r>
        <w:rPr>
          <w:rStyle w:val="Hyperlink.0"/>
          <w:rtl w:val="0"/>
          <w:lang w:val="fr-FR"/>
        </w:rPr>
        <w:t>Youtie, H.C. (1950)</w:t>
      </w:r>
      <w:r>
        <w:rPr/>
        <w:fldChar w:fldCharType="end" w:fldLock="0"/>
      </w:r>
      <w:r>
        <w:rPr>
          <w:rtl w:val="1"/>
          <w:lang w:val="ar-SA" w:bidi="ar-SA"/>
        </w:rPr>
        <w:t xml:space="preserve"> “</w:t>
      </w:r>
      <w:r>
        <w:rPr>
          <w:rtl w:val="0"/>
          <w:lang w:val="en-US"/>
        </w:rPr>
        <w:t>Greek Ostraca from Egypt,</w:t>
      </w:r>
      <w:r>
        <w:rPr>
          <w:rtl w:val="0"/>
        </w:rPr>
        <w:t xml:space="preserve">” </w:t>
      </w:r>
      <w:r>
        <w:rPr>
          <w:rtl w:val="0"/>
          <w:lang w:val="pt-PT"/>
        </w:rPr>
        <w:t xml:space="preserve">TAPA </w:t>
      </w:r>
      <w:r>
        <w:rPr>
          <w:rtl w:val="0"/>
          <w:lang w:val="ru-RU"/>
        </w:rPr>
        <w:t>81: 99</w:t>
      </w:r>
      <w:r>
        <w:rPr>
          <w:rtl w:val="0"/>
        </w:rPr>
        <w:t>–</w:t>
      </w:r>
      <w:r>
        <w:rPr>
          <w:rtl w:val="0"/>
        </w:rPr>
        <w:t>116.</w:t>
      </w:r>
    </w:p>
    <w:p>
      <w:pPr>
        <w:pStyle w:val="Body"/>
      </w:pPr>
    </w:p>
    <w:p>
      <w:pPr>
        <w:pStyle w:val="Body"/>
      </w:pPr>
      <w:r>
        <w:rPr>
          <w:rStyle w:val="Hyperlink.0"/>
        </w:rPr>
        <w:fldChar w:fldCharType="begin" w:fldLock="0"/>
      </w:r>
      <w:r>
        <w:rPr>
          <w:rStyle w:val="Hyperlink.0"/>
        </w:rPr>
        <w:instrText xml:space="preserve"> HYPERLINK "https://papyri.info/biblio/49715"</w:instrText>
      </w:r>
      <w:r>
        <w:rPr>
          <w:rStyle w:val="Hyperlink.0"/>
        </w:rPr>
        <w:fldChar w:fldCharType="separate" w:fldLock="0"/>
      </w:r>
      <w:r>
        <w:rPr>
          <w:rStyle w:val="Hyperlink.0"/>
          <w:rtl w:val="0"/>
          <w:lang w:val="it-IT"/>
        </w:rPr>
        <w:t>Youtie, H.C. (1973)</w:t>
      </w:r>
      <w:r>
        <w:rPr/>
        <w:fldChar w:fldCharType="end" w:fldLock="0"/>
      </w:r>
      <w:r>
        <w:rPr>
          <w:rtl w:val="1"/>
          <w:lang w:val="ar-SA" w:bidi="ar-SA"/>
        </w:rPr>
        <w:t xml:space="preserve"> “</w:t>
      </w:r>
      <w:r>
        <w:rPr>
          <w:rtl w:val="0"/>
          <w:lang w:val="en-US"/>
        </w:rPr>
        <w:t>Review. Tax Rolls from Karanis. Part I.</w:t>
      </w:r>
      <w:r>
        <w:rPr>
          <w:rtl w:val="0"/>
        </w:rPr>
        <w:t xml:space="preserve">” </w:t>
      </w:r>
      <w:r>
        <w:rPr>
          <w:rtl w:val="0"/>
        </w:rPr>
        <w:t>Scriptiunculae</w:t>
      </w:r>
      <w:r>
        <w:rPr>
          <w:rtl w:val="0"/>
          <w:lang w:val="nl-NL"/>
        </w:rPr>
        <w:t xml:space="preserve"> II (Amsterdam): 851</w:t>
      </w:r>
      <w:r>
        <w:rPr>
          <w:rtl w:val="0"/>
        </w:rPr>
        <w:t>–</w:t>
      </w:r>
      <w:r>
        <w:rPr>
          <w:rtl w:val="0"/>
        </w:rPr>
        <w:t>857.</w:t>
      </w:r>
    </w:p>
    <w:sectPr>
      <w:headerReference w:type="default" r:id="rId4"/>
      <w:footerReference w:type="default" r:id="rId5"/>
      <w:pgSz w:w="11900" w:h="16840" w:orient="portrait"/>
      <w:pgMar w:top="1417" w:right="1417" w:bottom="1134" w:left="1417"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IFAO-Grec Unicod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notes.xml><?xml version="1.0" encoding="utf-8"?>
<w:footnotes xmlns:w="http://schemas.openxmlformats.org/wordprocessingml/2006/main" xmlns:r="http://schemas.openxmlformats.org/officeDocument/2006/relationships" xmlns:w14="http://schemas.microsoft.com/office/word/2010/wordml" xmlns:wp="http://schemas.openxmlformats.org/drawingml/2006/wordprocessingDrawing" xmlns:m="http://schemas.openxmlformats.org/officeDocument/2006/math">
  <w:footnote w:type="separator" w:id="-1">
    <w:p>
      <w:r>
        <w:separator/>
      </w:r>
    </w:p>
  </w:footnote>
  <w:footnote w:type="continuationSeparator" w:id="0">
    <w:p>
      <w:r>
        <w:continuationSeparator/>
      </w:r>
    </w:p>
  </w:footnote>
  <w:footnote w:type="continuationNotice" w:id="-2">
    <w:p>
      <w:r>
        <w:t/>
      </w:r>
    </w:p>
  </w:footnote>
  <w:footnote w:id="1">
    <w:p>
      <w:pPr>
        <w:pStyle w:val="footnote text"/>
      </w:pPr>
      <w:r>
        <w:rPr>
          <w:vertAlign w:val="superscript"/>
        </w:rPr>
        <w:footnoteRef/>
      </w:r>
      <w:r>
        <w:rPr>
          <w:rFonts w:cs="Arial Unicode MS" w:eastAsia="Arial Unicode MS"/>
          <w:rtl w:val="0"/>
          <w:lang w:val="en-US"/>
        </w:rPr>
        <w:t xml:space="preserve"> On Isis Ese(n)remphis, see </w:t>
      </w:r>
      <w:r>
        <w:rPr>
          <w:rStyle w:val="Hyperlink.0"/>
        </w:rPr>
        <w:fldChar w:fldCharType="begin" w:fldLock="0"/>
      </w:r>
      <w:r>
        <w:rPr>
          <w:rStyle w:val="Hyperlink.0"/>
        </w:rPr>
        <w:instrText xml:space="preserve"> HYPERLINK "https://papyri.info/biblio/56002"</w:instrText>
      </w:r>
      <w:r>
        <w:rPr>
          <w:rStyle w:val="Hyperlink.0"/>
        </w:rPr>
        <w:fldChar w:fldCharType="separate" w:fldLock="0"/>
      </w:r>
      <w:r>
        <w:rPr>
          <w:rStyle w:val="Hyperlink.0"/>
          <w:rFonts w:cs="Arial Unicode MS" w:eastAsia="Arial Unicode MS"/>
          <w:rtl w:val="0"/>
        </w:rPr>
        <w:t>Quaegebeur 1983</w:t>
      </w:r>
      <w:r>
        <w:rPr/>
        <w:fldChar w:fldCharType="end" w:fldLock="0"/>
      </w:r>
      <w:r>
        <w:rPr>
          <w:rFonts w:cs="Arial Unicode MS" w:eastAsia="Arial Unicode MS"/>
          <w:rtl w:val="0"/>
          <w:lang w:val="en-US"/>
        </w:rPr>
        <w:t>. The female personal name Esenremphis (</w:t>
      </w:r>
      <w:r>
        <w:rPr>
          <w:rStyle w:val="Hyperlink.0"/>
        </w:rPr>
        <w:fldChar w:fldCharType="begin" w:fldLock="0"/>
      </w:r>
      <w:r>
        <w:rPr>
          <w:rStyle w:val="Hyperlink.0"/>
        </w:rPr>
        <w:instrText xml:space="preserve"> HYPERLINK "http://www.trismegistos.org/name/178"</w:instrText>
      </w:r>
      <w:r>
        <w:rPr>
          <w:rStyle w:val="Hyperlink.0"/>
        </w:rPr>
        <w:fldChar w:fldCharType="separate" w:fldLock="0"/>
      </w:r>
      <w:r>
        <w:rPr>
          <w:rStyle w:val="Hyperlink.0"/>
          <w:rFonts w:cs="Arial Unicode MS" w:eastAsia="Arial Unicode MS"/>
          <w:rtl w:val="0"/>
        </w:rPr>
        <w:t>TM Nam 178</w:t>
      </w:r>
      <w:r>
        <w:rPr/>
        <w:fldChar w:fldCharType="end" w:fldLock="0"/>
      </w:r>
      <w:r>
        <w:rPr>
          <w:rFonts w:cs="Arial Unicode MS" w:eastAsia="Arial Unicode MS"/>
          <w:rtl w:val="0"/>
          <w:lang w:val="en-US"/>
        </w:rPr>
        <w:t xml:space="preserve">) is found in Theadelphia in </w:t>
      </w:r>
      <w:r>
        <w:rPr>
          <w:rStyle w:val="Hyperlink.0"/>
        </w:rPr>
        <w:fldChar w:fldCharType="begin" w:fldLock="0"/>
      </w:r>
      <w:r>
        <w:rPr>
          <w:rStyle w:val="Hyperlink.0"/>
        </w:rPr>
        <w:instrText xml:space="preserve"> HYPERLINK "https://papyri.info/ddbdp/cde%3B97%3B186"</w:instrText>
      </w:r>
      <w:r>
        <w:rPr>
          <w:rStyle w:val="Hyperlink.0"/>
        </w:rPr>
        <w:fldChar w:fldCharType="separate" w:fldLock="0"/>
      </w:r>
      <w:r>
        <w:rPr>
          <w:rStyle w:val="Hyperlink.0"/>
          <w:rFonts w:cs="Arial Unicode MS" w:eastAsia="Arial Unicode MS"/>
          <w:rtl w:val="0"/>
        </w:rPr>
        <w:t>P.Mich. inv. 4188</w:t>
      </w:r>
      <w:r>
        <w:rPr/>
        <w:fldChar w:fldCharType="end" w:fldLock="0"/>
      </w:r>
      <w:r>
        <w:rPr>
          <w:rFonts w:cs="Arial Unicode MS" w:eastAsia="Arial Unicode MS"/>
          <w:rtl w:val="0"/>
          <w:lang w:val="en-US"/>
        </w:rPr>
        <w:t xml:space="preserve"> = </w:t>
      </w:r>
      <w:r>
        <w:rPr>
          <w:rStyle w:val="Hyperlink.0"/>
        </w:rPr>
        <w:fldChar w:fldCharType="begin" w:fldLock="0"/>
      </w:r>
      <w:r>
        <w:rPr>
          <w:rStyle w:val="Hyperlink.0"/>
        </w:rPr>
        <w:instrText xml:space="preserve"> HYPERLINK "https://papyri.info/biblio/96039"</w:instrText>
      </w:r>
      <w:r>
        <w:rPr>
          <w:rStyle w:val="Hyperlink.0"/>
        </w:rPr>
        <w:fldChar w:fldCharType="separate" w:fldLock="0"/>
      </w:r>
      <w:r>
        <w:rPr>
          <w:rStyle w:val="Hyperlink.0"/>
          <w:rFonts w:cs="Arial Unicode MS" w:eastAsia="Arial Unicode MS"/>
          <w:rtl w:val="0"/>
        </w:rPr>
        <w:t>Claytor and Wegner 2022</w:t>
      </w:r>
      <w:r>
        <w:rPr/>
        <w:fldChar w:fldCharType="end" w:fldLock="0"/>
      </w:r>
      <w:r>
        <w:rPr>
          <w:rFonts w:cs="Arial Unicode MS" w:eastAsia="Arial Unicode MS"/>
          <w:rtl w:val="0"/>
          <w:lang w:val="en-US"/>
        </w:rPr>
        <w:t xml:space="preserve"> (62 BCE) and </w:t>
      </w:r>
      <w:r>
        <w:rPr>
          <w:rStyle w:val="Hyperlink.0"/>
        </w:rPr>
        <w:fldChar w:fldCharType="begin" w:fldLock="0"/>
      </w:r>
      <w:r>
        <w:rPr>
          <w:rStyle w:val="Hyperlink.0"/>
        </w:rPr>
        <w:instrText xml:space="preserve"> HYPERLINK "https://www.trismegistos.org/text/28661"</w:instrText>
      </w:r>
      <w:r>
        <w:rPr>
          <w:rStyle w:val="Hyperlink.0"/>
        </w:rPr>
        <w:fldChar w:fldCharType="separate" w:fldLock="0"/>
      </w:r>
      <w:r>
        <w:rPr>
          <w:rStyle w:val="Hyperlink.0"/>
          <w:rFonts w:cs="Arial Unicode MS" w:eastAsia="Arial Unicode MS"/>
          <w:rtl w:val="0"/>
        </w:rPr>
        <w:t>P.Cair.Gad 6</w:t>
      </w:r>
      <w:r>
        <w:rPr/>
        <w:fldChar w:fldCharType="end" w:fldLock="0"/>
      </w:r>
      <w:r>
        <w:rPr>
          <w:rFonts w:cs="Arial Unicode MS" w:eastAsia="Arial Unicode MS"/>
          <w:rtl w:val="0"/>
          <w:lang w:val="en-US"/>
        </w:rPr>
        <w:t>, frag. b.8 (II CE).</w:t>
      </w:r>
    </w:p>
  </w:footnote>
  <w:footnote w:id="2">
    <w:p>
      <w:pPr>
        <w:pStyle w:val="footnote text"/>
      </w:pPr>
      <w:r>
        <w:rPr>
          <w:vertAlign w:val="superscript"/>
        </w:rPr>
        <w:footnoteRef/>
      </w:r>
      <w:r>
        <w:rPr>
          <w:rFonts w:cs="Arial Unicode MS" w:eastAsia="Arial Unicode MS"/>
          <w:rtl w:val="0"/>
          <w:lang w:val="en-US"/>
        </w:rPr>
        <w:t xml:space="preserve"> The image is not of the highest quality, but </w:t>
      </w:r>
      <w:r>
        <w:rPr>
          <w:rFonts w:cs="Arial Unicode MS" w:eastAsia="Arial Unicode MS" w:hint="default"/>
          <w:rtl w:val="0"/>
          <w:lang w:val="en-US"/>
        </w:rPr>
        <w:t xml:space="preserve">τ̣ῶν </w:t>
      </w:r>
      <w:r>
        <w:rPr>
          <w:rFonts w:cs="Arial Unicode MS" w:eastAsia="Arial Unicode MS"/>
          <w:rtl w:val="0"/>
          <w:lang w:val="en-US"/>
        </w:rPr>
        <w:t xml:space="preserve">is clear: there is a trace of the tail of tau, a bit longer than that of </w:t>
      </w:r>
      <w:r>
        <w:rPr>
          <w:rFonts w:cs="Arial Unicode MS" w:eastAsia="Arial Unicode MS" w:hint="default"/>
          <w:rtl w:val="0"/>
          <w:lang w:val="en-US"/>
        </w:rPr>
        <w:t xml:space="preserve">τῶν </w:t>
      </w:r>
      <w:r>
        <w:rPr>
          <w:rFonts w:cs="Arial Unicode MS" w:eastAsia="Arial Unicode MS"/>
          <w:rtl w:val="0"/>
          <w:lang w:val="en-US"/>
        </w:rPr>
        <w:t xml:space="preserve">in the previous line, which descends nearly to the omicron of </w:t>
      </w:r>
      <w:r>
        <w:rPr>
          <w:rFonts w:cs="Arial Unicode MS" w:eastAsia="Arial Unicode MS" w:hint="default"/>
          <w:rtl w:val="0"/>
          <w:lang w:val="en-US"/>
        </w:rPr>
        <w:t xml:space="preserve">ἐκφορίων </w:t>
      </w:r>
      <w:r>
        <w:rPr>
          <w:rFonts w:cs="Arial Unicode MS" w:eastAsia="Arial Unicode MS"/>
          <w:rtl w:val="0"/>
          <w:lang w:val="en-US"/>
        </w:rPr>
        <w:t xml:space="preserve">in l. 3. Little remains following </w:t>
      </w:r>
      <w:r>
        <w:rPr>
          <w:rFonts w:cs="Arial Unicode MS" w:eastAsia="Arial Unicode MS" w:hint="default"/>
          <w:rtl w:val="0"/>
          <w:lang w:val="en-US"/>
        </w:rPr>
        <w:t xml:space="preserve">γε </w:t>
      </w:r>
      <w:r>
        <w:rPr>
          <w:rFonts w:cs="Arial Unicode MS" w:eastAsia="Arial Unicode MS"/>
          <w:rtl w:val="0"/>
          <w:lang w:val="en-US"/>
        </w:rPr>
        <w:t xml:space="preserve">(it is unclear whether the dark line above and to the right of </w:t>
      </w:r>
      <w:r>
        <w:rPr>
          <w:rFonts w:cs="Arial Unicode MS" w:eastAsia="Arial Unicode MS" w:hint="default"/>
          <w:rtl w:val="0"/>
          <w:lang w:val="en-US"/>
        </w:rPr>
        <w:t xml:space="preserve">ε </w:t>
      </w:r>
      <w:r>
        <w:rPr>
          <w:rFonts w:cs="Arial Unicode MS" w:eastAsia="Arial Unicode MS"/>
          <w:rtl w:val="0"/>
          <w:lang w:val="en-US"/>
        </w:rPr>
        <w:t xml:space="preserve">is ink and, if so, whether it is from the previous line), but traces of the expected initial curving stroke of omega can perhaps be made out, followed by what appears to be a faint trace of the descending rho. This reading leaves room for a gamma raised in abbreviation before </w:t>
      </w:r>
      <w:r>
        <w:rPr>
          <w:rFonts w:cs="Arial Unicode MS" w:eastAsia="Arial Unicode MS" w:hint="default"/>
          <w:rtl w:val="0"/>
          <w:lang w:val="en-US"/>
        </w:rPr>
        <w:t>τ̣ῶν</w:t>
      </w:r>
      <w:r>
        <w:rPr>
          <w:rFonts w:cs="Arial Unicode MS" w:eastAsia="Arial Unicode MS"/>
          <w:rtl w:val="0"/>
          <w:lang w:val="en-US"/>
        </w:rPr>
        <w:t>.</w:t>
      </w:r>
    </w:p>
  </w:footnote>
  <w:footnote w:id="3">
    <w:p>
      <w:pPr>
        <w:pStyle w:val="footnote text"/>
      </w:pPr>
      <w:r>
        <w:rPr>
          <w:vertAlign w:val="superscript"/>
        </w:rPr>
        <w:footnoteRef/>
      </w:r>
      <w:r>
        <w:rPr>
          <w:rFonts w:cs="Arial Unicode MS" w:eastAsia="Arial Unicode MS"/>
          <w:rtl w:val="0"/>
          <w:lang w:val="en-US"/>
        </w:rPr>
        <w:t xml:space="preserve"> On such names in Egypt, see </w:t>
      </w:r>
      <w:r>
        <w:rPr>
          <w:rStyle w:val="Hyperlink.0"/>
        </w:rPr>
        <w:fldChar w:fldCharType="begin" w:fldLock="0"/>
      </w:r>
      <w:r>
        <w:rPr>
          <w:rStyle w:val="Hyperlink.0"/>
        </w:rPr>
        <w:instrText xml:space="preserve"> HYPERLINK "https://doi.org/10.1093/9780198947042.003.0008"</w:instrText>
      </w:r>
      <w:r>
        <w:rPr>
          <w:rStyle w:val="Hyperlink.0"/>
        </w:rPr>
        <w:fldChar w:fldCharType="separate" w:fldLock="0"/>
      </w:r>
      <w:r>
        <w:rPr>
          <w:rStyle w:val="Hyperlink.0"/>
          <w:rFonts w:cs="Arial Unicode MS" w:eastAsia="Arial Unicode MS"/>
          <w:rtl w:val="0"/>
        </w:rPr>
        <w:t>Schentuleit 2025</w:t>
      </w:r>
      <w:r>
        <w:rPr/>
        <w:fldChar w:fldCharType="end" w:fldLock="0"/>
      </w:r>
      <w:r>
        <w:rPr>
          <w:rFonts w:cs="Arial Unicode MS" w:eastAsia="Arial Unicode MS"/>
          <w:rtl w:val="0"/>
          <w:lang w:val="en-US"/>
        </w:rPr>
        <w:t xml:space="preserve"> (with pp. 233</w:t>
      </w:r>
      <w:r>
        <w:rPr>
          <w:rFonts w:cs="Arial Unicode MS" w:eastAsia="Arial Unicode MS" w:hint="default"/>
          <w:rtl w:val="0"/>
          <w:lang w:val="en-US"/>
        </w:rPr>
        <w:t>–</w:t>
      </w:r>
      <w:r>
        <w:rPr>
          <w:rFonts w:cs="Arial Unicode MS" w:eastAsia="Arial Unicode MS"/>
          <w:rtl w:val="0"/>
          <w:lang w:val="en-US"/>
        </w:rPr>
        <w:t>234 on the etymology of the name Tesenouphis and 241</w:t>
      </w:r>
      <w:r>
        <w:rPr>
          <w:rFonts w:cs="Arial Unicode MS" w:eastAsia="Arial Unicode MS" w:hint="default"/>
          <w:rtl w:val="0"/>
          <w:lang w:val="en-US"/>
        </w:rPr>
        <w:t>–</w:t>
      </w:r>
      <w:r>
        <w:rPr>
          <w:rFonts w:cs="Arial Unicode MS" w:eastAsia="Arial Unicode MS"/>
          <w:rtl w:val="0"/>
          <w:lang w:val="en-US"/>
        </w:rPr>
        <w:t xml:space="preserve">242 on the deified individual behind the name). </w:t>
      </w:r>
    </w:p>
  </w:footnote>
  <w:footnote w:id="4">
    <w:p>
      <w:pPr>
        <w:pStyle w:val="footnote text"/>
      </w:pPr>
      <w:r>
        <w:rPr>
          <w:vertAlign w:val="superscript"/>
        </w:rPr>
        <w:footnoteRef/>
      </w:r>
      <w:r>
        <w:rPr>
          <w:rFonts w:cs="Arial Unicode MS" w:eastAsia="Arial Unicode MS"/>
          <w:rtl w:val="0"/>
          <w:lang w:val="en-US"/>
        </w:rPr>
        <w:t xml:space="preserve"> Similar examples are found in the later Heroninos archive (</w:t>
      </w:r>
      <w:r>
        <w:rPr>
          <w:rStyle w:val="Hyperlink.0"/>
        </w:rPr>
        <w:fldChar w:fldCharType="begin" w:fldLock="0"/>
      </w:r>
      <w:r>
        <w:rPr>
          <w:rStyle w:val="Hyperlink.0"/>
        </w:rPr>
        <w:instrText xml:space="preserve"> HYPERLINK "https://papyri.info/biblio/12541"</w:instrText>
      </w:r>
      <w:r>
        <w:rPr>
          <w:rStyle w:val="Hyperlink.0"/>
        </w:rPr>
        <w:fldChar w:fldCharType="separate" w:fldLock="0"/>
      </w:r>
      <w:r>
        <w:rPr>
          <w:rStyle w:val="Hyperlink.0"/>
          <w:rFonts w:cs="Arial Unicode MS" w:eastAsia="Arial Unicode MS"/>
          <w:rtl w:val="0"/>
        </w:rPr>
        <w:t>Rathbone 1991: 30</w:t>
      </w:r>
      <w:r>
        <w:rPr>
          <w:rStyle w:val="Hyperlink.0"/>
          <w:rFonts w:cs="Arial Unicode MS" w:eastAsia="Arial Unicode MS" w:hint="default"/>
          <w:rtl w:val="0"/>
        </w:rPr>
        <w:t>–</w:t>
      </w:r>
      <w:r>
        <w:rPr>
          <w:rStyle w:val="Hyperlink.0"/>
          <w:rFonts w:cs="Arial Unicode MS" w:eastAsia="Arial Unicode MS"/>
          <w:rtl w:val="0"/>
        </w:rPr>
        <w:t>31</w:t>
      </w:r>
      <w:r>
        <w:rPr/>
        <w:fldChar w:fldCharType="end" w:fldLock="0"/>
      </w:r>
      <w:r>
        <w:rPr>
          <w:rFonts w:cs="Arial Unicode MS" w:eastAsia="Arial Unicode MS"/>
          <w:rtl w:val="0"/>
          <w:lang w:val="en-US"/>
        </w:rPr>
        <w:t>). For other variations of Athenodoros</w:t>
      </w:r>
      <w:r>
        <w:rPr>
          <w:rFonts w:cs="Arial Unicode MS" w:eastAsia="Arial Unicode MS" w:hint="default"/>
          <w:rtl w:val="0"/>
          <w:lang w:val="en-US"/>
        </w:rPr>
        <w:t xml:space="preserve">’ </w:t>
      </w:r>
      <w:r>
        <w:rPr>
          <w:rFonts w:cs="Arial Unicode MS" w:eastAsia="Arial Unicode MS"/>
          <w:rtl w:val="0"/>
          <w:lang w:val="en-US"/>
        </w:rPr>
        <w:t>title as administrator of Asklepiades</w:t>
      </w:r>
      <w:r>
        <w:rPr>
          <w:rFonts w:cs="Arial Unicode MS" w:eastAsia="Arial Unicode MS" w:hint="default"/>
          <w:rtl w:val="0"/>
          <w:lang w:val="en-US"/>
        </w:rPr>
        <w:t xml:space="preserve">’ </w:t>
      </w:r>
      <w:r>
        <w:rPr>
          <w:rFonts w:cs="Arial Unicode MS" w:eastAsia="Arial Unicode MS"/>
          <w:rtl w:val="0"/>
          <w:lang w:val="en-US"/>
        </w:rPr>
        <w:t xml:space="preserve">estate in the Herakleopolite nome, see </w:t>
      </w:r>
      <w:r>
        <w:rPr>
          <w:rStyle w:val="Hyperlink.0"/>
        </w:rPr>
        <w:fldChar w:fldCharType="begin" w:fldLock="0"/>
      </w:r>
      <w:r>
        <w:rPr>
          <w:rStyle w:val="Hyperlink.0"/>
        </w:rPr>
        <w:instrText xml:space="preserve"> HYPERLINK "https://papyri.info/biblio/96416"</w:instrText>
      </w:r>
      <w:r>
        <w:rPr>
          <w:rStyle w:val="Hyperlink.0"/>
        </w:rPr>
        <w:fldChar w:fldCharType="separate" w:fldLock="0"/>
      </w:r>
      <w:r>
        <w:rPr>
          <w:rStyle w:val="Hyperlink.0"/>
          <w:rFonts w:cs="Arial Unicode MS" w:eastAsia="Arial Unicode MS"/>
          <w:rtl w:val="0"/>
        </w:rPr>
        <w:t>Armoni 2018</w:t>
      </w:r>
      <w:r>
        <w:rPr/>
        <w:fldChar w:fldCharType="end" w:fldLock="0"/>
      </w:r>
      <w:r>
        <w:rPr>
          <w:rFonts w:cs="Arial Unicode MS" w:eastAsia="Arial Unicode MS"/>
          <w:rtl w:val="0"/>
          <w:lang w:val="en-US"/>
        </w:rPr>
        <w:t>: 123</w:t>
      </w:r>
      <w:r>
        <w:rPr>
          <w:rFonts w:cs="Arial Unicode MS" w:eastAsia="Arial Unicode MS" w:hint="default"/>
          <w:rtl w:val="0"/>
          <w:lang w:val="en-US"/>
        </w:rPr>
        <w:t>–</w:t>
      </w:r>
      <w:r>
        <w:rPr>
          <w:rFonts w:cs="Arial Unicode MS" w:eastAsia="Arial Unicode MS"/>
          <w:rtl w:val="0"/>
          <w:lang w:val="en-US"/>
        </w:rPr>
        <w:t xml:space="preserve">124. This estate is referred to more specifically in </w:t>
      </w:r>
      <w:r>
        <w:rPr>
          <w:rStyle w:val="Hyperlink.0"/>
        </w:rPr>
        <w:fldChar w:fldCharType="begin" w:fldLock="0"/>
      </w:r>
      <w:r>
        <w:rPr>
          <w:rStyle w:val="Hyperlink.0"/>
        </w:rPr>
        <w:instrText xml:space="preserve"> HYPERLINK "https://papyri.info/ddbdp/bgu%3B16%3B2601"</w:instrText>
      </w:r>
      <w:r>
        <w:rPr>
          <w:rStyle w:val="Hyperlink.0"/>
        </w:rPr>
        <w:fldChar w:fldCharType="separate" w:fldLock="0"/>
      </w:r>
      <w:r>
        <w:rPr>
          <w:rStyle w:val="Hyperlink.0"/>
          <w:rFonts w:cs="Arial Unicode MS" w:eastAsia="Arial Unicode MS"/>
          <w:rtl w:val="0"/>
        </w:rPr>
        <w:t>BGU 16 2601</w:t>
      </w:r>
      <w:r>
        <w:rPr/>
        <w:fldChar w:fldCharType="end" w:fldLock="0"/>
      </w:r>
      <w:r>
        <w:rPr>
          <w:rFonts w:cs="Arial Unicode MS" w:eastAsia="Arial Unicode MS"/>
          <w:rtl w:val="0"/>
          <w:lang w:val="en-US"/>
        </w:rPr>
        <w:t xml:space="preserve">.8 (= </w:t>
      </w:r>
      <w:r>
        <w:rPr>
          <w:rStyle w:val="Hyperlink.0"/>
        </w:rPr>
        <w:fldChar w:fldCharType="begin" w:fldLock="0"/>
      </w:r>
      <w:r>
        <w:rPr>
          <w:rStyle w:val="Hyperlink.0"/>
        </w:rPr>
        <w:instrText xml:space="preserve"> HYPERLINK "https://papyri.info/biblio/96416"</w:instrText>
      </w:r>
      <w:r>
        <w:rPr>
          <w:rStyle w:val="Hyperlink.0"/>
        </w:rPr>
        <w:fldChar w:fldCharType="separate" w:fldLock="0"/>
      </w:r>
      <w:r>
        <w:rPr>
          <w:rStyle w:val="Hyperlink.0"/>
          <w:rFonts w:cs="Arial Unicode MS" w:eastAsia="Arial Unicode MS"/>
          <w:rtl w:val="0"/>
        </w:rPr>
        <w:t>Armoni 2018</w:t>
      </w:r>
      <w:r>
        <w:rPr/>
        <w:fldChar w:fldCharType="end" w:fldLock="0"/>
      </w:r>
      <w:r>
        <w:rPr>
          <w:rFonts w:cs="Arial Unicode MS" w:eastAsia="Arial Unicode MS"/>
          <w:rtl w:val="0"/>
          <w:lang w:val="en-US"/>
        </w:rPr>
        <w:t>: 127</w:t>
      </w:r>
      <w:r>
        <w:rPr>
          <w:rFonts w:cs="Arial Unicode MS" w:eastAsia="Arial Unicode MS" w:hint="default"/>
          <w:rtl w:val="0"/>
          <w:lang w:val="en-US"/>
        </w:rPr>
        <w:t>–</w:t>
      </w:r>
      <w:r>
        <w:rPr>
          <w:rFonts w:cs="Arial Unicode MS" w:eastAsia="Arial Unicode MS"/>
          <w:rtl w:val="0"/>
          <w:lang w:val="en-US"/>
        </w:rPr>
        <w:t xml:space="preserve">129) and </w:t>
      </w:r>
      <w:r>
        <w:rPr>
          <w:rStyle w:val="Hyperlink.0"/>
        </w:rPr>
        <w:fldChar w:fldCharType="begin" w:fldLock="0"/>
      </w:r>
      <w:r>
        <w:rPr>
          <w:rStyle w:val="Hyperlink.0"/>
        </w:rPr>
        <w:instrText xml:space="preserve"> HYPERLINK "https://papyri.info/ddbdp/bgu%3B16%3B2663"</w:instrText>
      </w:r>
      <w:r>
        <w:rPr>
          <w:rStyle w:val="Hyperlink.0"/>
        </w:rPr>
        <w:fldChar w:fldCharType="separate" w:fldLock="0"/>
      </w:r>
      <w:r>
        <w:rPr>
          <w:rStyle w:val="Hyperlink.0"/>
          <w:rFonts w:cs="Arial Unicode MS" w:eastAsia="Arial Unicode MS"/>
          <w:rtl w:val="0"/>
        </w:rPr>
        <w:t>BGU 16 2663</w:t>
      </w:r>
      <w:r>
        <w:rPr/>
        <w:fldChar w:fldCharType="end" w:fldLock="0"/>
      </w:r>
      <w:r>
        <w:rPr>
          <w:rFonts w:cs="Arial Unicode MS" w:eastAsia="Arial Unicode MS"/>
          <w:rtl w:val="0"/>
          <w:lang w:val="en-US"/>
        </w:rPr>
        <w:t>.4</w:t>
      </w:r>
      <w:r>
        <w:rPr>
          <w:rFonts w:cs="Arial Unicode MS" w:eastAsia="Arial Unicode MS" w:hint="default"/>
          <w:rtl w:val="0"/>
          <w:lang w:val="en-US"/>
        </w:rPr>
        <w:t>–</w:t>
      </w:r>
      <w:r>
        <w:rPr>
          <w:rFonts w:cs="Arial Unicode MS" w:eastAsia="Arial Unicode MS"/>
          <w:rtl w:val="0"/>
          <w:lang w:val="en-US"/>
        </w:rPr>
        <w:t xml:space="preserve">5 as </w:t>
      </w:r>
      <w:r>
        <w:rPr>
          <w:rFonts w:cs="Arial Unicode MS" w:eastAsia="Arial Unicode MS" w:hint="default"/>
          <w:rtl w:val="0"/>
          <w:lang w:val="en-US"/>
        </w:rPr>
        <w:t xml:space="preserve">τὰ τοῦ Ἀσκληπιάδου ἐδάφη </w:t>
      </w:r>
      <w:r>
        <w:rPr>
          <w:rFonts w:cs="Arial Unicode MS" w:eastAsia="Arial Unicode MS"/>
          <w:rtl w:val="0"/>
          <w:lang w:val="en-US"/>
        </w:rPr>
        <w:t xml:space="preserve">and </w:t>
      </w:r>
      <w:r>
        <w:rPr>
          <w:rFonts w:cs="Arial Unicode MS" w:eastAsia="Arial Unicode MS" w:hint="default"/>
          <w:rtl w:val="0"/>
          <w:lang w:val="en-US"/>
        </w:rPr>
        <w:t xml:space="preserve">τὰ ἐδάφη τοῦ οἴκου </w:t>
      </w:r>
      <w:r>
        <w:rPr>
          <w:rFonts w:cs="Arial Unicode MS" w:eastAsia="Arial Unicode MS"/>
          <w:rtl w:val="0"/>
          <w:lang w:val="en-US"/>
        </w:rPr>
        <w:t>respectively.</w:t>
      </w:r>
    </w:p>
  </w:footnote>
  <w:footnote w:id="5">
    <w:p>
      <w:pPr>
        <w:pStyle w:val="footnote text"/>
      </w:pPr>
      <w:r>
        <w:rPr>
          <w:vertAlign w:val="superscript"/>
        </w:rPr>
        <w:footnoteRef/>
      </w:r>
      <w:r>
        <w:rPr>
          <w:rFonts w:cs="Arial Unicode MS" w:eastAsia="Arial Unicode MS"/>
          <w:rtl w:val="0"/>
          <w:lang w:val="en-US"/>
        </w:rPr>
        <w:t xml:space="preserve"> Kallistratos</w:t>
      </w:r>
      <w:r>
        <w:rPr>
          <w:rFonts w:cs="Arial Unicode MS" w:eastAsia="Arial Unicode MS" w:hint="default"/>
          <w:rtl w:val="0"/>
          <w:lang w:val="en-US"/>
        </w:rPr>
        <w:t xml:space="preserve">’ </w:t>
      </w:r>
      <w:r>
        <w:rPr>
          <w:rFonts w:cs="Arial Unicode MS" w:eastAsia="Arial Unicode MS"/>
          <w:rtl w:val="0"/>
          <w:lang w:val="en-US"/>
        </w:rPr>
        <w:t>tenant Tesenouphis was no ordinary smallholder, but a lessee of 200 arouras (l. 4). Given the names involved (besides Tesenouphis, a Herieus son of Satabous appears in l. 10), the Prague papyrus was likely found in Soknopaiou Nesos, although the large tract of land in question was no doubt located elsewhere.</w:t>
      </w:r>
    </w:p>
  </w:footnote>
  <w:footnote w:id="6">
    <w:p>
      <w:pPr>
        <w:pStyle w:val="footnote text"/>
      </w:pPr>
      <w:r>
        <w:rPr>
          <w:vertAlign w:val="superscript"/>
        </w:rPr>
        <w:footnoteRef/>
      </w:r>
      <w:r>
        <w:rPr>
          <w:rFonts w:cs="Arial Unicode MS" w:eastAsia="Arial Unicode MS"/>
          <w:rtl w:val="0"/>
          <w:lang w:val="en-US"/>
        </w:rPr>
        <w:t xml:space="preserve"> On this type of order, specific to the Fayum and mentioning private granaries, see </w:t>
      </w:r>
      <w:r>
        <w:rPr>
          <w:rStyle w:val="Hyperlink.0"/>
        </w:rPr>
        <w:fldChar w:fldCharType="begin" w:fldLock="0"/>
      </w:r>
      <w:r>
        <w:rPr>
          <w:rStyle w:val="Hyperlink.0"/>
        </w:rPr>
        <w:instrText xml:space="preserve"> HYPERLINK "https://papyri.info/biblio/39615"</w:instrText>
      </w:r>
      <w:r>
        <w:rPr>
          <w:rStyle w:val="Hyperlink.0"/>
        </w:rPr>
        <w:fldChar w:fldCharType="separate" w:fldLock="0"/>
      </w:r>
      <w:r>
        <w:rPr>
          <w:rStyle w:val="Hyperlink.0"/>
          <w:rFonts w:cs="Arial Unicode MS" w:eastAsia="Arial Unicode MS"/>
          <w:rtl w:val="0"/>
        </w:rPr>
        <w:t>Youtie 1950</w:t>
      </w:r>
      <w:r>
        <w:rPr/>
        <w:fldChar w:fldCharType="end" w:fldLock="0"/>
      </w:r>
      <w:r>
        <w:rPr>
          <w:rFonts w:cs="Arial Unicode MS" w:eastAsia="Arial Unicode MS"/>
          <w:rtl w:val="0"/>
          <w:lang w:val="en-US"/>
        </w:rPr>
        <w:t xml:space="preserve">: 102 and </w:t>
      </w:r>
      <w:r>
        <w:rPr>
          <w:rStyle w:val="Hyperlink.0"/>
        </w:rPr>
        <w:fldChar w:fldCharType="begin" w:fldLock="0"/>
      </w:r>
      <w:r>
        <w:rPr>
          <w:rStyle w:val="Hyperlink.0"/>
        </w:rPr>
        <w:instrText xml:space="preserve"> HYPERLINK "https://papyri.info/ddbdp/o.lund%3B%3B1"</w:instrText>
      </w:r>
      <w:r>
        <w:rPr>
          <w:rStyle w:val="Hyperlink.0"/>
        </w:rPr>
        <w:fldChar w:fldCharType="separate" w:fldLock="0"/>
      </w:r>
      <w:r>
        <w:rPr>
          <w:rStyle w:val="Hyperlink.0"/>
          <w:rFonts w:cs="Arial Unicode MS" w:eastAsia="Arial Unicode MS"/>
          <w:rtl w:val="0"/>
        </w:rPr>
        <w:t>O.Lund. 1</w:t>
      </w:r>
      <w:r>
        <w:rPr/>
        <w:fldChar w:fldCharType="end" w:fldLock="0"/>
      </w:r>
      <w:r>
        <w:rPr>
          <w:rFonts w:cs="Arial Unicode MS" w:eastAsia="Arial Unicode MS"/>
          <w:rtl w:val="0"/>
          <w:lang w:val="en-US"/>
        </w:rPr>
        <w:t xml:space="preserve"> introduction.</w:t>
      </w:r>
    </w:p>
  </w:footnote>
  <w:footnote w:id="7">
    <w:p>
      <w:pPr>
        <w:pStyle w:val="footnote text"/>
      </w:pPr>
      <w:r>
        <w:rPr>
          <w:vertAlign w:val="superscript"/>
        </w:rPr>
        <w:footnoteRef/>
      </w:r>
      <w:r>
        <w:rPr>
          <w:rFonts w:cs="Arial Unicode MS" w:eastAsia="Arial Unicode MS"/>
          <w:rtl w:val="0"/>
          <w:lang w:val="en-US"/>
        </w:rPr>
        <w:t xml:space="preserve"> See </w:t>
      </w:r>
      <w:r>
        <w:rPr>
          <w:rStyle w:val="Hyperlink.0"/>
        </w:rPr>
        <w:fldChar w:fldCharType="begin" w:fldLock="0"/>
      </w:r>
      <w:r>
        <w:rPr>
          <w:rStyle w:val="Hyperlink.0"/>
        </w:rPr>
        <w:instrText xml:space="preserve"> HYPERLINK "https://www.trismegistos.org/top/"</w:instrText>
      </w:r>
      <w:r>
        <w:rPr>
          <w:rStyle w:val="Hyperlink.0"/>
        </w:rPr>
        <w:fldChar w:fldCharType="separate" w:fldLock="0"/>
      </w:r>
      <w:r>
        <w:rPr>
          <w:rStyle w:val="Hyperlink.0"/>
          <w:rFonts w:cs="Arial Unicode MS" w:eastAsia="Arial Unicode MS"/>
          <w:rtl w:val="0"/>
        </w:rPr>
        <w:t>Broux 2024</w:t>
      </w:r>
      <w:r>
        <w:rPr/>
        <w:fldChar w:fldCharType="end" w:fldLock="0"/>
      </w:r>
      <w:r>
        <w:rPr>
          <w:rFonts w:cs="Arial Unicode MS" w:eastAsia="Arial Unicode MS"/>
          <w:rtl w:val="0"/>
          <w:lang w:val="en-US"/>
        </w:rPr>
        <w:t>: 76</w:t>
      </w:r>
      <w:r>
        <w:rPr>
          <w:rFonts w:cs="Arial Unicode MS" w:eastAsia="Arial Unicode MS" w:hint="default"/>
          <w:rtl w:val="0"/>
          <w:lang w:val="en-US"/>
        </w:rPr>
        <w:t>–</w:t>
      </w:r>
      <w:r>
        <w:rPr>
          <w:rFonts w:cs="Arial Unicode MS" w:eastAsia="Arial Unicode MS"/>
          <w:rtl w:val="0"/>
          <w:lang w:val="en-US"/>
        </w:rPr>
        <w:t xml:space="preserve">77, with reference to this Kallistratos </w:t>
      </w:r>
      <w:r>
        <w:rPr>
          <w:rFonts w:cs="Arial Unicode MS" w:eastAsia="Arial Unicode MS" w:hint="default"/>
          <w:rtl w:val="0"/>
          <w:lang w:val="en-US"/>
        </w:rPr>
        <w:t>προεστὼς κτηνῶν</w:t>
      </w:r>
      <w:r>
        <w:rPr>
          <w:rFonts w:cs="Arial Unicode MS" w:eastAsia="Arial Unicode MS"/>
          <w:rtl w:val="0"/>
          <w:lang w:val="en-US"/>
        </w:rPr>
        <w:t>.</w:t>
      </w:r>
    </w:p>
  </w:footnote>
  <w:footnote w:id="8">
    <w:p>
      <w:pPr>
        <w:pStyle w:val="footnote text"/>
      </w:pPr>
      <w:r>
        <w:rPr>
          <w:vertAlign w:val="superscript"/>
        </w:rPr>
        <w:footnoteRef/>
      </w:r>
      <w:r>
        <w:rPr>
          <w:rFonts w:cs="Arial Unicode MS" w:eastAsia="Arial Unicode MS"/>
          <w:rtl w:val="0"/>
          <w:lang w:val="en-US"/>
        </w:rPr>
        <w:t xml:space="preserve"> The NYU petitions gives his father</w:t>
      </w:r>
      <w:r>
        <w:rPr>
          <w:rFonts w:cs="Arial Unicode MS" w:eastAsia="Arial Unicode MS" w:hint="default"/>
          <w:rtl w:val="0"/>
          <w:lang w:val="en-US"/>
        </w:rPr>
        <w:t>’</w:t>
      </w:r>
      <w:r>
        <w:rPr>
          <w:rFonts w:cs="Arial Unicode MS" w:eastAsia="Arial Unicode MS"/>
          <w:rtl w:val="0"/>
          <w:lang w:val="en-US"/>
        </w:rPr>
        <w:t xml:space="preserve">s name, likewise Kallistratos. I note two other contemporary texts in which a Kallistratos son of Kallistratos appears: </w:t>
      </w:r>
      <w:r>
        <w:rPr>
          <w:rStyle w:val="Hyperlink.0"/>
        </w:rPr>
        <w:fldChar w:fldCharType="begin" w:fldLock="0"/>
      </w:r>
      <w:r>
        <w:rPr>
          <w:rStyle w:val="Hyperlink.0"/>
        </w:rPr>
        <w:instrText xml:space="preserve"> HYPERLINK "https://papyri.info/ddbdp/p.mich%3B14%3B677"</w:instrText>
      </w:r>
      <w:r>
        <w:rPr>
          <w:rStyle w:val="Hyperlink.0"/>
        </w:rPr>
        <w:fldChar w:fldCharType="separate" w:fldLock="0"/>
      </w:r>
      <w:r>
        <w:rPr>
          <w:rStyle w:val="Hyperlink.0"/>
          <w:rFonts w:cs="Arial Unicode MS" w:eastAsia="Arial Unicode MS"/>
          <w:rtl w:val="0"/>
        </w:rPr>
        <w:t>P.Mich.</w:t>
      </w:r>
      <w:r>
        <w:rPr>
          <w:rStyle w:val="Hyperlink.0"/>
          <w:rFonts w:cs="Arial Unicode MS" w:eastAsia="Arial Unicode MS"/>
          <w:rtl w:val="0"/>
          <w:lang w:val="en-US"/>
        </w:rPr>
        <w:t xml:space="preserve"> </w:t>
      </w:r>
      <w:r>
        <w:rPr>
          <w:rStyle w:val="Hyperlink.0"/>
          <w:rFonts w:cs="Arial Unicode MS" w:eastAsia="Arial Unicode MS"/>
          <w:rtl w:val="0"/>
        </w:rPr>
        <w:t>14</w:t>
      </w:r>
      <w:r>
        <w:rPr>
          <w:rStyle w:val="Hyperlink.0"/>
          <w:rFonts w:cs="Arial Unicode MS" w:eastAsia="Arial Unicode MS" w:hint="default"/>
          <w:rtl w:val="0"/>
        </w:rPr>
        <w:t> </w:t>
      </w:r>
      <w:r>
        <w:rPr>
          <w:rStyle w:val="Hyperlink.0"/>
          <w:rFonts w:cs="Arial Unicode MS" w:eastAsia="Arial Unicode MS"/>
          <w:rtl w:val="0"/>
        </w:rPr>
        <w:t>677</w:t>
      </w:r>
      <w:r>
        <w:rPr/>
        <w:fldChar w:fldCharType="end" w:fldLock="0"/>
      </w:r>
      <w:r>
        <w:rPr>
          <w:rFonts w:cs="Arial Unicode MS" w:eastAsia="Arial Unicode MS"/>
          <w:rtl w:val="0"/>
          <w:lang w:val="en-US"/>
        </w:rPr>
        <w:t xml:space="preserve"> (6 BCE), a rent receipt for land around Herakleia, and </w:t>
      </w:r>
      <w:r>
        <w:rPr>
          <w:rStyle w:val="Hyperlink.0"/>
        </w:rPr>
        <w:fldChar w:fldCharType="begin" w:fldLock="0"/>
      </w:r>
      <w:r>
        <w:rPr>
          <w:rStyle w:val="Hyperlink.0"/>
        </w:rPr>
        <w:instrText xml:space="preserve"> HYPERLINK "https://quod.lib.umich.edu/a/apis/x-11929/4232R.TIF"</w:instrText>
      </w:r>
      <w:r>
        <w:rPr>
          <w:rStyle w:val="Hyperlink.0"/>
        </w:rPr>
        <w:fldChar w:fldCharType="separate" w:fldLock="0"/>
      </w:r>
      <w:r>
        <w:rPr>
          <w:rStyle w:val="Hyperlink.0"/>
          <w:rFonts w:cs="Arial Unicode MS" w:eastAsia="Arial Unicode MS"/>
          <w:rtl w:val="0"/>
        </w:rPr>
        <w:t>P.Mich. inv. 4232</w:t>
      </w:r>
      <w:r>
        <w:rPr/>
        <w:fldChar w:fldCharType="end" w:fldLock="0"/>
      </w:r>
      <w:r>
        <w:rPr>
          <w:rFonts w:cs="Arial Unicode MS" w:eastAsia="Arial Unicode MS"/>
          <w:rtl w:val="0"/>
          <w:lang w:val="en-US"/>
        </w:rPr>
        <w:t xml:space="preserve"> (1 BCE; edition in preparation), a receipt for taxes on land around Philadelphia and Hephaistias.  </w:t>
      </w:r>
    </w:p>
  </w:footnote>
  <w:footnote w:id="9">
    <w:p>
      <w:pPr>
        <w:pStyle w:val="footnote text"/>
      </w:pPr>
      <w:r>
        <w:rPr>
          <w:vertAlign w:val="superscript"/>
        </w:rPr>
        <w:footnoteRef/>
      </w:r>
      <w:r>
        <w:rPr>
          <w:rFonts w:cs="Arial Unicode MS" w:eastAsia="Arial Unicode MS"/>
          <w:rtl w:val="0"/>
          <w:lang w:val="en-US"/>
        </w:rPr>
        <w:t xml:space="preserve"> Four different men of this name are found in </w:t>
      </w:r>
      <w:r>
        <w:rPr>
          <w:rStyle w:val="Hyperlink.0"/>
        </w:rPr>
        <w:fldChar w:fldCharType="begin" w:fldLock="0"/>
      </w:r>
      <w:r>
        <w:rPr>
          <w:rStyle w:val="Hyperlink.0"/>
        </w:rPr>
        <w:instrText xml:space="preserve"> HYPERLINK "https://papyri.info/ddbdp/bgu%3B7%3B1628"</w:instrText>
      </w:r>
      <w:r>
        <w:rPr>
          <w:rStyle w:val="Hyperlink.0"/>
        </w:rPr>
        <w:fldChar w:fldCharType="separate" w:fldLock="0"/>
      </w:r>
      <w:r>
        <w:rPr>
          <w:rStyle w:val="Hyperlink.0"/>
          <w:rFonts w:cs="Arial Unicode MS" w:eastAsia="Arial Unicode MS"/>
          <w:rtl w:val="0"/>
        </w:rPr>
        <w:t>BGU 7 1628</w:t>
      </w:r>
      <w:r>
        <w:rPr/>
        <w:fldChar w:fldCharType="end" w:fldLock="0"/>
      </w:r>
      <w:r>
        <w:rPr>
          <w:rFonts w:cs="Arial Unicode MS" w:eastAsia="Arial Unicode MS"/>
          <w:rtl w:val="0"/>
          <w:lang w:val="en-US"/>
        </w:rPr>
        <w:t xml:space="preserve"> (Philad., IV), for instance. An Aurelius Hol is also the protagonist of </w:t>
      </w:r>
      <w:r>
        <w:rPr>
          <w:rStyle w:val="Hyperlink.0"/>
        </w:rPr>
        <w:fldChar w:fldCharType="begin" w:fldLock="0"/>
      </w:r>
      <w:r>
        <w:rPr>
          <w:rStyle w:val="Hyperlink.0"/>
        </w:rPr>
        <w:instrText xml:space="preserve"> HYPERLINK "http://www.trismegistos.org/archive/35"</w:instrText>
      </w:r>
      <w:r>
        <w:rPr>
          <w:rStyle w:val="Hyperlink.0"/>
        </w:rPr>
        <w:fldChar w:fldCharType="separate" w:fldLock="0"/>
      </w:r>
      <w:r>
        <w:rPr>
          <w:rStyle w:val="Hyperlink.0"/>
          <w:rFonts w:cs="Arial Unicode MS" w:eastAsia="Arial Unicode MS"/>
          <w:rtl w:val="0"/>
        </w:rPr>
        <w:t>TM Arch 35</w:t>
      </w:r>
      <w:r>
        <w:rPr/>
        <w:fldChar w:fldCharType="end" w:fldLock="0"/>
      </w:r>
      <w:r>
        <w:rPr>
          <w:rFonts w:cs="Arial Unicode MS" w:eastAsia="Arial Unicode MS"/>
          <w:rtl w:val="0"/>
          <w:lang w:val="en-US"/>
        </w:rPr>
        <w:t xml:space="preserve"> (late IV).</w:t>
      </w:r>
    </w:p>
  </w:footnote>
  <w:footnote w:id="10">
    <w:p>
      <w:pPr>
        <w:pStyle w:val="footnote text"/>
      </w:pPr>
      <w:r>
        <w:rPr>
          <w:vertAlign w:val="superscript"/>
        </w:rPr>
        <w:footnoteRef/>
      </w:r>
      <w:r>
        <w:rPr>
          <w:rFonts w:cs="Arial Unicode MS" w:eastAsia="Arial Unicode MS"/>
          <w:rtl w:val="0"/>
          <w:lang w:val="en-US"/>
        </w:rPr>
        <w:t xml:space="preserve"> The edict was published in Alexandria on 31 May, 136 and has been transmitted in four fragmentary copies: three are printed under </w:t>
      </w:r>
      <w:r>
        <w:rPr>
          <w:rStyle w:val="Hyperlink.1"/>
        </w:rPr>
        <w:fldChar w:fldCharType="begin" w:fldLock="0"/>
      </w:r>
      <w:r>
        <w:rPr>
          <w:rStyle w:val="Hyperlink.1"/>
        </w:rPr>
        <w:instrText xml:space="preserve"> HYPERLINK "https://papyri.info/ddbdp/p.oslo%3B3%3B78"</w:instrText>
      </w:r>
      <w:r>
        <w:rPr>
          <w:rStyle w:val="Hyperlink.1"/>
        </w:rPr>
        <w:fldChar w:fldCharType="separate" w:fldLock="0"/>
      </w:r>
      <w:r>
        <w:rPr>
          <w:rStyle w:val="Hyperlink.1"/>
          <w:rFonts w:cs="Arial Unicode MS" w:eastAsia="Arial Unicode MS"/>
          <w:rtl w:val="0"/>
        </w:rPr>
        <w:t xml:space="preserve">P.Oslo </w:t>
      </w:r>
      <w:r>
        <w:rPr>
          <w:rStyle w:val="Hyperlink.0"/>
          <w:rFonts w:cs="Arial Unicode MS" w:eastAsia="Arial Unicode MS"/>
          <w:rtl w:val="0"/>
        </w:rPr>
        <w:t>3 78</w:t>
      </w:r>
      <w:r>
        <w:rPr/>
        <w:fldChar w:fldCharType="end" w:fldLock="0"/>
      </w:r>
      <w:r>
        <w:rPr>
          <w:rFonts w:cs="Arial Unicode MS" w:eastAsia="Arial Unicode MS"/>
          <w:rtl w:val="0"/>
          <w:lang w:val="en-US"/>
        </w:rPr>
        <w:t xml:space="preserve"> (= </w:t>
      </w:r>
      <w:r>
        <w:rPr>
          <w:rStyle w:val="Hyperlink.0"/>
        </w:rPr>
        <w:fldChar w:fldCharType="begin" w:fldLock="0"/>
      </w:r>
      <w:r>
        <w:rPr>
          <w:rStyle w:val="Hyperlink.0"/>
        </w:rPr>
        <w:instrText xml:space="preserve"> HYPERLINK "https://papyri.info/biblio/11850"</w:instrText>
      </w:r>
      <w:r>
        <w:rPr>
          <w:rStyle w:val="Hyperlink.0"/>
        </w:rPr>
        <w:fldChar w:fldCharType="separate" w:fldLock="0"/>
      </w:r>
      <w:r>
        <w:rPr>
          <w:rStyle w:val="Hyperlink.0"/>
          <w:rFonts w:cs="Arial Unicode MS" w:eastAsia="Arial Unicode MS"/>
          <w:rtl w:val="0"/>
        </w:rPr>
        <w:t>Oliver 1989</w:t>
      </w:r>
      <w:r>
        <w:rPr/>
        <w:fldChar w:fldCharType="end" w:fldLock="0"/>
      </w:r>
      <w:r>
        <w:rPr>
          <w:rFonts w:cs="Arial Unicode MS" w:eastAsia="Arial Unicode MS"/>
          <w:rtl w:val="0"/>
          <w:lang w:val="en-US"/>
        </w:rPr>
        <w:t>, no. 88A</w:t>
      </w:r>
      <w:r>
        <w:rPr>
          <w:rFonts w:cs="Arial Unicode MS" w:eastAsia="Arial Unicode MS" w:hint="default"/>
          <w:rtl w:val="0"/>
          <w:lang w:val="en-US"/>
        </w:rPr>
        <w:t>–</w:t>
      </w:r>
      <w:r>
        <w:rPr>
          <w:rFonts w:cs="Arial Unicode MS" w:eastAsia="Arial Unicode MS"/>
          <w:rtl w:val="0"/>
          <w:lang w:val="en-US"/>
        </w:rPr>
        <w:t xml:space="preserve">C), the fourth as </w:t>
      </w:r>
      <w:r>
        <w:rPr>
          <w:rStyle w:val="Hyperlink.1"/>
        </w:rPr>
        <w:fldChar w:fldCharType="begin" w:fldLock="0"/>
      </w:r>
      <w:r>
        <w:rPr>
          <w:rStyle w:val="Hyperlink.1"/>
        </w:rPr>
        <w:instrText xml:space="preserve"> HYPERLINK "https://papyri.info/ddbdp/p.heid%3B7%3B396"</w:instrText>
      </w:r>
      <w:r>
        <w:rPr>
          <w:rStyle w:val="Hyperlink.1"/>
        </w:rPr>
        <w:fldChar w:fldCharType="separate" w:fldLock="0"/>
      </w:r>
      <w:r>
        <w:rPr>
          <w:rStyle w:val="Hyperlink.1"/>
          <w:rFonts w:cs="Arial Unicode MS" w:eastAsia="Arial Unicode MS"/>
          <w:rtl w:val="0"/>
        </w:rPr>
        <w:t xml:space="preserve">P.Heid. </w:t>
      </w:r>
      <w:r>
        <w:rPr>
          <w:rStyle w:val="Hyperlink.0"/>
          <w:rFonts w:cs="Arial Unicode MS" w:eastAsia="Arial Unicode MS"/>
          <w:rtl w:val="0"/>
        </w:rPr>
        <w:t>7 396</w:t>
      </w:r>
      <w:r>
        <w:rPr/>
        <w:fldChar w:fldCharType="end" w:fldLock="0"/>
      </w:r>
      <w:r>
        <w:rPr>
          <w:rFonts w:cs="Arial Unicode MS" w:eastAsia="Arial Unicode MS"/>
          <w:rtl w:val="0"/>
          <w:lang w:val="en-US"/>
        </w:rPr>
        <w:t>.</w:t>
      </w:r>
    </w:p>
  </w:footnote>
  <w:footnote w:id="11">
    <w:p>
      <w:pPr>
        <w:pStyle w:val="footnote text"/>
      </w:pPr>
      <w:r>
        <w:rPr>
          <w:vertAlign w:val="superscript"/>
        </w:rPr>
        <w:footnoteRef/>
      </w:r>
      <w:r>
        <w:rPr>
          <w:rFonts w:cs="Arial Unicode MS" w:eastAsia="Arial Unicode MS"/>
          <w:rtl w:val="0"/>
          <w:lang w:val="en-US"/>
        </w:rPr>
        <w:t xml:space="preserve"> J</w:t>
      </w:r>
      <w:r>
        <w:rPr>
          <w:rFonts w:cs="Arial Unicode MS" w:eastAsia="Arial Unicode MS" w:hint="default"/>
          <w:rtl w:val="0"/>
          <w:lang w:val="en-US"/>
        </w:rPr>
        <w:t>ö</w:t>
      </w:r>
      <w:r>
        <w:rPr>
          <w:rFonts w:cs="Arial Unicode MS" w:eastAsia="Arial Unicode MS"/>
          <w:rtl w:val="0"/>
          <w:lang w:val="en-US"/>
        </w:rPr>
        <w:t>rdens 2019: 334</w:t>
      </w:r>
      <w:r>
        <w:rPr>
          <w:rFonts w:cs="Arial Unicode MS" w:eastAsia="Arial Unicode MS" w:hint="default"/>
          <w:rtl w:val="0"/>
          <w:lang w:val="en-US"/>
        </w:rPr>
        <w:t>–</w:t>
      </w:r>
      <w:r>
        <w:rPr>
          <w:rFonts w:cs="Arial Unicode MS" w:eastAsia="Arial Unicode MS"/>
          <w:rtl w:val="0"/>
          <w:lang w:val="en-US"/>
        </w:rPr>
        <w:t xml:space="preserve">337, drawing on </w:t>
      </w:r>
      <w:r>
        <w:rPr>
          <w:rStyle w:val="Hyperlink.0"/>
        </w:rPr>
        <w:fldChar w:fldCharType="begin" w:fldLock="0"/>
      </w:r>
      <w:r>
        <w:rPr>
          <w:rStyle w:val="Hyperlink.0"/>
        </w:rPr>
        <w:instrText xml:space="preserve"> HYPERLINK "https://papyri.info/biblio/49715"</w:instrText>
      </w:r>
      <w:r>
        <w:rPr>
          <w:rStyle w:val="Hyperlink.0"/>
        </w:rPr>
        <w:fldChar w:fldCharType="separate" w:fldLock="0"/>
      </w:r>
      <w:r>
        <w:rPr>
          <w:rStyle w:val="Hyperlink.0"/>
          <w:rFonts w:cs="Arial Unicode MS" w:eastAsia="Arial Unicode MS"/>
          <w:rtl w:val="0"/>
        </w:rPr>
        <w:t>Youtie 1973</w:t>
      </w:r>
      <w:r>
        <w:rPr/>
        <w:fldChar w:fldCharType="end" w:fldLock="0"/>
      </w:r>
      <w:r>
        <w:rPr>
          <w:rFonts w:cs="Arial Unicode MS" w:eastAsia="Arial Unicode MS"/>
          <w:rtl w:val="0"/>
          <w:lang w:val="en-US"/>
        </w:rPr>
        <w:t>: 854</w:t>
      </w:r>
      <w:r>
        <w:rPr>
          <w:rFonts w:cs="Arial Unicode MS" w:eastAsia="Arial Unicode MS" w:hint="default"/>
          <w:rtl w:val="0"/>
          <w:lang w:val="en-US"/>
        </w:rPr>
        <w:t>–</w:t>
      </w:r>
      <w:r>
        <w:rPr>
          <w:rFonts w:cs="Arial Unicode MS" w:eastAsia="Arial Unicode MS"/>
          <w:rtl w:val="0"/>
          <w:lang w:val="en-US"/>
        </w:rPr>
        <w:t xml:space="preserve">856; </w:t>
      </w:r>
      <w:r>
        <w:rPr>
          <w:rStyle w:val="Hyperlink.0"/>
        </w:rPr>
        <w:fldChar w:fldCharType="begin" w:fldLock="0"/>
      </w:r>
      <w:r>
        <w:rPr>
          <w:rStyle w:val="Hyperlink.0"/>
        </w:rPr>
        <w:instrText xml:space="preserve"> HYPERLINK "https://papyri.info/biblio/61048"</w:instrText>
      </w:r>
      <w:r>
        <w:rPr>
          <w:rStyle w:val="Hyperlink.0"/>
        </w:rPr>
        <w:fldChar w:fldCharType="separate" w:fldLock="0"/>
      </w:r>
      <w:r>
        <w:rPr>
          <w:rStyle w:val="Hyperlink.0"/>
          <w:rFonts w:cs="Arial Unicode MS" w:eastAsia="Arial Unicode MS"/>
          <w:rtl w:val="0"/>
        </w:rPr>
        <w:t>Shelton 1990</w:t>
      </w:r>
      <w:r>
        <w:rPr/>
        <w:fldChar w:fldCharType="end" w:fldLock="0"/>
      </w:r>
      <w:r>
        <w:rPr>
          <w:rFonts w:cs="Arial Unicode MS" w:eastAsia="Arial Unicode MS"/>
          <w:rtl w:val="0"/>
          <w:lang w:val="en-US"/>
        </w:rPr>
        <w:t xml:space="preserve">: 227; Heilporn, </w:t>
      </w:r>
      <w:r>
        <w:rPr>
          <w:rStyle w:val="Hyperlink.1"/>
        </w:rPr>
        <w:fldChar w:fldCharType="begin" w:fldLock="0"/>
      </w:r>
      <w:r>
        <w:rPr>
          <w:rStyle w:val="Hyperlink.1"/>
        </w:rPr>
        <w:instrText xml:space="preserve"> HYPERLINK "https://papyri.info/biblio/20775"</w:instrText>
      </w:r>
      <w:r>
        <w:rPr>
          <w:rStyle w:val="Hyperlink.1"/>
        </w:rPr>
        <w:fldChar w:fldCharType="separate" w:fldLock="0"/>
      </w:r>
      <w:r>
        <w:rPr>
          <w:rStyle w:val="Hyperlink.1"/>
          <w:rFonts w:cs="Arial Unicode MS" w:eastAsia="Arial Unicode MS"/>
          <w:rtl w:val="0"/>
        </w:rPr>
        <w:t xml:space="preserve">O.Stras. </w:t>
      </w:r>
      <w:r>
        <w:rPr>
          <w:rStyle w:val="Hyperlink.0"/>
          <w:rFonts w:cs="Arial Unicode MS" w:eastAsia="Arial Unicode MS"/>
          <w:rtl w:val="0"/>
        </w:rPr>
        <w:t>2</w:t>
      </w:r>
      <w:r>
        <w:rPr/>
        <w:fldChar w:fldCharType="end" w:fldLock="0"/>
      </w:r>
      <w:r>
        <w:rPr>
          <w:rFonts w:cs="Arial Unicode MS" w:eastAsia="Arial Unicode MS"/>
          <w:rtl w:val="0"/>
          <w:lang w:val="en-US"/>
        </w:rPr>
        <w:t>, pp. 94</w:t>
      </w:r>
      <w:r>
        <w:rPr>
          <w:rFonts w:cs="Arial Unicode MS" w:eastAsia="Arial Unicode MS" w:hint="default"/>
          <w:rtl w:val="0"/>
          <w:lang w:val="en-US"/>
        </w:rPr>
        <w:t>–</w:t>
      </w:r>
      <w:r>
        <w:rPr>
          <w:rFonts w:cs="Arial Unicode MS" w:eastAsia="Arial Unicode MS"/>
          <w:rtl w:val="0"/>
          <w:lang w:val="en-US"/>
        </w:rPr>
        <w:t xml:space="preserve">97; </w:t>
      </w:r>
      <w:r>
        <w:rPr>
          <w:rStyle w:val="Hyperlink.0"/>
        </w:rPr>
        <w:fldChar w:fldCharType="begin" w:fldLock="0"/>
      </w:r>
      <w:r>
        <w:rPr>
          <w:rStyle w:val="Hyperlink.0"/>
        </w:rPr>
        <w:instrText xml:space="preserve"> HYPERLINK "https://papyri.info/biblio/86603"</w:instrText>
      </w:r>
      <w:r>
        <w:rPr>
          <w:rStyle w:val="Hyperlink.0"/>
        </w:rPr>
        <w:fldChar w:fldCharType="separate" w:fldLock="0"/>
      </w:r>
      <w:r>
        <w:rPr>
          <w:rStyle w:val="Hyperlink.0"/>
          <w:rFonts w:cs="Arial Unicode MS" w:eastAsia="Arial Unicode MS"/>
          <w:rtl w:val="0"/>
        </w:rPr>
        <w:t>Heilporn 2016</w:t>
      </w:r>
      <w:r>
        <w:rPr/>
        <w:fldChar w:fldCharType="end" w:fldLock="0"/>
      </w:r>
      <w:r>
        <w:rPr>
          <w:rFonts w:cs="Arial Unicode MS" w:eastAsia="Arial Unicode MS"/>
          <w:rtl w:val="0"/>
          <w:lang w:val="en-US"/>
        </w:rPr>
        <w:t>: 214</w:t>
      </w:r>
      <w:r>
        <w:rPr>
          <w:rFonts w:cs="Arial Unicode MS" w:eastAsia="Arial Unicode MS" w:hint="default"/>
          <w:rtl w:val="0"/>
          <w:lang w:val="en-US"/>
        </w:rPr>
        <w:t>–</w:t>
      </w:r>
      <w:r>
        <w:rPr>
          <w:rFonts w:cs="Arial Unicode MS" w:eastAsia="Arial Unicode MS"/>
          <w:rtl w:val="0"/>
          <w:lang w:val="en-US"/>
        </w:rPr>
        <w:t xml:space="preserve">216; </w:t>
      </w:r>
      <w:r>
        <w:rPr>
          <w:rStyle w:val="Hyperlink.0"/>
        </w:rPr>
        <w:fldChar w:fldCharType="begin" w:fldLock="0"/>
      </w:r>
      <w:r>
        <w:rPr>
          <w:rStyle w:val="Hyperlink.0"/>
        </w:rPr>
        <w:instrText xml:space="preserve"> HYPERLINK "https://papyri.info/biblio/96451"</w:instrText>
      </w:r>
      <w:r>
        <w:rPr>
          <w:rStyle w:val="Hyperlink.0"/>
        </w:rPr>
        <w:fldChar w:fldCharType="separate" w:fldLock="0"/>
      </w:r>
      <w:r>
        <w:rPr>
          <w:rStyle w:val="Hyperlink.0"/>
          <w:rFonts w:cs="Arial Unicode MS" w:eastAsia="Arial Unicode MS"/>
          <w:rtl w:val="0"/>
        </w:rPr>
        <w:t>Duttenh</w:t>
      </w:r>
      <w:r>
        <w:rPr>
          <w:rStyle w:val="Hyperlink.0"/>
          <w:rFonts w:cs="Arial Unicode MS" w:eastAsia="Arial Unicode MS" w:hint="default"/>
          <w:rtl w:val="0"/>
        </w:rPr>
        <w:t>ö</w:t>
      </w:r>
      <w:r>
        <w:rPr>
          <w:rStyle w:val="Hyperlink.0"/>
          <w:rFonts w:cs="Arial Unicode MS" w:eastAsia="Arial Unicode MS"/>
          <w:rtl w:val="0"/>
        </w:rPr>
        <w:t>fer 2017</w:t>
      </w:r>
      <w:r>
        <w:rPr/>
        <w:fldChar w:fldCharType="end" w:fldLock="0"/>
      </w:r>
      <w:r>
        <w:rPr>
          <w:rFonts w:cs="Arial Unicode MS" w:eastAsia="Arial Unicode MS"/>
          <w:rtl w:val="0"/>
          <w:lang w:val="en-US"/>
        </w:rPr>
        <w:t>: 228</w:t>
      </w:r>
      <w:r>
        <w:rPr>
          <w:rFonts w:cs="Arial Unicode MS" w:eastAsia="Arial Unicode MS" w:hint="default"/>
          <w:rtl w:val="0"/>
          <w:lang w:val="en-US"/>
        </w:rPr>
        <w:t>–</w:t>
      </w:r>
      <w:r>
        <w:rPr>
          <w:rFonts w:cs="Arial Unicode MS" w:eastAsia="Arial Unicode MS"/>
          <w:rtl w:val="0"/>
          <w:lang w:val="en-US"/>
        </w:rPr>
        <w:t>229.</w:t>
      </w:r>
    </w:p>
  </w:footnote>
  <w:footnote w:id="12">
    <w:p>
      <w:pPr>
        <w:pStyle w:val="footnote text"/>
      </w:pPr>
      <w:r>
        <w:rPr>
          <w:vertAlign w:val="superscript"/>
        </w:rPr>
        <w:footnoteRef/>
      </w:r>
      <w:r>
        <w:rPr>
          <w:rFonts w:cs="Arial Unicode MS" w:eastAsia="Arial Unicode MS"/>
          <w:rtl w:val="0"/>
          <w:lang w:val="en-US"/>
        </w:rPr>
        <w:t xml:space="preserve"> The letter </w:t>
      </w:r>
      <w:r>
        <w:rPr>
          <w:rFonts w:cs="Arial Unicode MS" w:eastAsia="Arial Unicode MS" w:hint="default"/>
          <w:rtl w:val="0"/>
          <w:lang w:val="en-US"/>
        </w:rPr>
        <w:t>“</w:t>
      </w:r>
      <w:r>
        <w:rPr>
          <w:rFonts w:cs="Arial Unicode MS" w:eastAsia="Arial Unicode MS"/>
          <w:rtl w:val="0"/>
          <w:lang w:val="en-US"/>
        </w:rPr>
        <w:t>a</w:t>
      </w:r>
      <w:r>
        <w:rPr>
          <w:rFonts w:cs="Arial Unicode MS" w:eastAsia="Arial Unicode MS" w:hint="default"/>
          <w:rtl w:val="0"/>
          <w:lang w:val="en-US"/>
        </w:rPr>
        <w:t xml:space="preserve">” </w:t>
      </w:r>
      <w:r>
        <w:rPr>
          <w:rFonts w:cs="Arial Unicode MS" w:eastAsia="Arial Unicode MS"/>
          <w:rtl w:val="0"/>
          <w:lang w:val="en-US"/>
        </w:rPr>
        <w:t xml:space="preserve">refers to the first receipt on the papyrus, which is followed in a second column by a receipt for the </w:t>
      </w:r>
      <w:r>
        <w:rPr>
          <w:rFonts w:cs="Arial Unicode MS" w:eastAsia="Arial Unicode MS" w:hint="default"/>
          <w:rtl w:val="0"/>
          <w:lang w:val="en-US"/>
        </w:rPr>
        <w:t xml:space="preserve">φόρος προβάτων </w:t>
      </w:r>
      <w:r>
        <w:rPr>
          <w:rFonts w:cs="Arial Unicode MS" w:eastAsia="Arial Unicode MS"/>
          <w:rtl w:val="0"/>
          <w:lang w:val="en-US"/>
        </w:rPr>
        <w:t>(b) and two poorly-preserved receipts (c</w:t>
      </w:r>
      <w:r>
        <w:rPr>
          <w:rFonts w:cs="Arial Unicode MS" w:eastAsia="Arial Unicode MS" w:hint="default"/>
          <w:rtl w:val="0"/>
          <w:lang w:val="en-US"/>
        </w:rPr>
        <w:t>–</w:t>
      </w:r>
      <w:r>
        <w:rPr>
          <w:rFonts w:cs="Arial Unicode MS" w:eastAsia="Arial Unicode MS"/>
          <w:rtl w:val="0"/>
          <w:lang w:val="en-US"/>
        </w:rPr>
        <w:t>d).</w:t>
      </w:r>
    </w:p>
  </w:footnote>
  <w:footnote w:id="13">
    <w:p>
      <w:pPr>
        <w:pStyle w:val="footnote text"/>
      </w:pPr>
      <w:r>
        <w:rPr>
          <w:vertAlign w:val="superscript"/>
        </w:rPr>
        <w:footnoteRef/>
      </w:r>
      <w:r>
        <w:rPr>
          <w:rFonts w:cs="Arial Unicode MS" w:eastAsia="Arial Unicode MS"/>
          <w:rtl w:val="0"/>
          <w:lang w:val="en-US"/>
        </w:rPr>
        <w:t xml:space="preserve"> There follows an installment of the </w:t>
      </w:r>
      <w:r>
        <w:rPr>
          <w:rFonts w:cs="Arial Unicode MS" w:eastAsia="Arial Unicode MS" w:hint="default"/>
          <w:rtl w:val="0"/>
          <w:lang w:val="en-US"/>
        </w:rPr>
        <w:t xml:space="preserve">γεωμετρία </w:t>
      </w:r>
      <w:r>
        <w:rPr>
          <w:rFonts w:cs="Arial Unicode MS" w:eastAsia="Arial Unicode MS"/>
          <w:rtl w:val="0"/>
          <w:lang w:val="en-US"/>
        </w:rPr>
        <w:t>for the 20</w:t>
      </w:r>
      <w:r>
        <w:rPr>
          <w:rFonts w:cs="Arial Unicode MS" w:eastAsia="Arial Unicode MS"/>
          <w:vertAlign w:val="superscript"/>
          <w:rtl w:val="0"/>
          <w:lang w:val="en-US"/>
        </w:rPr>
        <w:t>th</w:t>
      </w:r>
      <w:r>
        <w:rPr>
          <w:rFonts w:cs="Arial Unicode MS" w:eastAsia="Arial Unicode MS"/>
          <w:rtl w:val="0"/>
          <w:lang w:val="en-US"/>
        </w:rPr>
        <w:t xml:space="preserve"> year, about half the full amount. The amount is usual, but such late payment is not. The </w:t>
      </w:r>
      <w:r>
        <w:rPr>
          <w:rFonts w:cs="Arial Unicode MS" w:eastAsia="Arial Unicode MS" w:hint="default"/>
          <w:rtl w:val="0"/>
          <w:lang w:val="en-US"/>
        </w:rPr>
        <w:t xml:space="preserve">γεωμετρία </w:t>
      </w:r>
      <w:r>
        <w:rPr>
          <w:rFonts w:cs="Arial Unicode MS" w:eastAsia="Arial Unicode MS"/>
          <w:rtl w:val="0"/>
          <w:lang w:val="en-US"/>
        </w:rPr>
        <w:t>was due every four years and generally settled in two installments, one the year of, one the year following (</w:t>
      </w:r>
      <w:r>
        <w:rPr>
          <w:rStyle w:val="Hyperlink.1"/>
        </w:rPr>
        <w:fldChar w:fldCharType="begin" w:fldLock="0"/>
      </w:r>
      <w:r>
        <w:rPr>
          <w:rStyle w:val="Hyperlink.1"/>
        </w:rPr>
        <w:instrText xml:space="preserve"> HYPERLINK "https://papyri.info/biblio/5337"</w:instrText>
      </w:r>
      <w:r>
        <w:rPr>
          <w:rStyle w:val="Hyperlink.1"/>
        </w:rPr>
        <w:fldChar w:fldCharType="separate" w:fldLock="0"/>
      </w:r>
      <w:r>
        <w:rPr>
          <w:rStyle w:val="Hyperlink.1"/>
          <w:rFonts w:cs="Arial Unicode MS" w:eastAsia="Arial Unicode MS"/>
          <w:rtl w:val="0"/>
        </w:rPr>
        <w:t xml:space="preserve">P.Col. </w:t>
      </w:r>
      <w:r>
        <w:rPr>
          <w:rStyle w:val="Hyperlink.0"/>
          <w:rFonts w:cs="Arial Unicode MS" w:eastAsia="Arial Unicode MS"/>
          <w:rtl w:val="0"/>
        </w:rPr>
        <w:t>5</w:t>
      </w:r>
      <w:r>
        <w:rPr/>
        <w:fldChar w:fldCharType="end" w:fldLock="0"/>
      </w:r>
      <w:r>
        <w:rPr>
          <w:rFonts w:cs="Arial Unicode MS" w:eastAsia="Arial Unicode MS"/>
          <w:rtl w:val="0"/>
          <w:lang w:val="en-US"/>
        </w:rPr>
        <w:t>, pp. 272</w:t>
      </w:r>
      <w:r>
        <w:rPr>
          <w:rFonts w:cs="Arial Unicode MS" w:eastAsia="Arial Unicode MS" w:hint="default"/>
          <w:rtl w:val="0"/>
          <w:lang w:val="en-US"/>
        </w:rPr>
        <w:t>–</w:t>
      </w:r>
      <w:r>
        <w:rPr>
          <w:rFonts w:cs="Arial Unicode MS" w:eastAsia="Arial Unicode MS"/>
          <w:rtl w:val="0"/>
          <w:lang w:val="en-US"/>
        </w:rPr>
        <w:t>275); the payment in the 22</w:t>
      </w:r>
      <w:r>
        <w:rPr>
          <w:rFonts w:cs="Arial Unicode MS" w:eastAsia="Arial Unicode MS"/>
          <w:vertAlign w:val="superscript"/>
          <w:rtl w:val="0"/>
          <w:lang w:val="en-US"/>
        </w:rPr>
        <w:t>nd</w:t>
      </w:r>
      <w:r>
        <w:rPr>
          <w:rFonts w:cs="Arial Unicode MS" w:eastAsia="Arial Unicode MS"/>
          <w:rtl w:val="0"/>
          <w:lang w:val="en-US"/>
        </w:rPr>
        <w:t xml:space="preserve"> year was thus either one or two years late depending on which installment it was. The laxness with the deadline fits the spirit of the edict, even if the taxpayer should have been allowed to disperse payment of the </w:t>
      </w:r>
      <w:r>
        <w:rPr>
          <w:rFonts w:cs="Arial Unicode MS" w:eastAsia="Arial Unicode MS" w:hint="default"/>
          <w:rtl w:val="0"/>
          <w:lang w:val="en-US"/>
        </w:rPr>
        <w:t xml:space="preserve">γεωμετρία </w:t>
      </w:r>
      <w:r>
        <w:rPr>
          <w:rFonts w:cs="Arial Unicode MS" w:eastAsia="Arial Unicode MS"/>
          <w:rtl w:val="0"/>
          <w:lang w:val="en-US"/>
        </w:rPr>
        <w:t>over four annual installments. Cf. J</w:t>
      </w:r>
      <w:r>
        <w:rPr>
          <w:rFonts w:cs="Arial Unicode MS" w:eastAsia="Arial Unicode MS" w:hint="default"/>
          <w:rtl w:val="0"/>
          <w:lang w:val="en-US"/>
        </w:rPr>
        <w:t>ö</w:t>
      </w:r>
      <w:r>
        <w:rPr>
          <w:rFonts w:cs="Arial Unicode MS" w:eastAsia="Arial Unicode MS"/>
          <w:rtl w:val="0"/>
          <w:lang w:val="en-US"/>
        </w:rPr>
        <w:t>rdens 2019: 336</w:t>
      </w:r>
      <w:r>
        <w:rPr>
          <w:rFonts w:cs="Arial Unicode MS" w:eastAsia="Arial Unicode MS" w:hint="default"/>
          <w:rtl w:val="0"/>
          <w:lang w:val="en-US"/>
        </w:rPr>
        <w:t>–</w:t>
      </w:r>
      <w:r>
        <w:rPr>
          <w:rFonts w:cs="Arial Unicode MS" w:eastAsia="Arial Unicode MS"/>
          <w:rtl w:val="0"/>
          <w:lang w:val="en-US"/>
        </w:rPr>
        <w:t>337, remarking on the various methods of implementing Hadrian</w:t>
      </w:r>
      <w:r>
        <w:rPr>
          <w:rFonts w:cs="Arial Unicode MS" w:eastAsia="Arial Unicode MS" w:hint="default"/>
          <w:rtl w:val="0"/>
          <w:lang w:val="en-US"/>
        </w:rPr>
        <w:t>’</w:t>
      </w:r>
      <w:r>
        <w:rPr>
          <w:rFonts w:cs="Arial Unicode MS" w:eastAsia="Arial Unicode MS"/>
          <w:rtl w:val="0"/>
          <w:lang w:val="en-US"/>
        </w:rPr>
        <w:t xml:space="preserve">s edict: </w:t>
      </w:r>
      <w:r>
        <w:rPr>
          <w:rFonts w:cs="Arial Unicode MS" w:eastAsia="Arial Unicode MS" w:hint="default"/>
          <w:rtl w:val="0"/>
          <w:lang w:val="en-US"/>
        </w:rPr>
        <w:t>“</w:t>
      </w:r>
      <w:r>
        <w:rPr>
          <w:rFonts w:cs="Arial Unicode MS" w:eastAsia="Arial Unicode MS"/>
          <w:rtl w:val="0"/>
          <w:lang w:val="en-US"/>
        </w:rPr>
        <w:t>Dies l</w:t>
      </w:r>
      <w:r>
        <w:rPr>
          <w:rFonts w:cs="Arial Unicode MS" w:eastAsia="Arial Unicode MS" w:hint="default"/>
          <w:rtl w:val="0"/>
          <w:lang w:val="en-US"/>
        </w:rPr>
        <w:t>äß</w:t>
      </w:r>
      <w:r>
        <w:rPr>
          <w:rFonts w:cs="Arial Unicode MS" w:eastAsia="Arial Unicode MS"/>
          <w:rtl w:val="0"/>
          <w:lang w:val="en-US"/>
        </w:rPr>
        <w:t>t zugleich darauf schlie</w:t>
      </w:r>
      <w:r>
        <w:rPr>
          <w:rFonts w:cs="Arial Unicode MS" w:eastAsia="Arial Unicode MS" w:hint="default"/>
          <w:rtl w:val="0"/>
          <w:lang w:val="en-US"/>
        </w:rPr>
        <w:t>ß</w:t>
      </w:r>
      <w:r>
        <w:rPr>
          <w:rFonts w:cs="Arial Unicode MS" w:eastAsia="Arial Unicode MS"/>
          <w:rtl w:val="0"/>
          <w:lang w:val="en-US"/>
        </w:rPr>
        <w:t>en, da</w:t>
      </w:r>
      <w:r>
        <w:rPr>
          <w:rFonts w:cs="Arial Unicode MS" w:eastAsia="Arial Unicode MS" w:hint="default"/>
          <w:rtl w:val="0"/>
          <w:lang w:val="en-US"/>
        </w:rPr>
        <w:t xml:space="preserve">ß </w:t>
      </w:r>
      <w:r>
        <w:rPr>
          <w:rFonts w:cs="Arial Unicode MS" w:eastAsia="Arial Unicode MS"/>
          <w:rtl w:val="0"/>
          <w:lang w:val="en-US"/>
        </w:rPr>
        <w:t>das kaiserliche Zugest</w:t>
      </w:r>
      <w:r>
        <w:rPr>
          <w:rFonts w:cs="Arial Unicode MS" w:eastAsia="Arial Unicode MS" w:hint="default"/>
          <w:rtl w:val="0"/>
          <w:lang w:val="en-US"/>
        </w:rPr>
        <w:t>ä</w:t>
      </w:r>
      <w:r>
        <w:rPr>
          <w:rFonts w:cs="Arial Unicode MS" w:eastAsia="Arial Unicode MS"/>
          <w:rtl w:val="0"/>
          <w:lang w:val="en-US"/>
        </w:rPr>
        <w:t>ndnis erneut die Prinzipien vorgab, den lokalen Beh</w:t>
      </w:r>
      <w:r>
        <w:rPr>
          <w:rFonts w:cs="Arial Unicode MS" w:eastAsia="Arial Unicode MS" w:hint="default"/>
          <w:rtl w:val="0"/>
          <w:lang w:val="en-US"/>
        </w:rPr>
        <w:t>ö</w:t>
      </w:r>
      <w:r>
        <w:rPr>
          <w:rFonts w:cs="Arial Unicode MS" w:eastAsia="Arial Unicode MS"/>
          <w:rtl w:val="0"/>
          <w:lang w:val="en-US"/>
        </w:rPr>
        <w:t>rden hingegen relativ freie Hand darin gelassen war, diese Vorgaben in konkrete Ma</w:t>
      </w:r>
      <w:r>
        <w:rPr>
          <w:rFonts w:cs="Arial Unicode MS" w:eastAsia="Arial Unicode MS" w:hint="default"/>
          <w:rtl w:val="0"/>
          <w:lang w:val="en-US"/>
        </w:rPr>
        <w:t>ß</w:t>
      </w:r>
      <w:r>
        <w:rPr>
          <w:rFonts w:cs="Arial Unicode MS" w:eastAsia="Arial Unicode MS"/>
          <w:rtl w:val="0"/>
          <w:lang w:val="en-US"/>
        </w:rPr>
        <w:t xml:space="preserve">nahmen zu </w:t>
      </w:r>
      <w:r>
        <w:rPr>
          <w:rFonts w:cs="Arial Unicode MS" w:eastAsia="Arial Unicode MS" w:hint="default"/>
          <w:rtl w:val="0"/>
          <w:lang w:val="en-US"/>
        </w:rPr>
        <w:t>ü</w:t>
      </w:r>
      <w:r>
        <w:rPr>
          <w:rFonts w:cs="Arial Unicode MS" w:eastAsia="Arial Unicode MS"/>
          <w:rtl w:val="0"/>
          <w:lang w:val="en-US"/>
        </w:rPr>
        <w:t>berf</w:t>
      </w:r>
      <w:r>
        <w:rPr>
          <w:rFonts w:cs="Arial Unicode MS" w:eastAsia="Arial Unicode MS" w:hint="default"/>
          <w:rtl w:val="0"/>
          <w:lang w:val="en-US"/>
        </w:rPr>
        <w:t>ü</w:t>
      </w:r>
      <w:r>
        <w:rPr>
          <w:rFonts w:cs="Arial Unicode MS" w:eastAsia="Arial Unicode MS"/>
          <w:rtl w:val="0"/>
          <w:lang w:val="en-US"/>
        </w:rPr>
        <w:t>hren. Dadurch wurde es m</w:t>
      </w:r>
      <w:r>
        <w:rPr>
          <w:rFonts w:cs="Arial Unicode MS" w:eastAsia="Arial Unicode MS" w:hint="default"/>
          <w:rtl w:val="0"/>
          <w:lang w:val="en-US"/>
        </w:rPr>
        <w:t>ö</w:t>
      </w:r>
      <w:r>
        <w:rPr>
          <w:rFonts w:cs="Arial Unicode MS" w:eastAsia="Arial Unicode MS"/>
          <w:rtl w:val="0"/>
          <w:lang w:val="en-US"/>
        </w:rPr>
        <w:t>glich, flexibel auf die jeweilige Situation vor Ort zu reagieren und allf</w:t>
      </w:r>
      <w:r>
        <w:rPr>
          <w:rFonts w:cs="Arial Unicode MS" w:eastAsia="Arial Unicode MS" w:hint="default"/>
          <w:rtl w:val="0"/>
          <w:lang w:val="en-US"/>
        </w:rPr>
        <w:t>ä</w:t>
      </w:r>
      <w:r>
        <w:rPr>
          <w:rFonts w:cs="Arial Unicode MS" w:eastAsia="Arial Unicode MS"/>
          <w:rtl w:val="0"/>
          <w:lang w:val="en-US"/>
        </w:rPr>
        <w:t>lligen Besonderheiten gerecht zu werden, so da</w:t>
      </w:r>
      <w:r>
        <w:rPr>
          <w:rFonts w:cs="Arial Unicode MS" w:eastAsia="Arial Unicode MS" w:hint="default"/>
          <w:rtl w:val="0"/>
          <w:lang w:val="en-US"/>
        </w:rPr>
        <w:t xml:space="preserve">ß </w:t>
      </w:r>
      <w:r>
        <w:rPr>
          <w:rFonts w:cs="Arial Unicode MS" w:eastAsia="Arial Unicode MS"/>
          <w:rtl w:val="0"/>
          <w:lang w:val="en-US"/>
        </w:rPr>
        <w:t>es in den verschiedenen Steuerbezirken zum Teil zu erheblichen Abweichungen bei der Umsetzung kam. Doch war es m</w:t>
      </w:r>
      <w:r>
        <w:rPr>
          <w:rFonts w:cs="Arial Unicode MS" w:eastAsia="Arial Unicode MS" w:hint="default"/>
          <w:rtl w:val="0"/>
          <w:lang w:val="en-US"/>
        </w:rPr>
        <w:t>ö</w:t>
      </w:r>
      <w:r>
        <w:rPr>
          <w:rFonts w:cs="Arial Unicode MS" w:eastAsia="Arial Unicode MS"/>
          <w:rtl w:val="0"/>
          <w:lang w:val="en-US"/>
        </w:rPr>
        <w:t>glicherweise nicht zum geringsten eben dieser Flexibilit</w:t>
      </w:r>
      <w:r>
        <w:rPr>
          <w:rFonts w:cs="Arial Unicode MS" w:eastAsia="Arial Unicode MS" w:hint="default"/>
          <w:rtl w:val="0"/>
          <w:lang w:val="en-US"/>
        </w:rPr>
        <w:t>ä</w:t>
      </w:r>
      <w:r>
        <w:rPr>
          <w:rFonts w:cs="Arial Unicode MS" w:eastAsia="Arial Unicode MS"/>
          <w:rtl w:val="0"/>
          <w:lang w:val="en-US"/>
        </w:rPr>
        <w:t>t zu danken, da</w:t>
      </w:r>
      <w:r>
        <w:rPr>
          <w:rFonts w:cs="Arial Unicode MS" w:eastAsia="Arial Unicode MS" w:hint="default"/>
          <w:rtl w:val="0"/>
          <w:lang w:val="en-US"/>
        </w:rPr>
        <w:t xml:space="preserve">ß </w:t>
      </w:r>
      <w:r>
        <w:rPr>
          <w:rFonts w:cs="Arial Unicode MS" w:eastAsia="Arial Unicode MS"/>
          <w:rtl w:val="0"/>
          <w:lang w:val="en-US"/>
        </w:rPr>
        <w:t>das Verfahren auf so gro</w:t>
      </w:r>
      <w:r>
        <w:rPr>
          <w:rFonts w:cs="Arial Unicode MS" w:eastAsia="Arial Unicode MS" w:hint="default"/>
          <w:rtl w:val="0"/>
          <w:lang w:val="en-US"/>
        </w:rPr>
        <w:t>ß</w:t>
      </w:r>
      <w:r>
        <w:rPr>
          <w:rFonts w:cs="Arial Unicode MS" w:eastAsia="Arial Unicode MS"/>
          <w:rtl w:val="0"/>
          <w:lang w:val="en-US"/>
        </w:rPr>
        <w:t>e Akzeptanz der Bev</w:t>
      </w:r>
      <w:r>
        <w:rPr>
          <w:rFonts w:cs="Arial Unicode MS" w:eastAsia="Arial Unicode MS" w:hint="default"/>
          <w:rtl w:val="0"/>
          <w:lang w:val="en-US"/>
        </w:rPr>
        <w:t>ö</w:t>
      </w:r>
      <w:r>
        <w:rPr>
          <w:rFonts w:cs="Arial Unicode MS" w:eastAsia="Arial Unicode MS"/>
          <w:rtl w:val="0"/>
          <w:lang w:val="en-US"/>
        </w:rPr>
        <w:t>lkerung stie</w:t>
      </w:r>
      <w:r>
        <w:rPr>
          <w:rFonts w:cs="Arial Unicode MS" w:eastAsia="Arial Unicode MS" w:hint="default"/>
          <w:rtl w:val="0"/>
          <w:lang w:val="en-US"/>
        </w:rPr>
        <w:t xml:space="preserve">ß </w:t>
      </w:r>
      <w:r>
        <w:rPr>
          <w:rFonts w:cs="Arial Unicode MS" w:eastAsia="Arial Unicode MS"/>
          <w:rtl w:val="0"/>
          <w:lang w:val="en-US"/>
        </w:rPr>
        <w:t>und sich letztlich auch als solches bew</w:t>
      </w:r>
      <w:r>
        <w:rPr>
          <w:rFonts w:cs="Arial Unicode MS" w:eastAsia="Arial Unicode MS" w:hint="default"/>
          <w:rtl w:val="0"/>
          <w:lang w:val="en-US"/>
        </w:rPr>
        <w:t>ä</w:t>
      </w:r>
      <w:r>
        <w:rPr>
          <w:rFonts w:cs="Arial Unicode MS" w:eastAsia="Arial Unicode MS"/>
          <w:rtl w:val="0"/>
          <w:lang w:val="en-US"/>
        </w:rPr>
        <w:t>hrte.</w:t>
      </w:r>
      <w:r>
        <w:rPr>
          <w:rFonts w:cs="Arial Unicode MS" w:eastAsia="Arial Unicode MS" w:hint="default"/>
          <w:rtl w:val="0"/>
          <w:lang w:val="en-US"/>
        </w:rPr>
        <w:t xml:space="preserve">” </w:t>
      </w:r>
      <w:r>
        <w:rPr>
          <w:rFonts w:cs="Arial Unicode MS" w:eastAsia="Arial Unicode MS"/>
          <w:rtl w:val="0"/>
          <w:lang w:val="en-US"/>
        </w:rPr>
        <w:t xml:space="preserve">Indeed, the </w:t>
      </w:r>
      <w:r>
        <w:rPr>
          <w:rFonts w:cs="Arial Unicode MS" w:eastAsia="Arial Unicode MS" w:hint="default"/>
          <w:rtl w:val="0"/>
          <w:lang w:val="en-US"/>
        </w:rPr>
        <w:t xml:space="preserve">τέταρτον μέρος γεωμετρίας </w:t>
      </w:r>
      <w:r>
        <w:rPr>
          <w:rFonts w:cs="Arial Unicode MS" w:eastAsia="Arial Unicode MS"/>
          <w:rtl w:val="0"/>
          <w:lang w:val="en-US"/>
        </w:rPr>
        <w:t>later became institutionalized as a method of payment for dues on ousiac land (</w:t>
      </w:r>
      <w:r>
        <w:rPr>
          <w:rStyle w:val="Hyperlink.1"/>
        </w:rPr>
        <w:fldChar w:fldCharType="begin" w:fldLock="0"/>
      </w:r>
      <w:r>
        <w:rPr>
          <w:rStyle w:val="Hyperlink.1"/>
        </w:rPr>
        <w:instrText xml:space="preserve"> HYPERLINK "https://papyri.info/biblio/5337"</w:instrText>
      </w:r>
      <w:r>
        <w:rPr>
          <w:rStyle w:val="Hyperlink.1"/>
        </w:rPr>
        <w:fldChar w:fldCharType="separate" w:fldLock="0"/>
      </w:r>
      <w:r>
        <w:rPr>
          <w:rStyle w:val="Hyperlink.1"/>
          <w:rFonts w:cs="Arial Unicode MS" w:eastAsia="Arial Unicode MS"/>
          <w:rtl w:val="0"/>
        </w:rPr>
        <w:t xml:space="preserve">P.Col. </w:t>
      </w:r>
      <w:r>
        <w:rPr>
          <w:rStyle w:val="Hyperlink.0"/>
          <w:rFonts w:cs="Arial Unicode MS" w:eastAsia="Arial Unicode MS"/>
          <w:rtl w:val="0"/>
        </w:rPr>
        <w:t>5</w:t>
      </w:r>
      <w:r>
        <w:rPr/>
        <w:fldChar w:fldCharType="end" w:fldLock="0"/>
      </w:r>
      <w:r>
        <w:rPr>
          <w:rFonts w:cs="Arial Unicode MS" w:eastAsia="Arial Unicode MS"/>
          <w:rtl w:val="0"/>
          <w:lang w:val="en-US"/>
        </w:rPr>
        <w:t>, pp. 274</w:t>
      </w:r>
      <w:r>
        <w:rPr>
          <w:rFonts w:cs="Arial Unicode MS" w:eastAsia="Arial Unicode MS" w:hint="default"/>
          <w:rtl w:val="0"/>
          <w:lang w:val="en-US"/>
        </w:rPr>
        <w:t>–</w:t>
      </w:r>
      <w:r>
        <w:rPr>
          <w:rFonts w:cs="Arial Unicode MS" w:eastAsia="Arial Unicode MS"/>
          <w:rtl w:val="0"/>
          <w:lang w:val="en-US"/>
        </w:rPr>
        <w:t>275): while not a direct result of Hadrian</w:t>
      </w:r>
      <w:r>
        <w:rPr>
          <w:rFonts w:cs="Arial Unicode MS" w:eastAsia="Arial Unicode MS" w:hint="default"/>
          <w:rtl w:val="0"/>
          <w:lang w:val="en-US"/>
        </w:rPr>
        <w:t>’</w:t>
      </w:r>
      <w:r>
        <w:rPr>
          <w:rFonts w:cs="Arial Unicode MS" w:eastAsia="Arial Unicode MS"/>
          <w:rtl w:val="0"/>
          <w:lang w:val="en-US"/>
        </w:rPr>
        <w:t xml:space="preserve">s edict (which concerned taxes for 135/6 only), it may nevertheless have been inspired by it. I plan on returning to the topic of garden taxes in the Fayum via editions of the receipts P.Lond. inv. 2708 and 2712 in a future volume of </w:t>
      </w:r>
      <w:r>
        <w:rPr>
          <w:rFonts w:cs="Arial Unicode MS" w:eastAsia="Arial Unicode MS"/>
          <w:rtl w:val="0"/>
          <w:lang w:val="en-US"/>
        </w:rPr>
        <w:t>P.Lond.</w:t>
      </w:r>
    </w:p>
  </w:footnote>
</w:footnotes>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footnotePr>
    <w:numFmt w:val="decimal"/>
    <w:numStart w:val="1"/>
    <w:numRestart w:val="continuous"/>
    <w:footnote w:id="-1"/>
    <w:footnote w:id="0"/>
    <w:footnote w:id="-2"/>
  </w:footnotePr>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IFAO-Grec Unicode" w:cs="Arial Unicode MS" w:hAnsi="IFAO-Grec Unicod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 w:type="character" w:styleId="Hyperlink.0">
    <w:name w:val="Hyperlink.0"/>
    <w:basedOn w:val="Hyperlink"/>
    <w:next w:val="Hyperlink.0"/>
    <w:rPr>
      <w:outline w:val="0"/>
      <w:color w:val="0563c1"/>
      <w:u w:val="single" w:color="0563c1"/>
      <w14:textFill>
        <w14:solidFill>
          <w14:srgbClr w14:val="0563C1"/>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0" w:after="0" w:line="240" w:lineRule="auto"/>
      <w:ind w:left="0" w:right="0" w:firstLine="0"/>
      <w:jc w:val="left"/>
      <w:outlineLvl w:val="0"/>
    </w:pPr>
    <w:rPr>
      <w:rFonts w:ascii="IFAO-Grec Unicode" w:cs="Arial Unicode MS" w:hAnsi="IFAO-Grec Unicode"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paragraph" w:styleId="footnote text">
    <w:name w:val="footnote text"/>
    <w:next w:val="footnote text"/>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IFAO-Grec Unicode" w:cs="IFAO-Grec Unicode" w:hAnsi="IFAO-Grec Unicode" w:eastAsia="IFAO-Grec Unicode"/>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1">
    <w:name w:val="Hyperlink.1"/>
    <w:basedOn w:val="Hyperlink.0"/>
    <w:next w:val="Hyperlink.1"/>
    <w:rPr>
      <w:rFonts w:ascii="IFAO-Grec Unicode" w:cs="IFAO-Grec Unicode" w:hAnsi="IFAO-Grec Unicode" w:eastAsia="IFAO-Grec Unicode"/>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footnotes" Target="footnotes.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