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A"/>
        <w:rPr>
          <w:rFonts w:ascii="IFAO-Grec Unicode" w:cs="IFAO-Grec Unicode" w:hAnsi="IFAO-Grec Unicode" w:eastAsia="IFAO-Grec Unicode"/>
          <w:sz w:val="24"/>
          <w:szCs w:val="24"/>
        </w:rPr>
      </w:pPr>
      <w:r>
        <w:rPr>
          <w:rFonts w:ascii="IFAO-Grec Unicode" w:hAnsi="IFAO-Grec Unicode"/>
          <w:sz w:val="24"/>
          <w:szCs w:val="24"/>
          <w:rtl w:val="0"/>
          <w:lang w:val="de-DE"/>
        </w:rPr>
        <w:t>#articleTitle</w:t>
      </w:r>
    </w:p>
    <w:p>
      <w:pPr>
        <w:pStyle w:val="Title A"/>
        <w:rPr>
          <w:rFonts w:ascii="IFAO-Grec Unicode" w:cs="IFAO-Grec Unicode" w:hAnsi="IFAO-Grec Unicode" w:eastAsia="IFAO-Grec Unicode"/>
          <w:sz w:val="24"/>
          <w:szCs w:val="24"/>
        </w:rPr>
      </w:pPr>
      <w:r>
        <w:rPr>
          <w:rFonts w:ascii="IFAO-Grec Unicode" w:hAnsi="IFAO-Grec Unicode"/>
          <w:sz w:val="24"/>
          <w:szCs w:val="24"/>
          <w:rtl w:val="0"/>
          <w:lang w:val="en-US"/>
        </w:rPr>
        <w:t>From the Ptolemaic to the Roman period:</w:t>
      </w:r>
      <w:r>
        <w:rPr>
          <w:rFonts w:ascii="IFAO-Grec Unicode" w:hAnsi="IFAO-Grec Unicode"/>
          <w:sz w:val="24"/>
          <w:szCs w:val="24"/>
          <w:rtl w:val="0"/>
          <w:lang w:val="de-DE"/>
        </w:rPr>
        <w:t xml:space="preserve"> </w:t>
      </w:r>
      <w:r>
        <w:rPr>
          <w:rFonts w:ascii="IFAO-Grec Unicode" w:hAnsi="IFAO-Grec Unicode"/>
          <w:sz w:val="24"/>
          <w:szCs w:val="24"/>
          <w:rtl w:val="0"/>
          <w:lang w:val="en-US"/>
        </w:rPr>
        <w:t>the black hole from a typological perspective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#acknowledgement</w:t>
      </w:r>
    </w:p>
    <w:p>
      <w:pPr>
        <w:pStyle w:val="Body"/>
        <w:rPr>
          <w:rFonts w:ascii="IFAO-Grec Unicode" w:cs="IFAO-Grec Unicode" w:hAnsi="IFAO-Grec Unicode" w:eastAsia="IFAO-Grec Unicode"/>
        </w:rPr>
      </w:pPr>
    </w:p>
    <w:p>
      <w:pPr>
        <w:pStyle w:val="footnote text"/>
      </w:pPr>
      <w:r>
        <w:rPr>
          <w:rtl w:val="0"/>
          <w:lang w:val="de-DE"/>
        </w:rPr>
        <w:t xml:space="preserve">I </w:t>
      </w:r>
      <w:r>
        <w:rPr>
          <w:rtl w:val="0"/>
          <w:lang w:val="en-US"/>
        </w:rPr>
        <w:t>wish to thank two anonymous reviewers who made useful suggestions towards improving a first version of this article. It was written within the framework of the grammateus project, funded by the Swiss National Science Foundation (# 185205 and 212424). I am also grateful to my colleague Pierre S</w:t>
      </w:r>
      <w:r>
        <w:rPr>
          <w:rtl w:val="0"/>
          <w:lang w:val="en-US"/>
        </w:rPr>
        <w:t>á</w:t>
      </w:r>
      <w:r>
        <w:rPr>
          <w:rtl w:val="0"/>
          <w:lang w:val="en-US"/>
        </w:rPr>
        <w:t>nchez, as well as to all members of the grammateus research team for their careful reading, corrections and helpful criticism of a preliminary version: Gianluca Bonagura, Ruey-Lin Chang, Lavinia Ferretti, Susan Fogarty, Elisa Nury. I often took inspiration from their own work within the grammateus project, Bonagura et al. 2019</w:t>
      </w:r>
      <w:r>
        <w:rPr>
          <w:rtl w:val="0"/>
          <w:lang w:val="en-US"/>
        </w:rPr>
        <w:t>–</w:t>
      </w:r>
      <w:r>
        <w:rPr>
          <w:rtl w:val="0"/>
          <w:lang w:val="en-US"/>
        </w:rPr>
        <w:t>2026. All remaining mistakes or shortcomings are mine. Passages from Greek documents are quoted in their original spelling; a grammatical cor</w:t>
      </w:r>
      <w:r>
        <w:rPr>
          <w:rtl w:val="0"/>
        </w:rPr>
        <w:t xml:space="preserve"> I </w:t>
      </w:r>
      <w:r>
        <w:rPr>
          <w:rtl w:val="0"/>
          <w:lang w:val="en-US"/>
        </w:rPr>
        <w:t>rection is provided only in cases where the spelling impedes the understanding of the text. Documents quoted here are dated by the year; month and day are provided only if they have a relevance to the argument.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#introduction</w:t>
      </w:r>
    </w:p>
    <w:p>
      <w:pPr>
        <w:pStyle w:val="Body"/>
        <w:rPr>
          <w:rFonts w:ascii="IFAO-Grec Unicode" w:cs="IFAO-Grec Unicode" w:hAnsi="IFAO-Grec Unicode" w:eastAsia="IFAO-Grec Unicode"/>
        </w:rPr>
      </w:pPr>
      <w:r>
        <w:rPr>
          <w:rFonts w:ascii="IFAO-Grec Unicode" w:hAnsi="IFAO-Grec Unicode"/>
          <w:rtl w:val="0"/>
          <w:lang w:val="fr-FR"/>
        </w:rPr>
        <w:t>Introduction</w:t>
      </w:r>
    </w:p>
    <w:p>
      <w:pPr>
        <w:pStyle w:val="Body"/>
        <w:rPr>
          <w:rFonts w:ascii="IFAO-Grec Unicode" w:cs="IFAO-Grec Unicode" w:hAnsi="IFAO-Grec Unicode" w:eastAsia="IFAO-Grec Unicode"/>
        </w:rPr>
      </w:pPr>
      <w:r>
        <w:rPr>
          <w:rFonts w:ascii="IFAO-Grec Unicode" w:hAnsi="IFAO-Grec Unicode"/>
          <w:rtl w:val="0"/>
          <w:lang w:val="en-US"/>
        </w:rPr>
        <w:t>There is a well-known puzzle regarding the distribution of Greek papyri, ostraca and related material found in Egypt: in 30 BCE, the reign of Queen Cleopatra VII ends, and thus the Ptolemaic dynasty; it is replaced by the rule of Octavian, effectively turning Egypt into a Roman province in 27 BCE; and precisely in those years, available documents become very sparse, frustrating scholars of a possibility to observe in detail the shift from the Ptolemaic to the Roman period.</w:t>
      </w:r>
      <w:r>
        <w:rPr>
          <w:rFonts w:ascii="IFAO-Grec Unicode" w:cs="IFAO-Grec Unicode" w:hAnsi="IFAO-Grec Unicode" w:eastAsia="IFAO-Grec Unicode"/>
          <w:vertAlign w:val="superscript"/>
        </w:rPr>
        <w:footnoteReference w:id="1"/>
      </w:r>
      <w:r>
        <w:rPr>
          <w:rFonts w:ascii="IFAO-Grec Unicode" w:hAnsi="IFAO-Grec Unicode"/>
          <w:rtl w:val="0"/>
          <w:lang w:val="en-US"/>
        </w:rPr>
        <w:t xml:space="preserve"> The sparseness of sources is even more remarkable because there are several clusters concentrated on some types in definite areas, and the geographical distribution of our documentation is uneven.</w:t>
      </w:r>
      <w:r>
        <w:rPr>
          <w:rFonts w:ascii="IFAO-Grec Unicode" w:cs="IFAO-Grec Unicode" w:hAnsi="IFAO-Grec Unicode" w:eastAsia="IFAO-Grec Unicode"/>
          <w:vertAlign w:val="superscript"/>
        </w:rPr>
        <w:footnoteReference w:id="2"/>
      </w:r>
      <w:r>
        <w:rPr>
          <w:rFonts w:ascii="IFAO-Grec Unicode" w:hAnsi="IFAO-Grec Unicode"/>
          <w:rtl w:val="0"/>
          <w:lang w:val="en-US"/>
        </w:rPr>
        <w:t xml:space="preserve"> The aim of the present study is to provide a wide survey of this black hole, as it were, focusing on the available documents from the beginning of the reign of Cleopatra (51 BCE) till the end of the reign of Octavian, a.k.a. Caesar or Augustus (14 CE).</w:t>
      </w:r>
      <w:r>
        <w:rPr>
          <w:rFonts w:ascii="IFAO-Grec Unicode" w:cs="IFAO-Grec Unicode" w:hAnsi="IFAO-Grec Unicode" w:eastAsia="IFAO-Grec Unicode"/>
          <w:vertAlign w:val="superscript"/>
        </w:rPr>
        <w:footnoteReference w:id="3"/>
      </w:r>
      <w:r>
        <w:rPr>
          <w:rFonts w:ascii="IFAO-Grec Unicode" w:hAnsi="IFAO-Grec Unicode"/>
          <w:rtl w:val="0"/>
          <w:lang w:val="en-US"/>
        </w:rPr>
        <w:t xml:space="preserve"> The intended perspective is typological, considering the way documents were produced by scribes, mostly in terms of format, layout, and structure. It will be possible to show that the scribes of the reigns of Cleopatra and Augustus followed a set of basic rules when producing their documents, and that they adapted those rules according to each specific type of document.</w:t>
      </w:r>
    </w:p>
    <w:p>
      <w:pPr>
        <w:pStyle w:val="Body"/>
        <w:rPr>
          <w:rFonts w:ascii="IFAO-Grec Unicode" w:cs="IFAO-Grec Unicode" w:hAnsi="IFAO-Grec Unicode" w:eastAsia="IFAO-Grec Unicode"/>
        </w:rPr>
      </w:pPr>
      <w:r>
        <w:rPr>
          <w:rFonts w:ascii="IFAO-Grec Unicode" w:hAnsi="IFAO-Grec Unicode"/>
          <w:rtl w:val="0"/>
          <w:lang w:val="en-US"/>
        </w:rPr>
        <w:t>Clusters are groups of documents belonging to the same batch, where the provenance, the period and the type are all similar. They do not necessarily constitute an archive in the narrow sense of the word, although in some cases they do, and indeed they have been classified as such in the portal Trismegistos.</w:t>
      </w:r>
      <w:r>
        <w:rPr>
          <w:rFonts w:ascii="IFAO-Grec Unicode" w:cs="IFAO-Grec Unicode" w:hAnsi="IFAO-Grec Unicode" w:eastAsia="IFAO-Grec Unicode"/>
          <w:vertAlign w:val="superscript"/>
        </w:rPr>
        <w:footnoteReference w:id="4"/>
      </w:r>
      <w:r>
        <w:rPr>
          <w:rFonts w:ascii="IFAO-Grec Unicode" w:hAnsi="IFAO-Grec Unicode"/>
          <w:rtl w:val="0"/>
          <w:lang w:val="en-US"/>
        </w:rPr>
        <w:t xml:space="preserve"> Yet the focus here is placed mainly on the production of the documents, and less on their content, which would constitute an essential element in the study of an archive. The consistency in the mode of production is a first indication that a scribe </w:t>
      </w:r>
      <w:r>
        <w:rPr>
          <w:rFonts w:ascii="IFAO-Grec Unicode" w:hAnsi="IFAO-Grec Unicode" w:hint="default"/>
          <w:rtl w:val="0"/>
        </w:rPr>
        <w:t xml:space="preserve">– </w:t>
      </w:r>
      <w:r>
        <w:rPr>
          <w:rFonts w:ascii="IFAO-Grec Unicode" w:hAnsi="IFAO-Grec Unicode"/>
          <w:rtl w:val="0"/>
          <w:lang w:val="en-US"/>
        </w:rPr>
        <w:t xml:space="preserve">or a group of scribes </w:t>
      </w:r>
      <w:r>
        <w:rPr>
          <w:rFonts w:ascii="IFAO-Grec Unicode" w:hAnsi="IFAO-Grec Unicode" w:hint="default"/>
          <w:rtl w:val="0"/>
        </w:rPr>
        <w:t xml:space="preserve">– </w:t>
      </w:r>
      <w:r>
        <w:rPr>
          <w:rFonts w:ascii="IFAO-Grec Unicode" w:hAnsi="IFAO-Grec Unicode"/>
          <w:rtl w:val="0"/>
          <w:lang w:val="en-US"/>
        </w:rPr>
        <w:t>follows a general pattern corresponding to unstated, but recognizable rules (format, layout, structure).</w:t>
      </w:r>
      <w:r>
        <w:rPr>
          <w:rFonts w:ascii="IFAO-Grec Unicode" w:cs="IFAO-Grec Unicode" w:hAnsi="IFAO-Grec Unicode" w:eastAsia="IFAO-Grec Unicode"/>
          <w:vertAlign w:val="superscript"/>
        </w:rPr>
        <w:footnoteReference w:id="5"/>
      </w:r>
      <w:r>
        <w:rPr>
          <w:rFonts w:ascii="IFAO-Grec Unicode" w:hAnsi="IFAO-Grec Unicode"/>
          <w:rtl w:val="0"/>
          <w:lang w:val="en-US"/>
        </w:rPr>
        <w:t xml:space="preserve"> Clusters are useful for identifying patterns that allow better comparison of types; they may allow further comparison with individual documents that do not belong to the cluster but nonetheless display similar features.</w:t>
      </w:r>
    </w:p>
    <w:p>
      <w:pPr>
        <w:pStyle w:val="Body"/>
        <w:rPr>
          <w:rFonts w:ascii="IFAO-Grec Unicode" w:cs="IFAO-Grec Unicode" w:hAnsi="IFAO-Grec Unicode" w:eastAsia="IFAO-Grec Unicode"/>
        </w:rPr>
      </w:pPr>
      <w:r>
        <w:rPr>
          <w:rFonts w:ascii="IFAO-Grec Unicode" w:hAnsi="IFAO-Grec Unicode"/>
          <w:rtl w:val="0"/>
          <w:lang w:val="en-US"/>
        </w:rPr>
        <w:t>The scarcity of available papyri near the end of Cleopatra</w:t>
      </w:r>
      <w:r>
        <w:rPr>
          <w:rFonts w:ascii="IFAO-Grec Unicode" w:hAnsi="IFAO-Grec Unicode" w:hint="default"/>
          <w:rtl w:val="1"/>
        </w:rPr>
        <w:t>’</w:t>
      </w:r>
      <w:r>
        <w:rPr>
          <w:rFonts w:ascii="IFAO-Grec Unicode" w:hAnsi="IFAO-Grec Unicode"/>
          <w:rtl w:val="0"/>
          <w:lang w:val="en-US"/>
        </w:rPr>
        <w:t xml:space="preserve">s rule also raises the question </w:t>
      </w:r>
      <w:r>
        <w:rPr>
          <w:rFonts w:ascii="IFAO-Grec Unicode" w:hAnsi="IFAO-Grec Unicode" w:hint="default"/>
          <w:rtl w:val="0"/>
        </w:rPr>
        <w:t xml:space="preserve">– </w:t>
      </w:r>
      <w:r>
        <w:rPr>
          <w:rFonts w:ascii="IFAO-Grec Unicode" w:hAnsi="IFAO-Grec Unicode"/>
          <w:rtl w:val="0"/>
          <w:lang w:val="en-US"/>
        </w:rPr>
        <w:t xml:space="preserve">to this day not entirely answered </w:t>
      </w:r>
      <w:r>
        <w:rPr>
          <w:rFonts w:ascii="IFAO-Grec Unicode" w:hAnsi="IFAO-Grec Unicode" w:hint="default"/>
          <w:rtl w:val="0"/>
        </w:rPr>
        <w:t xml:space="preserve">– </w:t>
      </w:r>
      <w:r>
        <w:rPr>
          <w:rFonts w:ascii="IFAO-Grec Unicode" w:hAnsi="IFAO-Grec Unicode"/>
          <w:rtl w:val="0"/>
          <w:lang w:val="en-US"/>
        </w:rPr>
        <w:t>of a possible relation with the kingdom</w:t>
      </w:r>
      <w:r>
        <w:rPr>
          <w:rFonts w:ascii="IFAO-Grec Unicode" w:hAnsi="IFAO-Grec Unicode" w:hint="default"/>
          <w:rtl w:val="1"/>
        </w:rPr>
        <w:t>’</w:t>
      </w:r>
      <w:r>
        <w:rPr>
          <w:rFonts w:ascii="IFAO-Grec Unicode" w:hAnsi="IFAO-Grec Unicode"/>
          <w:rtl w:val="0"/>
          <w:lang w:val="en-US"/>
        </w:rPr>
        <w:t>s political and administrative downfall: did the scribes write less because the country was coming to a near standstill, or is the black hole to be explained through the chance of papyrus discovery? Livia Capponi summarizes the matter:</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#blockQuote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sz w:val="20"/>
          <w:szCs w:val="20"/>
        </w:rPr>
      </w:pPr>
      <w:r>
        <w:rPr>
          <w:rFonts w:ascii="IFAO-Grec Unicode" w:hAnsi="IFAO-Grec Unicode"/>
          <w:sz w:val="20"/>
          <w:szCs w:val="20"/>
          <w:rtl w:val="0"/>
          <w:lang w:val="en-US"/>
        </w:rPr>
        <w:t>In the years between 39 and 31 BCE, Egypt became the battlefield for the civil war between Octavian and Antony. (</w:t>
      </w:r>
      <w:r>
        <w:rPr>
          <w:rFonts w:ascii="IFAO-Grec Unicode" w:hAnsi="IFAO-Grec Unicode" w:hint="default"/>
          <w:sz w:val="20"/>
          <w:szCs w:val="20"/>
          <w:rtl w:val="0"/>
        </w:rPr>
        <w:t>…</w:t>
      </w:r>
      <w:r>
        <w:rPr>
          <w:rFonts w:ascii="IFAO-Grec Unicode" w:hAnsi="IFAO-Grec Unicode"/>
          <w:sz w:val="20"/>
          <w:szCs w:val="20"/>
          <w:rtl w:val="0"/>
          <w:lang w:val="en-US"/>
        </w:rPr>
        <w:t>) Some scholars believe that in the 40s BCE Egypt went through an economic crisis, due to the combination of bad harvests, shortage of water and overseas debts; however, there is no secure evidence to support this, and others have argued that, on the contrary, under Cleopatra Egypt enjoyed a period of economic and cultural renaissance.</w:t>
      </w:r>
      <w:r>
        <w:rPr>
          <w:rFonts w:ascii="IFAO-Grec Unicode" w:cs="IFAO-Grec Unicode" w:hAnsi="IFAO-Grec Unicode" w:eastAsia="IFAO-Grec Unicode"/>
          <w:vertAlign w:val="superscript"/>
        </w:rPr>
        <w:footnoteReference w:id="6"/>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#endBlockQuote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She refers to a pair of broad surveys according to which: a) papyri provide evidence for difficulties at the beginning of Cleopatra</w:t>
      </w:r>
      <w:r>
        <w:rPr>
          <w:rFonts w:ascii="IFAO-Grec Unicode" w:hAnsi="IFAO-Grec Unicode" w:hint="default"/>
          <w:rtl w:val="1"/>
        </w:rPr>
        <w:t>’</w:t>
      </w:r>
      <w:r>
        <w:rPr>
          <w:rFonts w:ascii="IFAO-Grec Unicode" w:hAnsi="IFAO-Grec Unicode"/>
          <w:rtl w:val="0"/>
          <w:lang w:val="en-US"/>
        </w:rPr>
        <w:t>s reign, around 50 BCE; b) similar evidence is lacking for the last decade of Cleopatra</w:t>
      </w:r>
      <w:r>
        <w:rPr>
          <w:rFonts w:ascii="IFAO-Grec Unicode" w:hAnsi="IFAO-Grec Unicode" w:hint="default"/>
          <w:rtl w:val="1"/>
        </w:rPr>
        <w:t>’</w:t>
      </w:r>
      <w:r>
        <w:rPr>
          <w:rFonts w:ascii="IFAO-Grec Unicode" w:hAnsi="IFAO-Grec Unicode"/>
          <w:rtl w:val="0"/>
          <w:lang w:val="de-DE"/>
        </w:rPr>
        <w:t>s reign.</w:t>
      </w:r>
      <w:r>
        <w:rPr>
          <w:rFonts w:ascii="IFAO-Grec Unicode" w:cs="IFAO-Grec Unicode" w:hAnsi="IFAO-Grec Unicode" w:eastAsia="IFAO-Grec Unicode"/>
          <w:vertAlign w:val="superscript"/>
        </w:rPr>
        <w:footnoteReference w:id="7"/>
      </w:r>
    </w:p>
    <w:p>
      <w:pPr>
        <w:pStyle w:val="Body"/>
        <w:rPr>
          <w:rFonts w:ascii="IFAO-Grec Unicode" w:cs="IFAO-Grec Unicode" w:hAnsi="IFAO-Grec Unicode" w:eastAsia="IFAO-Grec Unicode"/>
        </w:rPr>
      </w:pPr>
      <w:r>
        <w:rPr>
          <w:rFonts w:ascii="IFAO-Grec Unicode" w:hAnsi="IFAO-Grec Unicode"/>
          <w:rtl w:val="0"/>
          <w:lang w:val="en-US"/>
        </w:rPr>
        <w:t>Recent research has brought new arguments supporting the hypothesis of a possible collapse of the administration in the last decade of Cleopatra</w:t>
      </w:r>
      <w:r>
        <w:rPr>
          <w:rFonts w:ascii="IFAO-Grec Unicode" w:hAnsi="IFAO-Grec Unicode" w:hint="default"/>
          <w:rtl w:val="1"/>
        </w:rPr>
        <w:t>’</w:t>
      </w:r>
      <w:r>
        <w:rPr>
          <w:rFonts w:ascii="IFAO-Grec Unicode" w:hAnsi="IFAO-Grec Unicode"/>
          <w:rtl w:val="0"/>
          <w:lang w:val="de-DE"/>
        </w:rPr>
        <w:t>s reign.</w:t>
      </w:r>
      <w:r>
        <w:rPr>
          <w:rFonts w:ascii="IFAO-Grec Unicode" w:cs="IFAO-Grec Unicode" w:hAnsi="IFAO-Grec Unicode" w:eastAsia="IFAO-Grec Unicode"/>
          <w:vertAlign w:val="superscript"/>
        </w:rPr>
        <w:footnoteReference w:id="8"/>
      </w:r>
      <w:r>
        <w:rPr>
          <w:rFonts w:ascii="IFAO-Grec Unicode" w:hAnsi="IFAO-Grec Unicode"/>
          <w:rtl w:val="0"/>
          <w:lang w:val="en-US"/>
        </w:rPr>
        <w:t xml:space="preserve"> The massive eruption of Alaska</w:t>
      </w:r>
      <w:r>
        <w:rPr>
          <w:rFonts w:ascii="IFAO-Grec Unicode" w:hAnsi="IFAO-Grec Unicode" w:hint="default"/>
          <w:rtl w:val="1"/>
        </w:rPr>
        <w:t>’</w:t>
      </w:r>
      <w:r>
        <w:rPr>
          <w:rFonts w:ascii="IFAO-Grec Unicode" w:hAnsi="IFAO-Grec Unicode"/>
          <w:rtl w:val="0"/>
          <w:lang w:val="en-US"/>
        </w:rPr>
        <w:t>s Okmok volcano in 43 BCE had a marked cooling effect on the environment in places as far away as Egypt and may also have influenced the Nile flood in this period. Ancient sources report famine in Egypt.</w:t>
      </w:r>
      <w:r>
        <w:rPr>
          <w:rFonts w:ascii="IFAO-Grec Unicode" w:cs="IFAO-Grec Unicode" w:hAnsi="IFAO-Grec Unicode" w:eastAsia="IFAO-Grec Unicode"/>
          <w:vertAlign w:val="superscript"/>
        </w:rPr>
        <w:footnoteReference w:id="9"/>
      </w:r>
      <w:r>
        <w:rPr>
          <w:rFonts w:ascii="IFAO-Grec Unicode" w:hAnsi="IFAO-Grec Unicode"/>
          <w:rtl w:val="0"/>
          <w:lang w:val="en-US"/>
        </w:rPr>
        <w:t xml:space="preserve"> A causal linkage between the eruption and the famine cannot be proven but remains likely.</w:t>
      </w:r>
      <w:r>
        <w:rPr>
          <w:rFonts w:ascii="IFAO-Grec Unicode" w:cs="IFAO-Grec Unicode" w:hAnsi="IFAO-Grec Unicode" w:eastAsia="IFAO-Grec Unicode"/>
          <w:vertAlign w:val="superscript"/>
        </w:rPr>
        <w:footnoteReference w:id="10"/>
      </w:r>
      <w:r>
        <w:rPr>
          <w:rFonts w:ascii="IFAO-Grec Unicode" w:hAnsi="IFAO-Grec Unicode"/>
          <w:rtl w:val="0"/>
          <w:lang w:val="en-US"/>
        </w:rPr>
        <w:t xml:space="preserve"> In addition to the difficult political circumstances, the eruption may have contributed to a near shutdown of the administration in Egypt in the last years of the Ptolemaic dynasty.</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Data and methodology</w:t>
      </w:r>
    </w:p>
    <w:p>
      <w:pPr>
        <w:pStyle w:val="Body"/>
        <w:rPr>
          <w:rFonts w:ascii="IFAO-Grec Unicode" w:cs="IFAO-Grec Unicode" w:hAnsi="IFAO-Grec Unicode" w:eastAsia="IFAO-Grec Unicode"/>
        </w:rPr>
      </w:pPr>
      <w:r>
        <w:rPr>
          <w:rFonts w:ascii="IFAO-Grec Unicode" w:hAnsi="IFAO-Grec Unicode"/>
          <w:rtl w:val="0"/>
          <w:lang w:val="en-US"/>
        </w:rPr>
        <w:t xml:space="preserve">This survey rests on the examination of some 869 testimonies recorded in the </w:t>
      </w:r>
      <w:r>
        <w:rPr>
          <w:rFonts w:ascii="IFAO-Grec Unicode" w:hAnsi="IFAO-Grec Unicode"/>
          <w:rtl w:val="0"/>
          <w:lang w:val="de-DE"/>
        </w:rPr>
        <w:t xml:space="preserve">Heidelberger Gesamtverzeichnis der griechischen Papyrusurkunden </w:t>
      </w:r>
      <w:r>
        <w:rPr>
          <w:rFonts w:ascii="IFAO-Grec Unicode" w:hAnsi="IFAO-Grec Unicode" w:hint="default"/>
          <w:rtl w:val="0"/>
          <w:lang w:val="sv-SE"/>
        </w:rPr>
        <w:t>Ä</w:t>
      </w:r>
      <w:r>
        <w:rPr>
          <w:rFonts w:ascii="IFAO-Grec Unicode" w:hAnsi="IFAO-Grec Unicode"/>
          <w:rtl w:val="0"/>
          <w:lang w:val="nl-NL"/>
        </w:rPr>
        <w:t>gyptens</w:t>
      </w:r>
      <w:r>
        <w:rPr>
          <w:rFonts w:ascii="IFAO-Grec Unicode" w:hAnsi="IFAO-Grec Unicode"/>
          <w:rtl w:val="0"/>
        </w:rPr>
        <w:t xml:space="preserve"> (</w:t>
      </w:r>
      <w:r>
        <w:rPr>
          <w:rStyle w:val="Hyperlink.1"/>
          <w:rFonts w:ascii="IFAO-Grec Unicode" w:cs="IFAO-Grec Unicode" w:hAnsi="IFAO-Grec Unicode" w:eastAsia="IFAO-Grec Unicode"/>
        </w:rPr>
        <w:fldChar w:fldCharType="begin" w:fldLock="0"/>
      </w:r>
      <w:r>
        <w:rPr>
          <w:rStyle w:val="Hyperlink.1"/>
          <w:rFonts w:ascii="IFAO-Grec Unicode" w:cs="IFAO-Grec Unicode" w:hAnsi="IFAO-Grec Unicode" w:eastAsia="IFAO-Grec Unicode"/>
        </w:rPr>
        <w:instrText xml:space="preserve"> HYPERLINK "https://aquila.zaw.uni-heidelberg.de"</w:instrText>
      </w:r>
      <w:r>
        <w:rPr>
          <w:rStyle w:val="Hyperlink.1"/>
          <w:rFonts w:ascii="IFAO-Grec Unicode" w:cs="IFAO-Grec Unicode" w:hAnsi="IFAO-Grec Unicode" w:eastAsia="IFAO-Grec Unicode"/>
        </w:rPr>
        <w:fldChar w:fldCharType="separate" w:fldLock="0"/>
      </w:r>
      <w:r>
        <w:rPr>
          <w:rStyle w:val="Hyperlink.1"/>
          <w:rFonts w:ascii="IFAO-Grec Unicode" w:hAnsi="IFAO-Grec Unicode"/>
          <w:rtl w:val="0"/>
        </w:rPr>
        <w:t>HGV</w:t>
      </w:r>
      <w:r>
        <w:rPr>
          <w:rFonts w:ascii="IFAO-Grec Unicode" w:cs="IFAO-Grec Unicode" w:hAnsi="IFAO-Grec Unicode" w:eastAsia="IFAO-Grec Unicode"/>
        </w:rPr>
        <w:fldChar w:fldCharType="end" w:fldLock="0"/>
      </w:r>
      <w:r>
        <w:rPr>
          <w:rFonts w:ascii="IFAO-Grec Unicode" w:hAnsi="IFAO-Grec Unicode"/>
          <w:rtl w:val="0"/>
          <w:lang w:val="en-US"/>
        </w:rPr>
        <w:t>) in the period from 51 BCE till 14 CE. About two thirds (548 items) consist of papyri, the remaining part (321 items) of ostraca. The latter are relevant because, in spite of the difference in writing support, they offer an interesting basis of comparison with similar texts written on papyrus. Moreover, the formulation of receipts written on ostraca illustrates the malleability of models based on types that were widely used on papyrus too.</w:t>
      </w:r>
    </w:p>
    <w:p>
      <w:pPr>
        <w:pStyle w:val="Body"/>
        <w:rPr>
          <w:rFonts w:ascii="IFAO-Grec Unicode" w:cs="IFAO-Grec Unicode" w:hAnsi="IFAO-Grec Unicode" w:eastAsia="IFAO-Grec Unicode"/>
        </w:rPr>
      </w:pPr>
      <w:r>
        <w:rPr>
          <w:rFonts w:ascii="IFAO-Grec Unicode" w:hAnsi="IFAO-Grec Unicode"/>
          <w:rtl w:val="0"/>
          <w:lang w:val="en-US"/>
        </w:rPr>
        <w:t xml:space="preserve">A distinction should be made between documents that can be precisely dated, and those for which a rough estimate is provided by the editors. This is especially relevant in the period around 30 BCE. Items for which the dating span does not exceed two units (e.g. 34-33 BCE) are recorded under the label </w:t>
      </w:r>
      <w:r>
        <w:rPr>
          <w:rFonts w:ascii="IFAO-Grec Unicode" w:hAnsi="IFAO-Grec Unicode" w:hint="default"/>
          <w:rtl w:val="1"/>
        </w:rPr>
        <w:t>‘</w:t>
      </w:r>
      <w:r>
        <w:rPr>
          <w:rFonts w:ascii="IFAO-Grec Unicode" w:hAnsi="IFAO-Grec Unicode"/>
          <w:rtl w:val="0"/>
          <w:lang w:val="it-IT"/>
        </w:rPr>
        <w:t>precise dating</w:t>
      </w:r>
      <w:r>
        <w:rPr>
          <w:rFonts w:ascii="IFAO-Grec Unicode" w:hAnsi="IFAO-Grec Unicode" w:hint="default"/>
          <w:rtl w:val="1"/>
        </w:rPr>
        <w:t>’</w:t>
      </w:r>
      <w:r>
        <w:rPr>
          <w:rFonts w:ascii="IFAO-Grec Unicode" w:hAnsi="IFAO-Grec Unicode"/>
          <w:rtl w:val="0"/>
          <w:lang w:val="en-US"/>
        </w:rPr>
        <w:t xml:space="preserve">; when there are more than two units (e.g. 30 BCE </w:t>
      </w:r>
      <w:r>
        <w:rPr>
          <w:rFonts w:ascii="IFAO-Grec Unicode" w:hAnsi="IFAO-Grec Unicode" w:hint="default"/>
          <w:rtl w:val="0"/>
        </w:rPr>
        <w:t xml:space="preserve">– </w:t>
      </w:r>
      <w:r>
        <w:rPr>
          <w:rFonts w:ascii="IFAO-Grec Unicode" w:hAnsi="IFAO-Grec Unicode"/>
          <w:rtl w:val="0"/>
          <w:lang w:val="en-US"/>
        </w:rPr>
        <w:t xml:space="preserve">14 CE, or ca. 16 BCE), </w:t>
      </w:r>
      <w:r>
        <w:rPr>
          <w:rFonts w:ascii="IFAO-Grec Unicode" w:hAnsi="IFAO-Grec Unicode" w:hint="default"/>
          <w:rtl w:val="1"/>
        </w:rPr>
        <w:t>‘</w:t>
      </w:r>
      <w:r>
        <w:rPr>
          <w:rFonts w:ascii="IFAO-Grec Unicode" w:hAnsi="IFAO-Grec Unicode"/>
          <w:rtl w:val="0"/>
          <w:lang w:val="it-IT"/>
        </w:rPr>
        <w:t>imprecise dating</w:t>
      </w:r>
      <w:r>
        <w:rPr>
          <w:rFonts w:ascii="IFAO-Grec Unicode" w:hAnsi="IFAO-Grec Unicode" w:hint="default"/>
          <w:rtl w:val="1"/>
        </w:rPr>
        <w:t xml:space="preserve">’ </w:t>
      </w:r>
      <w:r>
        <w:rPr>
          <w:rFonts w:ascii="IFAO-Grec Unicode" w:hAnsi="IFAO-Grec Unicode"/>
          <w:rtl w:val="0"/>
          <w:lang w:val="en-US"/>
        </w:rPr>
        <w:t>is applied.</w:t>
      </w:r>
      <w:r>
        <w:rPr>
          <w:rFonts w:ascii="IFAO-Grec Unicode" w:hAnsi="IFAO-Grec Unicode"/>
          <w:rtl w:val="0"/>
          <w:lang w:val="de-DE"/>
        </w:rPr>
        <w:t xml:space="preserve"> [[[</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rPr>
        <w:t>. 1</w:t>
      </w:r>
      <w:r>
        <w:rPr>
          <w:rFonts w:ascii="IFAO-Grec Unicode" w:hAnsi="IFAO-Grec Unicode"/>
          <w:rtl w:val="0"/>
          <w:lang w:val="en-US"/>
        </w:rPr>
        <w:t xml:space="preserve"> Distribution of papyri and ostraca, showing precise and imprecise dates.</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Because of the existence of several important clusters, the provenance and origin of the papyri and ostraca matter a lot. By provenance, one should understand the place where the document was found, which may differ from the place of origin, where the document was produced.</w:t>
      </w:r>
      <w:r>
        <w:rPr>
          <w:rFonts w:ascii="IFAO-Grec Unicode" w:cs="IFAO-Grec Unicode" w:hAnsi="IFAO-Grec Unicode" w:eastAsia="IFAO-Grec Unicode"/>
          <w:vertAlign w:val="superscript"/>
        </w:rPr>
        <w:footnoteReference w:id="11"/>
      </w:r>
      <w:r>
        <w:rPr>
          <w:rFonts w:ascii="IFAO-Grec Unicode" w:hAnsi="IFAO-Grec Unicode"/>
          <w:rtl w:val="0"/>
          <w:lang w:val="en-US"/>
        </w:rPr>
        <w:t xml:space="preserve"> In the present study, the topographical scale will be that of a nome (not a city, town, or village).</w:t>
      </w:r>
      <w:r>
        <w:rPr>
          <w:rFonts w:ascii="IFAO-Grec Unicode" w:cs="IFAO-Grec Unicode" w:hAnsi="IFAO-Grec Unicode" w:eastAsia="IFAO-Grec Unicode"/>
          <w:vertAlign w:val="superscript"/>
        </w:rPr>
        <w:footnoteReference w:id="12"/>
      </w:r>
      <w:r>
        <w:rPr>
          <w:rFonts w:ascii="IFAO-Grec Unicode" w:hAnsi="IFAO-Grec Unicode"/>
          <w:rtl w:val="0"/>
          <w:lang w:val="en-US"/>
        </w:rPr>
        <w:t xml:space="preserve"> Alexandria is considered at the same level as a nome, although </w:t>
      </w:r>
      <w:r>
        <w:rPr>
          <w:rFonts w:ascii="IFAO-Grec Unicode" w:hAnsi="IFAO-Grec Unicode" w:hint="default"/>
          <w:rtl w:val="0"/>
        </w:rPr>
        <w:t xml:space="preserve">– </w:t>
      </w:r>
      <w:r>
        <w:rPr>
          <w:rFonts w:ascii="IFAO-Grec Unicode" w:hAnsi="IFAO-Grec Unicode"/>
          <w:rtl w:val="0"/>
          <w:lang w:val="en-US"/>
        </w:rPr>
        <w:t xml:space="preserve">strictly speaking </w:t>
      </w:r>
      <w:r>
        <w:rPr>
          <w:rFonts w:ascii="IFAO-Grec Unicode" w:hAnsi="IFAO-Grec Unicode" w:hint="default"/>
          <w:rtl w:val="0"/>
        </w:rPr>
        <w:t xml:space="preserve">– </w:t>
      </w:r>
      <w:r>
        <w:rPr>
          <w:rFonts w:ascii="IFAO-Grec Unicode" w:hAnsi="IFAO-Grec Unicode"/>
          <w:rtl w:val="0"/>
          <w:lang w:val="en-US"/>
        </w:rPr>
        <w:t xml:space="preserve">it does not belong to Egypt. The provenance of some ostraca is vaguely given by their editors as </w:t>
      </w:r>
      <w:r>
        <w:rPr>
          <w:rFonts w:ascii="IFAO-Grec Unicode" w:hAnsi="IFAO-Grec Unicode" w:hint="default"/>
          <w:rtl w:val="1"/>
        </w:rPr>
        <w:t>‘</w:t>
      </w:r>
      <w:r>
        <w:rPr>
          <w:rFonts w:ascii="IFAO-Grec Unicode" w:hAnsi="IFAO-Grec Unicode"/>
          <w:rtl w:val="0"/>
        </w:rPr>
        <w:t>Upper Egypt</w:t>
      </w:r>
      <w:r>
        <w:rPr>
          <w:rFonts w:ascii="IFAO-Grec Unicode" w:hAnsi="IFAO-Grec Unicode" w:hint="default"/>
          <w:rtl w:val="1"/>
        </w:rPr>
        <w:t>’</w:t>
      </w:r>
      <w:r>
        <w:rPr>
          <w:rFonts w:ascii="IFAO-Grec Unicode" w:hAnsi="IFAO-Grec Unicode"/>
          <w:rtl w:val="0"/>
        </w:rPr>
        <w:t>.</w:t>
      </w:r>
      <w:r>
        <w:rPr>
          <w:rFonts w:ascii="IFAO-Grec Unicode" w:hAnsi="IFAO-Grec Unicode"/>
          <w:rtl w:val="0"/>
          <w:lang w:val="de-DE"/>
        </w:rPr>
        <w:t xml:space="preserve"> [[[</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rPr>
        <w:t>. 2</w:t>
      </w:r>
      <w:r>
        <w:rPr>
          <w:rFonts w:ascii="IFAO-Grec Unicode" w:hAnsi="IFAO-Grec Unicode"/>
          <w:rtl w:val="0"/>
          <w:lang w:val="en-US"/>
        </w:rPr>
        <w:t xml:space="preserve"> Geographical distribution.</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Entries were ordered according to their location along the Nile Valley, upstream from Alexandria to Elephantine: for the period under consideration, with the exception of the Arsinoite nome, where beside papyri a considerable number of ostraca are recorded, in the northern part of Egypt (including the Oxyrhynchite nome) the available material consists of papyri only; conversely, starting around the Coptos area southwards, ostraca predominate massively, with only a handful of papyri on record.</w:t>
      </w:r>
      <w:r>
        <w:rPr>
          <w:rFonts w:ascii="IFAO-Grec Unicode" w:cs="IFAO-Grec Unicode" w:hAnsi="IFAO-Grec Unicode" w:eastAsia="IFAO-Grec Unicode"/>
          <w:vertAlign w:val="superscript"/>
        </w:rPr>
        <w:footnoteReference w:id="13"/>
      </w:r>
      <w:r>
        <w:rPr>
          <w:rFonts w:ascii="IFAO-Grec Unicode" w:hAnsi="IFAO-Grec Unicode"/>
          <w:rtl w:val="0"/>
          <w:lang w:val="en-US"/>
        </w:rPr>
        <w:t xml:space="preserve"> It should also be noted that the Hermopolite nome, which has yielded many papyri from the Roman and Byzantine periods, is virtually absent from the data, with a single item in the period under consideration.</w:t>
      </w:r>
      <w:r>
        <w:rPr>
          <w:rFonts w:ascii="IFAO-Grec Unicode" w:cs="IFAO-Grec Unicode" w:hAnsi="IFAO-Grec Unicode" w:eastAsia="IFAO-Grec Unicode"/>
          <w:vertAlign w:val="superscript"/>
        </w:rPr>
        <w:footnoteReference w:id="14"/>
      </w:r>
    </w:p>
    <w:p>
      <w:pPr>
        <w:pStyle w:val="Body"/>
        <w:rPr>
          <w:rFonts w:ascii="IFAO-Grec Unicode" w:cs="IFAO-Grec Unicode" w:hAnsi="IFAO-Grec Unicode" w:eastAsia="IFAO-Grec Unicode"/>
        </w:rPr>
      </w:pPr>
      <w:r>
        <w:rPr>
          <w:rFonts w:ascii="IFAO-Grec Unicode" w:hAnsi="IFAO-Grec Unicode"/>
          <w:rtl w:val="0"/>
          <w:lang w:val="en-US"/>
        </w:rPr>
        <w:t>The distribution of sources is rendered even less balanced by the fact that, among the groups of papyri that will be discussed below, several of them were extracted from the same ensemble of mummy cartonnage found on the site of ancient Busiris, in the Herakleopolite nome (today Abusir al-Malaq, close to Beni Suef, between the Nile Valley and Medinet el-Fayum), which was excavated by Otto Rubensohn in 1903, 1904, and 1908.</w:t>
      </w:r>
      <w:r>
        <w:rPr>
          <w:rFonts w:ascii="IFAO-Grec Unicode" w:cs="IFAO-Grec Unicode" w:hAnsi="IFAO-Grec Unicode" w:eastAsia="IFAO-Grec Unicode"/>
          <w:vertAlign w:val="superscript"/>
        </w:rPr>
        <w:footnoteReference w:id="15"/>
      </w:r>
    </w:p>
    <w:p>
      <w:pPr>
        <w:pStyle w:val="Body"/>
        <w:rPr>
          <w:rFonts w:ascii="IFAO-Grec Unicode" w:cs="IFAO-Grec Unicode" w:hAnsi="IFAO-Grec Unicode" w:eastAsia="IFAO-Grec Unicode"/>
        </w:rPr>
      </w:pPr>
      <w:r>
        <w:rPr>
          <w:rFonts w:ascii="IFAO-Grec Unicode" w:hAnsi="IFAO-Grec Unicode"/>
          <w:rtl w:val="0"/>
          <w:lang w:val="en-US"/>
        </w:rPr>
        <w:t>Every document on record in the period from 51 BCE till 14 CE was given a preliminary examination, with a focus on the provenance and origin, the date, and the text. All images available online were checked, and in most cases, when a print illustration was at hand, it was also examined.</w:t>
      </w:r>
      <w:r>
        <w:rPr>
          <w:rFonts w:ascii="IFAO-Grec Unicode" w:cs="IFAO-Grec Unicode" w:hAnsi="IFAO-Grec Unicode" w:eastAsia="IFAO-Grec Unicode"/>
          <w:vertAlign w:val="superscript"/>
        </w:rPr>
        <w:footnoteReference w:id="16"/>
      </w:r>
      <w:r>
        <w:rPr>
          <w:rFonts w:ascii="IFAO-Grec Unicode" w:hAnsi="IFAO-Grec Unicode"/>
          <w:rtl w:val="0"/>
          <w:lang w:val="en-US"/>
        </w:rPr>
        <w:t xml:space="preserve"> Regarding geographical place of origin, the level of the nome seemed to provide an appropriate criterion; likewise, regarding typology, documents were grouped not according to specific labels, but to general types: contract, declaration, letter, list, official proceedings, order, petition, and receipt, and other (i.e. five decrees on papyrus, six dates on ostraca).</w:t>
      </w:r>
      <w:r>
        <w:rPr>
          <w:rFonts w:ascii="IFAO-Grec Unicode" w:hAnsi="IFAO-Grec Unicode"/>
          <w:rtl w:val="0"/>
          <w:lang w:val="de-DE"/>
        </w:rPr>
        <w:t xml:space="preserve"> [[[</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rPr>
        <w:t>. 3</w:t>
      </w:r>
      <w:r>
        <w:rPr>
          <w:rFonts w:ascii="IFAO-Grec Unicode" w:hAnsi="IFAO-Grec Unicode"/>
          <w:rtl w:val="0"/>
          <w:lang w:val="en-US"/>
        </w:rPr>
        <w:t xml:space="preserve"> Distribution by types.</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If we combine the information about geographical distribution and types of documents, it appears that ostraca in the period under consideration are for the most part receipts (tax, bank payment, delivery etc.) from Upper Egypt (starting around Coptos). They are nonetheless important for the overall picture because they provide separate evidence on the black hole of 30 BCE, to which we must now turn.</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General trends</w:t>
      </w:r>
    </w:p>
    <w:p>
      <w:pPr>
        <w:pStyle w:val="Body"/>
        <w:rPr>
          <w:rFonts w:ascii="IFAO-Grec Unicode" w:cs="IFAO-Grec Unicode" w:hAnsi="IFAO-Grec Unicode" w:eastAsia="IFAO-Grec Unicode"/>
        </w:rPr>
      </w:pPr>
      <w:r>
        <w:rPr>
          <w:rFonts w:ascii="IFAO-Grec Unicode" w:hAnsi="IFAO-Grec Unicode"/>
          <w:rtl w:val="0"/>
          <w:lang w:val="en-US"/>
        </w:rPr>
        <w:t>One may first consider the general appearance of the data, considering only documents with a precise dating, papyri and ostraca, from all areas of Egypt, including all types of texts, year by year. In the graph presented below, the vertical axis corresponds to the years of the reigns of Cleopatra and Augustus, starting from the bottom (51 BCE) and moving upwards (till 14 CE). On the horizontal axis, each dot or short line corresponds to the quantity of documents attested for a given year and is positioned to indicate the cumulative amount of material, year after year.</w:t>
      </w:r>
    </w:p>
    <w:p>
      <w:pPr>
        <w:pStyle w:val="Body"/>
        <w:rPr>
          <w:rFonts w:ascii="IFAO-Grec Unicode" w:cs="IFAO-Grec Unicode" w:hAnsi="IFAO-Grec Unicode" w:eastAsia="IFAO-Grec Unicode"/>
        </w:rPr>
      </w:pPr>
      <w:r>
        <w:rPr>
          <w:rFonts w:ascii="IFAO-Grec Unicode" w:hAnsi="IFAO-Grec Unicode"/>
          <w:rtl w:val="0"/>
          <w:lang w:val="en-US"/>
        </w:rPr>
        <w:t>Overall, the scarcer the documents for a given year or period, the steeper the slope of the curve. In the top right portion of the graph, a regular progression of testimonies appears from ca. 19 BCE till 14 CE. This corresponds to what one would expect in an ideal situation where the production of documents at the time was even, and where a large quantity of material compensates for irregularities produced by the chance discovery of papyri and ostraca in various locations in Egypt. The steep curve in the bottom left portion of the graph, however, with a total absence of testimonies in the years 40, 39, 38, 36, 33, and 31 BCE, suggests an anomaly in the distribution of the material in the years preceding the end of the Ptolemaic dynasty.</w:t>
      </w:r>
    </w:p>
    <w:p>
      <w:pPr>
        <w:pStyle w:val="Body"/>
        <w:rPr>
          <w:rFonts w:ascii="IFAO-Grec Unicode" w:cs="IFAO-Grec Unicode" w:hAnsi="IFAO-Grec Unicode" w:eastAsia="IFAO-Grec Unicode"/>
        </w:rPr>
      </w:pPr>
      <w:r>
        <w:rPr>
          <w:rFonts w:ascii="IFAO-Grec Unicode" w:hAnsi="IFAO-Grec Unicode"/>
          <w:rtl w:val="0"/>
          <w:lang w:val="en-US"/>
        </w:rPr>
        <w:t>As mentioned above, two major hypotheses may explain this phenomenon:</w:t>
      </w:r>
    </w:p>
    <w:p>
      <w:pPr>
        <w:pStyle w:val="List Paragraph"/>
        <w:numPr>
          <w:ilvl w:val="0"/>
          <w:numId w:val="2"/>
        </w:numPr>
        <w:rPr>
          <w:rFonts w:ascii="IFAO-Grec Unicode" w:hAnsi="IFAO-Grec Unicode"/>
          <w:lang w:val="en-US"/>
        </w:rPr>
      </w:pPr>
      <w:r>
        <w:rPr>
          <w:rFonts w:ascii="IFAO-Grec Unicode" w:hAnsi="IFAO-Grec Unicode"/>
          <w:rtl w:val="0"/>
          <w:lang w:val="en-US"/>
        </w:rPr>
        <w:t>The presence of clusters, both in terms of location and of types of documents, may have influenced the data. The availability of papyri and ostraca is determined to a large extent by chance discovery.</w:t>
      </w:r>
    </w:p>
    <w:p>
      <w:pPr>
        <w:pStyle w:val="List Paragraph"/>
        <w:numPr>
          <w:ilvl w:val="0"/>
          <w:numId w:val="2"/>
        </w:numPr>
        <w:rPr>
          <w:rFonts w:ascii="IFAO-Grec Unicode" w:hAnsi="IFAO-Grec Unicode"/>
          <w:lang w:val="en-US"/>
        </w:rPr>
      </w:pPr>
      <w:r>
        <w:rPr>
          <w:rFonts w:ascii="IFAO-Grec Unicode" w:hAnsi="IFAO-Grec Unicode"/>
          <w:rtl w:val="0"/>
          <w:lang w:val="en-US"/>
        </w:rPr>
        <w:t>The scarcity of papyri and ostraca in the last years of the Ptolemaic dynasty reflects a widespread downfall in administrative activity, caused by a collapse of central power.</w:t>
      </w:r>
      <w:r>
        <w:rPr>
          <w:rFonts w:ascii="IFAO-Grec Unicode" w:hAnsi="IFAO-Grec Unicode"/>
          <w:rtl w:val="0"/>
          <w:lang w:val="de-DE"/>
        </w:rPr>
        <w:t xml:space="preserve"> [[[</w:t>
      </w:r>
      <w:r>
        <w:rPr>
          <w:rFonts w:ascii="IFAO-Grec Unicode" w:hAnsi="IFAO-Grec Unicode"/>
          <w:b w:val="1"/>
          <w:bCs w:val="1"/>
          <w:rtl w:val="0"/>
          <w:lang w:val="en-US"/>
        </w:rPr>
        <w:t>F</w:t>
      </w:r>
      <w:r>
        <w:rPr>
          <w:rFonts w:ascii="IFAO-Grec Unicode" w:hAnsi="IFAO-Grec Unicode"/>
          <w:b w:val="1"/>
          <w:bCs w:val="1"/>
          <w:rtl w:val="0"/>
          <w:lang w:val="de-DE"/>
        </w:rPr>
        <w:t>IG</w:t>
      </w:r>
      <w:r>
        <w:rPr>
          <w:rFonts w:ascii="IFAO-Grec Unicode" w:hAnsi="IFAO-Grec Unicode"/>
          <w:b w:val="1"/>
          <w:bCs w:val="1"/>
          <w:rtl w:val="0"/>
          <w:lang w:val="en-US"/>
        </w:rPr>
        <w:t>. 4</w:t>
      </w:r>
      <w:r>
        <w:rPr>
          <w:rFonts w:ascii="IFAO-Grec Unicode" w:hAnsi="IFAO-Grec Unicode"/>
          <w:rtl w:val="0"/>
          <w:lang w:val="en-US"/>
        </w:rPr>
        <w:t xml:space="preserve"> Chronological distribution, by year.</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The graph shown above combines both ostraca and papyri. Considering the two writing supports separately, the curves are similar, with scarcer testimonies from the late 40s till the early 20s, when the slope becomes regular again. Since ostraca come mainly from Upper Egypt, and papyri mainly from Lower Egypt, the consistency in the data speaks against hypothesis a), according to which the chance of discovery may have distorted the state of our documentation.</w:t>
      </w:r>
      <w:r>
        <w:rPr>
          <w:rFonts w:ascii="IFAO-Grec Unicode" w:hAnsi="IFAO-Grec Unicode"/>
          <w:rtl w:val="0"/>
          <w:lang w:val="de-DE"/>
        </w:rPr>
        <w:t xml:space="preserve"> [[[</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lang w:val="en-US"/>
        </w:rPr>
        <w:t>. 5 and 6</w:t>
      </w:r>
      <w:r>
        <w:rPr>
          <w:rFonts w:ascii="IFAO-Grec Unicode" w:hAnsi="IFAO-Grec Unicode"/>
          <w:rtl w:val="0"/>
          <w:lang w:val="en-US"/>
        </w:rPr>
        <w:t xml:space="preserve"> Chronological distribution, separating papyri and ostraca.</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Clusters do not account for all available documents. It may therefore be assumed that scribal activity was impeded in the last decade of Cleopatra</w:t>
      </w:r>
      <w:r>
        <w:rPr>
          <w:rFonts w:ascii="IFAO-Grec Unicode" w:hAnsi="IFAO-Grec Unicode" w:hint="default"/>
          <w:rtl w:val="1"/>
        </w:rPr>
        <w:t>’</w:t>
      </w:r>
      <w:r>
        <w:rPr>
          <w:rFonts w:ascii="IFAO-Grec Unicode" w:hAnsi="IFAO-Grec Unicode"/>
          <w:rtl w:val="0"/>
          <w:lang w:val="en-US"/>
        </w:rPr>
        <w:t>s reign, perhaps due to both economic and political circumstances (see above), and that Augustus somehow restored some order in the new province of Egypt, so that scribal activity became once more regular.</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rPr>
        <w:t>Clusters</w:t>
      </w:r>
    </w:p>
    <w:p>
      <w:pPr>
        <w:pStyle w:val="Body"/>
        <w:rPr>
          <w:rFonts w:ascii="IFAO-Grec Unicode" w:cs="IFAO-Grec Unicode" w:hAnsi="IFAO-Grec Unicode" w:eastAsia="IFAO-Grec Unicode"/>
        </w:rPr>
      </w:pPr>
      <w:r>
        <w:rPr>
          <w:rFonts w:ascii="IFAO-Grec Unicode" w:hAnsi="IFAO-Grec Unicode"/>
          <w:rtl w:val="0"/>
          <w:lang w:val="en-US"/>
        </w:rPr>
        <w:t>Letters from the Athenodoros Archive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Many letters from the Herakleopolite nome are preserved in Berlin. They belong to the large ensemble of papyri extracted from mummy cartonnage found in Abusir al-Malaq (see above). This specific batch is known as the Athenodoros Archive, named after an estate manager.</w:t>
      </w:r>
      <w:r>
        <w:rPr>
          <w:rFonts w:ascii="IFAO-Grec Unicode" w:cs="IFAO-Grec Unicode" w:hAnsi="IFAO-Grec Unicode" w:eastAsia="IFAO-Grec Unicode"/>
          <w:vertAlign w:val="superscript"/>
        </w:rPr>
        <w:footnoteReference w:id="17"/>
      </w:r>
      <w:r>
        <w:rPr>
          <w:rFonts w:ascii="IFAO-Grec Unicode" w:hAnsi="IFAO-Grec Unicode"/>
          <w:rtl w:val="0"/>
          <w:lang w:val="en-US"/>
        </w:rPr>
        <w:t xml:space="preserve"> There are 74 documents on record, mostly letters (also one uncertain and one related item), dating from 25 BCE till 1 CE.</w:t>
      </w:r>
    </w:p>
    <w:p>
      <w:pPr>
        <w:pStyle w:val="Body"/>
        <w:rPr>
          <w:rFonts w:ascii="IFAO-Grec Unicode" w:cs="IFAO-Grec Unicode" w:hAnsi="IFAO-Grec Unicode" w:eastAsia="IFAO-Grec Unicode"/>
        </w:rPr>
      </w:pPr>
      <w:r>
        <w:rPr>
          <w:rFonts w:ascii="IFAO-Grec Unicode" w:hAnsi="IFAO-Grec Unicode"/>
          <w:rtl w:val="0"/>
          <w:lang w:val="en-US"/>
        </w:rPr>
        <w:t xml:space="preserve">In this archive, the scribes who produced the letters followed unstated rules that give a regular consistency to the lot. The format and layout, as well as some variations, make it possible to establish these basic rules. With very few exceptions </w:t>
      </w:r>
      <w:r>
        <w:rPr>
          <w:rFonts w:ascii="IFAO-Grec Unicode" w:hAnsi="IFAO-Grec Unicode" w:hint="default"/>
          <w:rtl w:val="0"/>
        </w:rPr>
        <w:t xml:space="preserve">– </w:t>
      </w:r>
      <w:r>
        <w:rPr>
          <w:rFonts w:ascii="IFAO-Grec Unicode" w:hAnsi="IFAO-Grec Unicode"/>
          <w:rtl w:val="0"/>
          <w:lang w:val="en-US"/>
        </w:rPr>
        <w:t xml:space="preserve">some of which will be addressed below </w:t>
      </w:r>
      <w:r>
        <w:rPr>
          <w:rFonts w:ascii="IFAO-Grec Unicode" w:hAnsi="IFAO-Grec Unicode" w:hint="default"/>
          <w:rtl w:val="0"/>
        </w:rPr>
        <w:t xml:space="preserve">– </w:t>
      </w:r>
      <w:r>
        <w:rPr>
          <w:rFonts w:ascii="IFAO-Grec Unicode" w:hAnsi="IFAO-Grec Unicode"/>
          <w:rtl w:val="0"/>
          <w:lang w:val="en-US"/>
        </w:rPr>
        <w:t xml:space="preserve">the scribes make use of the so-called </w:t>
      </w:r>
      <w:r>
        <w:rPr>
          <w:rFonts w:ascii="IFAO-Grec Unicode" w:hAnsi="IFAO-Grec Unicode"/>
          <w:rtl w:val="0"/>
          <w:lang w:val="it-IT"/>
        </w:rPr>
        <w:t>pagina</w:t>
      </w:r>
      <w:r>
        <w:rPr>
          <w:rFonts w:ascii="IFAO-Grec Unicode" w:hAnsi="IFAO-Grec Unicode"/>
          <w:rtl w:val="0"/>
          <w:lang w:val="en-US"/>
        </w:rPr>
        <w:t xml:space="preserve"> format, i.e. a vertical sheet of papyrus cut from a roll, the height of the sheet being about twice its width. The height of the sheet varies from ca. 17 cm to ca. 33 cm, depending on the original height of the roll.</w:t>
      </w:r>
      <w:r>
        <w:rPr>
          <w:rFonts w:ascii="IFAO-Grec Unicode" w:cs="IFAO-Grec Unicode" w:hAnsi="IFAO-Grec Unicode" w:eastAsia="IFAO-Grec Unicode"/>
          <w:vertAlign w:val="superscript"/>
        </w:rPr>
        <w:footnoteReference w:id="18"/>
      </w:r>
      <w:r>
        <w:rPr>
          <w:rFonts w:ascii="IFAO-Grec Unicode" w:hAnsi="IFAO-Grec Unicode"/>
          <w:rtl w:val="0"/>
          <w:lang w:val="en-US"/>
        </w:rPr>
        <w:t xml:space="preserve"> The scribe has little control over this parameter, unless he chooses to cut part of the height of the sheet.</w:t>
      </w:r>
      <w:r>
        <w:rPr>
          <w:rFonts w:ascii="IFAO-Grec Unicode" w:cs="IFAO-Grec Unicode" w:hAnsi="IFAO-Grec Unicode" w:eastAsia="IFAO-Grec Unicode"/>
          <w:vertAlign w:val="superscript"/>
        </w:rPr>
        <w:footnoteReference w:id="19"/>
      </w:r>
      <w:r>
        <w:rPr>
          <w:rFonts w:ascii="IFAO-Grec Unicode" w:hAnsi="IFAO-Grec Unicode"/>
          <w:rtl w:val="0"/>
          <w:lang w:val="en-US"/>
        </w:rPr>
        <w:t xml:space="preserve"> He has more freedom to adapt the width of the sheet to the purpose of the document and to the amount of text he plans to write. The fibres are almost invariably horizontal.</w:t>
      </w:r>
      <w:r>
        <w:rPr>
          <w:rFonts w:ascii="IFAO-Grec Unicode" w:cs="IFAO-Grec Unicode" w:hAnsi="IFAO-Grec Unicode" w:eastAsia="IFAO-Grec Unicode"/>
          <w:vertAlign w:val="superscript"/>
        </w:rPr>
        <w:footnoteReference w:id="20"/>
      </w:r>
    </w:p>
    <w:p>
      <w:pPr>
        <w:pStyle w:val="Body"/>
        <w:rPr>
          <w:rFonts w:ascii="IFAO-Grec Unicode" w:cs="IFAO-Grec Unicode" w:hAnsi="IFAO-Grec Unicode" w:eastAsia="IFAO-Grec Unicode"/>
        </w:rPr>
      </w:pPr>
      <w:r>
        <w:rPr>
          <w:rFonts w:ascii="IFAO-Grec Unicode" w:hAnsi="IFAO-Grec Unicode"/>
          <w:rtl w:val="0"/>
          <w:lang w:val="en-US"/>
        </w:rPr>
        <w:t>The text to be written is then placed so as to leave ample margins at the top and the bottom, and a narrower margin on the left. On the right, the scribe aligns his text as much as possible, (more on this below). When the sheet is detached from the roll, some stray strokes may stick out of the alignment. Therefore, a narrow margin prevents those strokes from protruding too much into what will become the next sheet on the roll.</w:t>
      </w:r>
      <w:r>
        <w:rPr>
          <w:rFonts w:ascii="IFAO-Grec Unicode" w:cs="IFAO-Grec Unicode" w:hAnsi="IFAO-Grec Unicode" w:eastAsia="IFAO-Grec Unicode"/>
          <w:vertAlign w:val="superscript"/>
        </w:rPr>
        <w:footnoteReference w:id="21"/>
      </w:r>
      <w:r>
        <w:rPr>
          <w:rFonts w:ascii="IFAO-Grec Unicode" w:hAnsi="IFAO-Grec Unicode"/>
          <w:rtl w:val="0"/>
          <w:lang w:val="en-US"/>
        </w:rPr>
        <w:t xml:space="preserve"> This layout may be applied by a well-trained scribe with an elegant hand, as in the case displayed below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en-US"/>
        </w:rPr>
        <w:t xml:space="preserve">), or by a scribe with a lower level of competence (e.g.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"https://papyri.info/hgv/23351"</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2627</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 xml:space="preserve"> [[[</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7</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"https://papyri.info/hgv/23375"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25183.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"https://berlpap.smb.museum/05095/"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https://berlpap.smb.museum/05095/</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In the letter displayed here, as in other conspicuous cases, the line-spacing is quite generous; the scribe took special care to center vertically his block of text.</w:t>
      </w:r>
      <w:r>
        <w:rPr>
          <w:rFonts w:ascii="IFAO-Grec Unicode" w:cs="IFAO-Grec Unicode" w:hAnsi="IFAO-Grec Unicode" w:eastAsia="IFAO-Grec Unicode"/>
          <w:vertAlign w:val="superscript"/>
        </w:rPr>
        <w:footnoteReference w:id="22"/>
      </w:r>
      <w:r>
        <w:rPr>
          <w:rFonts w:ascii="IFAO-Grec Unicode" w:hAnsi="IFAO-Grec Unicode"/>
          <w:rtl w:val="0"/>
          <w:lang w:val="en-US"/>
        </w:rPr>
        <w:t xml:space="preserve"> The line-spacing is in itself unsurprising: in the third century BCE the scribes in the service of Apollonios, Ptolemy II Philadelphos</w:t>
      </w:r>
      <w:r>
        <w:rPr>
          <w:rFonts w:ascii="IFAO-Grec Unicode" w:hAnsi="IFAO-Grec Unicode" w:hint="default"/>
          <w:rtl w:val="1"/>
        </w:rPr>
        <w:t xml:space="preserve">’ </w:t>
      </w:r>
      <w:r>
        <w:rPr>
          <w:rFonts w:ascii="IFAO-Grec Unicode" w:hAnsi="IFAO-Grec Unicode"/>
          <w:rtl w:val="0"/>
          <w:lang w:val="en-US"/>
        </w:rPr>
        <w:t xml:space="preserve">finance minister, already produced a neat layout by inserting a generous space between the lines of their letters, as in the well-known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"https://papyri.info/hgv/2136"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5 514</w:t>
      </w:r>
      <w:r>
        <w:rPr>
          <w:rFonts w:ascii="IFAO-Grec Unicode" w:cs="IFAO-Grec Unicode" w:hAnsi="IFAO-Grec Unicode" w:eastAsia="IFAO-Grec Unicode"/>
        </w:rPr>
        <w:fldChar w:fldCharType="end" w:fldLock="0"/>
      </w:r>
      <w:r>
        <w:rPr>
          <w:rFonts w:ascii="IFAO-Grec Unicode" w:hAnsi="IFAO-Grec Unicode"/>
          <w:rtl w:val="0"/>
          <w:lang w:val="en-US"/>
        </w:rPr>
        <w:t xml:space="preserve"> (251 BCE, Philadelphia, found in Philadelphia, written in Alexandria). In this earlier instance, however, the difference lies in the use of a horizontal format and in the narrower margins.</w:t>
      </w:r>
    </w:p>
    <w:p>
      <w:pPr>
        <w:pStyle w:val="Body"/>
        <w:rPr>
          <w:rFonts w:ascii="IFAO-Grec Unicode" w:cs="IFAO-Grec Unicode" w:hAnsi="IFAO-Grec Unicode" w:eastAsia="IFAO-Grec Unicode"/>
        </w:rPr>
      </w:pPr>
      <w:r>
        <w:rPr>
          <w:rFonts w:ascii="IFAO-Grec Unicode" w:hAnsi="IFAO-Grec Unicode"/>
          <w:rtl w:val="0"/>
          <w:lang w:val="en-US"/>
        </w:rPr>
        <w:t xml:space="preserve">The basic pattern found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en-US"/>
        </w:rPr>
        <w:t xml:space="preserve"> appears in other documents of the archive, although the re-use of the papyrus in mummy cartonnage may have caused the loss of a part of the sheet.</w:t>
      </w:r>
      <w:r>
        <w:rPr>
          <w:rFonts w:ascii="IFAO-Grec Unicode" w:cs="IFAO-Grec Unicode" w:hAnsi="IFAO-Grec Unicode" w:eastAsia="IFAO-Grec Unicode"/>
          <w:vertAlign w:val="superscript"/>
        </w:rPr>
        <w:footnoteReference w:id="23"/>
      </w:r>
      <w:r>
        <w:rPr>
          <w:rFonts w:ascii="IFAO-Grec Unicode" w:hAnsi="IFAO-Grec Unicode"/>
          <w:rtl w:val="0"/>
          <w:lang w:val="en-US"/>
        </w:rPr>
        <w:t xml:space="preserve"> This is not limited to letters from the Athenodoros archive: on the contrary, in the description of other clusters below, as well as in some other isolated cases, it appears that there is a consistent pattern.</w:t>
      </w:r>
      <w:r>
        <w:rPr>
          <w:rFonts w:ascii="IFAO-Grec Unicode" w:cs="IFAO-Grec Unicode" w:hAnsi="IFAO-Grec Unicode" w:eastAsia="IFAO-Grec Unicode"/>
          <w:vertAlign w:val="superscript"/>
        </w:rPr>
        <w:footnoteReference w:id="24"/>
      </w:r>
      <w:r>
        <w:rPr>
          <w:rFonts w:ascii="IFAO-Grec Unicode" w:hAnsi="IFAO-Grec Unicode"/>
          <w:rtl w:val="0"/>
          <w:lang w:val="en-US"/>
        </w:rPr>
        <w:t xml:space="preserve"> Centering the text vertically requires some guesswork on the part of the scribe and it is more easily done with a short text, as in the example illustrated above. In one specific case, presumably because of the extreme shortness of the planned text, the scribe cut a small sheet (H 16 cm x W 8.8 cm) where he placed four brief lines, using a similar layout, but in a miniature sizing.</w:t>
      </w:r>
      <w:r>
        <w:rPr>
          <w:rFonts w:ascii="IFAO-Grec Unicode" w:cs="IFAO-Grec Unicode" w:hAnsi="IFAO-Grec Unicode" w:eastAsia="IFAO-Grec Unicode"/>
          <w:vertAlign w:val="superscript"/>
        </w:rPr>
        <w:footnoteReference w:id="25"/>
      </w:r>
      <w:r>
        <w:rPr>
          <w:rFonts w:ascii="IFAO-Grec Unicode" w:hAnsi="IFAO-Grec Unicode"/>
          <w:rtl w:val="0"/>
          <w:lang w:val="en-US"/>
        </w:rPr>
        <w:t xml:space="preserve"> If the text turns out to be shorter than the scribe has anticipated, he is left with a more generous bottom margin, thus spoiling the impression of symmetry.</w:t>
      </w:r>
      <w:r>
        <w:rPr>
          <w:rFonts w:ascii="IFAO-Grec Unicode" w:cs="IFAO-Grec Unicode" w:hAnsi="IFAO-Grec Unicode" w:eastAsia="IFAO-Grec Unicode"/>
          <w:vertAlign w:val="superscript"/>
        </w:rPr>
        <w:footnoteReference w:id="26"/>
      </w:r>
      <w:r>
        <w:rPr>
          <w:rFonts w:ascii="IFAO-Grec Unicode" w:hAnsi="IFAO-Grec Unicode"/>
          <w:rtl w:val="0"/>
          <w:lang w:val="en-US"/>
        </w:rPr>
        <w:t xml:space="preserve"> Conversely, when the text turns out to be longer, he may try to accommodate the layout in advance, by reducing either the line spacing, or the width of the left margin.</w:t>
      </w:r>
      <w:r>
        <w:rPr>
          <w:rFonts w:ascii="IFAO-Grec Unicode" w:cs="IFAO-Grec Unicode" w:hAnsi="IFAO-Grec Unicode" w:eastAsia="IFAO-Grec Unicode"/>
          <w:vertAlign w:val="superscript"/>
        </w:rPr>
        <w:footnoteReference w:id="27"/>
      </w:r>
      <w:r>
        <w:rPr>
          <w:rFonts w:ascii="IFAO-Grec Unicode" w:hAnsi="IFAO-Grec Unicode"/>
          <w:rtl w:val="0"/>
          <w:lang w:val="en-US"/>
        </w:rPr>
        <w:t xml:space="preserve"> He may also encroach on the bottom margin, sometimes squeezing the last lines into the bottom part of the sheet.</w:t>
      </w:r>
      <w:r>
        <w:rPr>
          <w:rFonts w:ascii="IFAO-Grec Unicode" w:cs="IFAO-Grec Unicode" w:hAnsi="IFAO-Grec Unicode" w:eastAsia="IFAO-Grec Unicode"/>
          <w:vertAlign w:val="superscript"/>
        </w:rPr>
        <w:footnoteReference w:id="28"/>
      </w:r>
      <w:r>
        <w:rPr>
          <w:rFonts w:ascii="IFAO-Grec Unicode" w:hAnsi="IFAO-Grec Unicode"/>
          <w:rtl w:val="0"/>
          <w:lang w:val="en-US"/>
        </w:rPr>
        <w:t xml:space="preserve"> In one extreme case, for lack of space at the bottom, a scribe placed the closing salutation and date in the top margin.</w:t>
      </w:r>
      <w:r>
        <w:rPr>
          <w:rFonts w:ascii="IFAO-Grec Unicode" w:cs="IFAO-Grec Unicode" w:hAnsi="IFAO-Grec Unicode" w:eastAsia="IFAO-Grec Unicode"/>
          <w:vertAlign w:val="superscript"/>
        </w:rPr>
        <w:footnoteReference w:id="29"/>
      </w:r>
      <w:r>
        <w:rPr>
          <w:rFonts w:ascii="IFAO-Grec Unicode" w:hAnsi="IFAO-Grec Unicode"/>
          <w:rtl w:val="0"/>
          <w:lang w:val="en-US"/>
        </w:rPr>
        <w:t xml:space="preserve"> The ample lower margin may also be used for the addition of a note to the letter.</w:t>
      </w:r>
      <w:r>
        <w:rPr>
          <w:rFonts w:ascii="IFAO-Grec Unicode" w:cs="IFAO-Grec Unicode" w:hAnsi="IFAO-Grec Unicode" w:eastAsia="IFAO-Grec Unicode"/>
          <w:vertAlign w:val="superscript"/>
        </w:rPr>
        <w:footnoteReference w:id="30"/>
      </w:r>
    </w:p>
    <w:p>
      <w:pPr>
        <w:pStyle w:val="Body"/>
        <w:rPr>
          <w:rFonts w:ascii="IFAO-Grec Unicode" w:cs="IFAO-Grec Unicode" w:hAnsi="IFAO-Grec Unicode" w:eastAsia="IFAO-Grec Unicode"/>
        </w:rPr>
      </w:pPr>
      <w:r>
        <w:rPr>
          <w:rFonts w:ascii="IFAO-Grec Unicode" w:hAnsi="IFAO-Grec Unicode"/>
          <w:rtl w:val="0"/>
          <w:lang w:val="en-US"/>
        </w:rPr>
        <w:t xml:space="preserve">The relative homogeneity of the set of letters found in the Athenodoros Archive raises the question of whether the rules applied by these scribes were specific to a narrow local environment and to the writing of letters </w:t>
      </w:r>
      <w:r>
        <w:rPr>
          <w:rFonts w:ascii="IFAO-Grec Unicode" w:hAnsi="IFAO-Grec Unicode"/>
          <w:rtl w:val="0"/>
          <w:lang w:val="es-ES_tradnl"/>
        </w:rPr>
        <w:t>stricto sensu</w:t>
      </w:r>
      <w:r>
        <w:rPr>
          <w:rFonts w:ascii="IFAO-Grec Unicode" w:hAnsi="IFAO-Grec Unicode"/>
          <w:rtl w:val="0"/>
          <w:lang w:val="en-US"/>
        </w:rPr>
        <w:t xml:space="preserve">, or if they were also in use among scribes following the letter form for various purposes in other parts of Egypt. In the Herakleopolite nome, but outside the frame of the Athenodoros Archive, a document in letter form (no </w:t>
      </w:r>
      <w:r>
        <w:rPr>
          <w:rFonts w:ascii="IFAO-Grec Unicode" w:hAnsi="IFAO-Grec Unicode" w:hint="default"/>
          <w:rtl w:val="0"/>
        </w:rPr>
        <w:t>ἔρρωσο</w:t>
      </w:r>
      <w:r>
        <w:rPr>
          <w:rFonts w:ascii="IFAO-Grec Unicode" w:hAnsi="IFAO-Grec Unicode"/>
          <w:rtl w:val="0"/>
          <w:lang w:val="en-US"/>
        </w:rPr>
        <w:t xml:space="preserve"> at the end)</w:t>
      </w:r>
      <w:r>
        <w:rPr>
          <w:rFonts w:ascii="IFAO-Grec Unicode" w:hAnsi="IFAO-Grec Unicode"/>
          <w:rtl w:val="0"/>
          <w:lang w:val="en-US"/>
        </w:rPr>
        <w:t xml:space="preserve"> establishing the foundation of a temple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1202</w:t>
      </w:r>
      <w:r>
        <w:rPr>
          <w:rFonts w:ascii="IFAO-Grec Unicode" w:cs="IFAO-Grec Unicode" w:hAnsi="IFAO-Grec Unicode" w:eastAsia="IFAO-Grec Unicode"/>
        </w:rPr>
        <w:fldChar w:fldCharType="end" w:fldLock="0"/>
      </w:r>
      <w:r>
        <w:rPr>
          <w:rFonts w:ascii="IFAO-Grec Unicode" w:hAnsi="IFAO-Grec Unicode"/>
          <w:rtl w:val="0"/>
          <w:lang w:val="en-US"/>
        </w:rPr>
        <w:t xml:space="preserve">, 18 BCE, Bousiris [Herakleopolite nome]) was written in a fashion very similar to the letters from the Athenodoros Archive. Outside the Herakleopolite nome, the scribe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"https://papyri.info/hgv/170050"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5166</w:t>
      </w:r>
      <w:r>
        <w:rPr>
          <w:rFonts w:ascii="IFAO-Grec Unicode" w:cs="IFAO-Grec Unicode" w:hAnsi="IFAO-Grec Unicode" w:eastAsia="IFAO-Grec Unicode"/>
        </w:rPr>
        <w:fldChar w:fldCharType="end" w:fldLock="0"/>
      </w:r>
      <w:r>
        <w:rPr>
          <w:rFonts w:ascii="IFAO-Grec Unicode" w:hAnsi="IFAO-Grec Unicode"/>
          <w:rtl w:val="0"/>
          <w:lang w:val="en-US"/>
        </w:rPr>
        <w:t xml:space="preserve"> (ca. 29-20 BCE, Oxyrhynchos) applied to a letter a layout very similar to that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en-US"/>
        </w:rPr>
        <w:t xml:space="preserve"> (displayed above): there is an ample top margin, a somewhat narrower left margin, and virtually no margin on the right; the bottom margin is lost but could have been of the same size as the top margin.</w:t>
      </w:r>
      <w:r>
        <w:rPr>
          <w:rFonts w:ascii="IFAO-Grec Unicode" w:cs="IFAO-Grec Unicode" w:hAnsi="IFAO-Grec Unicode" w:eastAsia="IFAO-Grec Unicode"/>
          <w:vertAlign w:val="superscript"/>
        </w:rPr>
        <w:footnoteReference w:id="31"/>
      </w:r>
      <w:r>
        <w:rPr>
          <w:rFonts w:ascii="IFAO-Grec Unicode" w:hAnsi="IFAO-Grec Unicode"/>
          <w:rtl w:val="0"/>
          <w:lang w:val="en-US"/>
        </w:rPr>
        <w:t xml:space="preserve"> The scribe also made use of a generous line spacing, as is often the case in the Athenodoros Archive. A comparable case is to be found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"https://papyri.info/hgv/170048"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5164</w:t>
      </w:r>
      <w:r>
        <w:rPr>
          <w:rFonts w:ascii="IFAO-Grec Unicode" w:cs="IFAO-Grec Unicode" w:hAnsi="IFAO-Grec Unicode" w:eastAsia="IFAO-Grec Unicode"/>
        </w:rPr>
        <w:fldChar w:fldCharType="end" w:fldLock="0"/>
      </w:r>
      <w:r>
        <w:rPr>
          <w:rFonts w:ascii="IFAO-Grec Unicode" w:hAnsi="IFAO-Grec Unicode"/>
          <w:rtl w:val="0"/>
          <w:lang w:val="en-US"/>
        </w:rPr>
        <w:t xml:space="preserve"> (25 BCE, Oxyrhynchos), a receipt for the delivery of oil written in letter form (no </w:t>
      </w:r>
      <w:r>
        <w:rPr>
          <w:rFonts w:ascii="IFAO-Grec Unicode" w:hAnsi="IFAO-Grec Unicode" w:hint="default"/>
          <w:rtl w:val="0"/>
        </w:rPr>
        <w:t xml:space="preserve">ἔρρωσο </w:t>
      </w:r>
      <w:r>
        <w:rPr>
          <w:rFonts w:ascii="IFAO-Grec Unicode" w:hAnsi="IFAO-Grec Unicode"/>
          <w:rtl w:val="0"/>
          <w:lang w:val="en-US"/>
        </w:rPr>
        <w:t xml:space="preserve">at the end): although the text is complete, the bottom margin is lost too, but the general appearance of the document is highly reminiscent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cs="IFAO-Grec Unicode" w:hAnsi="IFAO-Grec Unicode" w:eastAsia="IFAO-Grec Unicode"/>
          <w:vertAlign w:val="superscript"/>
        </w:rPr>
        <w:footnoteReference w:id="32"/>
      </w:r>
      <w:r>
        <w:rPr>
          <w:rFonts w:ascii="IFAO-Grec Unicode" w:hAnsi="IFAO-Grec Unicode"/>
          <w:rtl w:val="0"/>
          <w:lang w:val="en-US"/>
        </w:rPr>
        <w:t xml:space="preserve"> The same pattern appears in the Arsinoite nome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"https://papyri.info/hgv/5291"</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P.Ryl. 2 73</w:t>
      </w:r>
      <w:r>
        <w:rPr>
          <w:rFonts w:ascii="IFAO-Grec Unicode" w:cs="IFAO-Grec Unicode" w:hAnsi="IFAO-Grec Unicode" w:eastAsia="IFAO-Grec Unicode"/>
        </w:rPr>
        <w:fldChar w:fldCharType="end" w:fldLock="0"/>
      </w:r>
      <w:r>
        <w:rPr>
          <w:rFonts w:ascii="IFAO-Grec Unicode" w:hAnsi="IFAO-Grec Unicode"/>
          <w:rtl w:val="0"/>
          <w:lang w:val="en-US"/>
        </w:rPr>
        <w:t xml:space="preserve"> (32-31 BCE, Euhemeria), a receipt in letter form. This can be contrasted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"https://papyri.info/hgv/17898"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P.Wash. Univ. 2 106</w:t>
      </w:r>
      <w:r>
        <w:rPr>
          <w:rFonts w:ascii="IFAO-Grec Unicode" w:cs="IFAO-Grec Unicode" w:hAnsi="IFAO-Grec Unicode" w:eastAsia="IFAO-Grec Unicode"/>
        </w:rPr>
        <w:fldChar w:fldCharType="end" w:fldLock="0"/>
      </w:r>
      <w:r>
        <w:rPr>
          <w:rFonts w:ascii="IFAO-Grec Unicode" w:hAnsi="IFAO-Grec Unicode"/>
          <w:rtl w:val="0"/>
          <w:lang w:val="en-US"/>
        </w:rPr>
        <w:t xml:space="preserve"> (18 BCE, Oxyrhynchos), a private letter written by a woman who is clearly not a professional scribe. To quote the editors of this document, this letter is </w:t>
      </w:r>
      <w:r>
        <w:rPr>
          <w:rFonts w:ascii="IFAO-Grec Unicode" w:hAnsi="IFAO-Grec Unicode" w:hint="default"/>
          <w:rtl w:val="1"/>
          <w:lang w:val="ar-SA" w:bidi="ar-SA"/>
        </w:rPr>
        <w:t>“</w:t>
      </w:r>
      <w:r>
        <w:rPr>
          <w:rFonts w:ascii="IFAO-Grec Unicode" w:hAnsi="IFAO-Grec Unicode"/>
          <w:rtl w:val="0"/>
          <w:lang w:val="en-US"/>
        </w:rPr>
        <w:t>laboriously drawn in somewhat uneven letters, and rather large (</w:t>
      </w:r>
      <w:r>
        <w:rPr>
          <w:rFonts w:ascii="IFAO-Grec Unicode" w:hAnsi="IFAO-Grec Unicode" w:hint="default"/>
          <w:rtl w:val="0"/>
        </w:rPr>
        <w:t>…</w:t>
      </w:r>
      <w:r>
        <w:rPr>
          <w:rFonts w:ascii="IFAO-Grec Unicode" w:hAnsi="IFAO-Grec Unicode"/>
          <w:rtl w:val="0"/>
          <w:lang w:val="en-US"/>
        </w:rPr>
        <w:t>). The writer</w:t>
      </w:r>
      <w:r>
        <w:rPr>
          <w:rFonts w:ascii="IFAO-Grec Unicode" w:hAnsi="IFAO-Grec Unicode" w:hint="default"/>
          <w:rtl w:val="1"/>
        </w:rPr>
        <w:t>’</w:t>
      </w:r>
      <w:r>
        <w:rPr>
          <w:rFonts w:ascii="IFAO-Grec Unicode" w:hAnsi="IFAO-Grec Unicode"/>
          <w:rtl w:val="0"/>
          <w:lang w:val="en-US"/>
        </w:rPr>
        <w:t>s orthography is impressionistic (</w:t>
      </w:r>
      <w:r>
        <w:rPr>
          <w:rFonts w:ascii="IFAO-Grec Unicode" w:hAnsi="IFAO-Grec Unicode" w:hint="default"/>
          <w:rtl w:val="0"/>
        </w:rPr>
        <w:t>…</w:t>
      </w:r>
      <w:r>
        <w:rPr>
          <w:rFonts w:ascii="IFAO-Grec Unicode" w:hAnsi="IFAO-Grec Unicode"/>
          <w:rtl w:val="0"/>
          <w:lang w:val="en-US"/>
        </w:rPr>
        <w:t>) and her syntax casual, at best.</w:t>
      </w:r>
      <w:r>
        <w:rPr>
          <w:rFonts w:ascii="IFAO-Grec Unicode" w:hAnsi="IFAO-Grec Unicode" w:hint="default"/>
          <w:rtl w:val="0"/>
        </w:rPr>
        <w:t xml:space="preserve">” </w:t>
      </w:r>
      <w:r>
        <w:rPr>
          <w:rFonts w:ascii="IFAO-Grec Unicode" w:hAnsi="IFAO-Grec Unicode"/>
          <w:rtl w:val="0"/>
          <w:lang w:val="en-US"/>
        </w:rPr>
        <w:t xml:space="preserve">She nonetheless followed some </w:t>
      </w:r>
      <w:r>
        <w:rPr>
          <w:rFonts w:ascii="IFAO-Grec Unicode" w:hAnsi="IFAO-Grec Unicode" w:hint="default"/>
          <w:rtl w:val="0"/>
        </w:rPr>
        <w:t xml:space="preserve">– </w:t>
      </w:r>
      <w:r>
        <w:rPr>
          <w:rFonts w:ascii="IFAO-Grec Unicode" w:hAnsi="IFAO-Grec Unicode"/>
          <w:rtl w:val="0"/>
          <w:lang w:val="en-US"/>
        </w:rPr>
        <w:t xml:space="preserve">if not all </w:t>
      </w:r>
      <w:r>
        <w:rPr>
          <w:rFonts w:ascii="IFAO-Grec Unicode" w:hAnsi="IFAO-Grec Unicode" w:hint="default"/>
          <w:rtl w:val="0"/>
        </w:rPr>
        <w:t xml:space="preserve">– </w:t>
      </w:r>
      <w:r>
        <w:rPr>
          <w:rFonts w:ascii="IFAO-Grec Unicode" w:hAnsi="IFAO-Grec Unicode"/>
          <w:rtl w:val="0"/>
          <w:lang w:val="en-US"/>
        </w:rPr>
        <w:t xml:space="preserve">of the conventions that prevailed for letter-writing: margins at the top and bottom, as well as on the left, no right margin, use of the standard initial and final formulae, placement of the greeting </w:t>
      </w:r>
      <w:r>
        <w:rPr>
          <w:rFonts w:ascii="IFAO-Grec Unicode" w:hAnsi="IFAO-Grec Unicode" w:hint="default"/>
          <w:rtl w:val="0"/>
        </w:rPr>
        <w:t xml:space="preserve">ἔρρωσο </w:t>
      </w:r>
      <w:r>
        <w:rPr>
          <w:rFonts w:ascii="IFAO-Grec Unicode" w:hAnsi="IFAO-Grec Unicode"/>
          <w:rtl w:val="0"/>
          <w:lang w:val="en-US"/>
        </w:rPr>
        <w:t xml:space="preserve">and of a date. The parallel between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"https://papyri.info/hgv/170048"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5164</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"https://papyri.info/hgv/17898"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P.Wash. Univ. 2 106</w:t>
      </w:r>
      <w:r>
        <w:rPr>
          <w:rFonts w:ascii="IFAO-Grec Unicode" w:cs="IFAO-Grec Unicode" w:hAnsi="IFAO-Grec Unicode" w:eastAsia="IFAO-Grec Unicode"/>
        </w:rPr>
        <w:fldChar w:fldCharType="end" w:fldLock="0"/>
      </w:r>
      <w:r>
        <w:rPr>
          <w:rFonts w:ascii="IFAO-Grec Unicode" w:hAnsi="IFAO-Grec Unicode"/>
          <w:rtl w:val="0"/>
          <w:lang w:val="en-US"/>
        </w:rPr>
        <w:t xml:space="preserve"> underlines the obvious, i.e. that a well-trained scribe is apt to follow unstated rules for producing a document such as a letter more closely than an occasional writer. Another notable case of a scribe who does not wholly master the rules for layout is to be found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"https://papyri.info/hgv/18200"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SB 14 12172</w:t>
      </w:r>
      <w:r>
        <w:rPr>
          <w:rFonts w:ascii="IFAO-Grec Unicode" w:cs="IFAO-Grec Unicode" w:hAnsi="IFAO-Grec Unicode" w:eastAsia="IFAO-Grec Unicode"/>
        </w:rPr>
        <w:fldChar w:fldCharType="end" w:fldLock="0"/>
      </w:r>
      <w:r>
        <w:rPr>
          <w:rFonts w:ascii="IFAO-Grec Unicode" w:hAnsi="IFAO-Grec Unicode"/>
          <w:rtl w:val="0"/>
          <w:lang w:val="en-US"/>
        </w:rPr>
        <w:t xml:space="preserve"> (7 CE, provenance unknown), where the writing style and the spelling betray a clumsy writer. A narrow left margin, as well as a wider but irregular right margin, are also quite atypical when compared to the letters that have been described above.</w:t>
      </w:r>
    </w:p>
    <w:p>
      <w:pPr>
        <w:pStyle w:val="Body"/>
        <w:rPr>
          <w:rFonts w:ascii="IFAO-Grec Unicode" w:cs="IFAO-Grec Unicode" w:hAnsi="IFAO-Grec Unicode" w:eastAsia="IFAO-Grec Unicode"/>
        </w:rPr>
      </w:pPr>
      <w:r>
        <w:rPr>
          <w:rFonts w:ascii="IFAO-Grec Unicode" w:hAnsi="IFAO-Grec Unicode"/>
          <w:rtl w:val="0"/>
          <w:lang w:val="en-US"/>
        </w:rPr>
        <w:t xml:space="preserve">Another question is whether scribes wrote their letters while the sheet of papyrus was still part of the roll, then cut it off once it was completed, or if they first cut their sheet off the roll before starting to write.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2646</w:t>
      </w:r>
      <w:r>
        <w:rPr>
          <w:rFonts w:ascii="IFAO-Grec Unicode" w:cs="IFAO-Grec Unicode" w:hAnsi="IFAO-Grec Unicode" w:eastAsia="IFAO-Grec Unicode"/>
        </w:rPr>
        <w:fldChar w:fldCharType="end" w:fldLock="0"/>
      </w:r>
      <w:r>
        <w:rPr>
          <w:rFonts w:ascii="IFAO-Grec Unicode" w:hAnsi="IFAO-Grec Unicode"/>
          <w:rtl w:val="0"/>
          <w:lang w:val="en-US"/>
        </w:rPr>
        <w:t xml:space="preserve"> (3 BCE, Herakleopolite nome), which displays an unusual format and layout, provides a clue to the matter. The sheet has a horizontal shape (H 24.7 cm x W 30 cm) and carries two columns of writing. The first column holds a letter, complete with opening, main text, salutation and date. Some characters on the right side of the column run across a </w:t>
      </w:r>
      <w:r>
        <w:rPr>
          <w:rFonts w:ascii="IFAO-Grec Unicode" w:hAnsi="IFAO-Grec Unicode"/>
          <w:rtl w:val="0"/>
        </w:rPr>
        <w:t>kollesis</w:t>
      </w:r>
      <w:r>
        <w:rPr>
          <w:rFonts w:ascii="IFAO-Grec Unicode" w:hAnsi="IFAO-Grec Unicode"/>
          <w:rtl w:val="0"/>
          <w:lang w:val="en-US"/>
        </w:rPr>
        <w:t xml:space="preserve"> in the middle of the sheet; nothing suggests that the two columns were originally two separate sheets pasted together. The second column contains some additional remarks, like an afterthought to the letter itself.</w:t>
      </w:r>
      <w:r>
        <w:rPr>
          <w:rFonts w:ascii="IFAO-Grec Unicode" w:cs="IFAO-Grec Unicode" w:hAnsi="IFAO-Grec Unicode" w:eastAsia="IFAO-Grec Unicode"/>
          <w:vertAlign w:val="superscript"/>
        </w:rPr>
        <w:footnoteReference w:id="33"/>
      </w:r>
      <w:r>
        <w:rPr>
          <w:rFonts w:ascii="IFAO-Grec Unicode" w:hAnsi="IFAO-Grec Unicode"/>
          <w:rtl w:val="0"/>
          <w:lang w:val="en-US"/>
        </w:rPr>
        <w:t xml:space="preserve"> This implies that, when the scribe wrote the letter (col. 1), he still had some free writing space on the right, although he could not foresee that he would need it, or else he would have adapted his format accordingly and would have placed the salutation and date at the end of col. 2. Therefore, the letter was written while the sheet was still part of the roll and the scribe had some free writing space on his right.</w:t>
      </w:r>
    </w:p>
    <w:p>
      <w:pPr>
        <w:pStyle w:val="Body"/>
        <w:rPr>
          <w:rFonts w:ascii="IFAO-Grec Unicode" w:cs="IFAO-Grec Unicode" w:hAnsi="IFAO-Grec Unicode" w:eastAsia="IFAO-Grec Unicode"/>
        </w:rPr>
      </w:pPr>
      <w:r>
        <w:rPr>
          <w:rFonts w:ascii="IFAO-Grec Unicode" w:hAnsi="IFAO-Grec Unicode"/>
          <w:rtl w:val="0"/>
          <w:lang w:val="en-US"/>
        </w:rPr>
        <w:t xml:space="preserve">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"https://papyri.info/hgv/23327"</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2604</w:t>
      </w:r>
      <w:r>
        <w:rPr>
          <w:rFonts w:ascii="IFAO-Grec Unicode" w:cs="IFAO-Grec Unicode" w:hAnsi="IFAO-Grec Unicode" w:eastAsia="IFAO-Grec Unicode"/>
        </w:rPr>
        <w:fldChar w:fldCharType="end" w:fldLock="0"/>
      </w:r>
      <w:r>
        <w:rPr>
          <w:rFonts w:ascii="IFAO-Grec Unicode" w:hAnsi="IFAO-Grec Unicode"/>
          <w:rtl w:val="0"/>
          <w:lang w:val="en-US"/>
        </w:rPr>
        <w:t xml:space="preserve">, mentioned above, where the scribe placed the closing salutation and date in the top margin, suggests the opposite: if he had to cram the ending clauses at the top, this must have been because his sheet was already detached from the roll and he could not start a second column anymore. Therefore, we cannot be certain that there was a standard approach to the matter, and this may have been determined by the level of competence of the scribe. Skilled scribes, when starting to write their letters, would choose the width of their left margin (starting from the left edge of their papyrus roll), then estimate the space that their text would occupy and adapt accordingly the width of the column, as well as the dimensions of the top and bottom margins. With short letters, a scribe could easily balance those parameters; with longer ones, he sometimes ran out of space at the bottom. In the standard practice, his letter should hold a single column of text, which would be cut off the roll when it was completed.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2646</w:t>
      </w:r>
      <w:r>
        <w:rPr>
          <w:rFonts w:ascii="IFAO-Grec Unicode" w:cs="IFAO-Grec Unicode" w:hAnsi="IFAO-Grec Unicode" w:eastAsia="IFAO-Grec Unicode"/>
        </w:rPr>
        <w:fldChar w:fldCharType="end" w:fldLock="0"/>
      </w:r>
      <w:r>
        <w:rPr>
          <w:rFonts w:ascii="IFAO-Grec Unicode" w:hAnsi="IFAO-Grec Unicode"/>
          <w:rtl w:val="0"/>
          <w:lang w:val="en-US"/>
        </w:rPr>
        <w:t>, however, an afterthought brought the scribe to keep writing on, producing a second column, before the wide sheet of papyrus was cut off the roll.</w:t>
      </w:r>
      <w:r>
        <w:rPr>
          <w:rFonts w:ascii="IFAO-Grec Unicode" w:cs="IFAO-Grec Unicode" w:hAnsi="IFAO-Grec Unicode" w:eastAsia="IFAO-Grec Unicode"/>
          <w:vertAlign w:val="superscript"/>
        </w:rPr>
        <w:footnoteReference w:id="34"/>
      </w:r>
    </w:p>
    <w:p>
      <w:pPr>
        <w:pStyle w:val="Body"/>
        <w:rPr>
          <w:rFonts w:ascii="IFAO-Grec Unicode" w:cs="IFAO-Grec Unicode" w:hAnsi="IFAO-Grec Unicode" w:eastAsia="IFAO-Grec Unicode"/>
        </w:rPr>
      </w:pPr>
      <w:r>
        <w:rPr>
          <w:rFonts w:ascii="IFAO-Grec Unicode" w:hAnsi="IFAO-Grec Unicode"/>
          <w:rtl w:val="0"/>
          <w:lang w:val="en-US"/>
        </w:rPr>
        <w:t>To the basic layout, scribes often add some specific elements. The first letter of the first line may be slightly enlarged, but this is not done systematically.</w:t>
      </w:r>
      <w:r>
        <w:rPr>
          <w:rFonts w:ascii="IFAO-Grec Unicode" w:cs="IFAO-Grec Unicode" w:hAnsi="IFAO-Grec Unicode" w:eastAsia="IFAO-Grec Unicode"/>
          <w:vertAlign w:val="superscript"/>
        </w:rPr>
        <w:footnoteReference w:id="35"/>
      </w:r>
      <w:r>
        <w:rPr>
          <w:rFonts w:ascii="IFAO-Grec Unicode" w:hAnsi="IFAO-Grec Unicode"/>
          <w:rtl w:val="0"/>
          <w:lang w:val="en-US"/>
        </w:rPr>
        <w:t xml:space="preserve"> In one case, the scribe wrote the opening, which contains the names of the sender and of the addressee, in a more formal hand than the rest of the letter.</w:t>
      </w:r>
      <w:r>
        <w:rPr>
          <w:rFonts w:ascii="IFAO-Grec Unicode" w:cs="IFAO-Grec Unicode" w:hAnsi="IFAO-Grec Unicode" w:eastAsia="IFAO-Grec Unicode"/>
          <w:vertAlign w:val="superscript"/>
        </w:rPr>
        <w:footnoteReference w:id="36"/>
      </w:r>
      <w:r>
        <w:rPr>
          <w:rFonts w:ascii="IFAO-Grec Unicode" w:hAnsi="IFAO-Grec Unicode"/>
          <w:rtl w:val="0"/>
          <w:lang w:val="en-US"/>
        </w:rPr>
        <w:t xml:space="preserve"> He may also add a </w:t>
      </w:r>
      <w:r>
        <w:rPr>
          <w:rFonts w:ascii="IFAO-Grec Unicode" w:hAnsi="IFAO-Grec Unicode"/>
          <w:rtl w:val="0"/>
          <w:lang w:val="fr-FR"/>
        </w:rPr>
        <w:t>paragraphos</w:t>
      </w:r>
      <w:r>
        <w:rPr>
          <w:rFonts w:ascii="IFAO-Grec Unicode" w:hAnsi="IFAO-Grec Unicode"/>
          <w:rtl w:val="0"/>
          <w:lang w:val="en-US"/>
        </w:rPr>
        <w:t xml:space="preserve"> below the text of the letter.</w:t>
      </w:r>
      <w:r>
        <w:rPr>
          <w:rFonts w:ascii="IFAO-Grec Unicode" w:cs="IFAO-Grec Unicode" w:hAnsi="IFAO-Grec Unicode" w:eastAsia="IFAO-Grec Unicode"/>
          <w:vertAlign w:val="superscript"/>
        </w:rPr>
        <w:footnoteReference w:id="37"/>
      </w:r>
      <w:r>
        <w:rPr>
          <w:rFonts w:ascii="IFAO-Grec Unicode" w:hAnsi="IFAO-Grec Unicode"/>
          <w:rtl w:val="0"/>
          <w:lang w:val="en-US"/>
        </w:rPr>
        <w:t xml:space="preserve"> The salutation formula (</w:t>
      </w:r>
      <w:r>
        <w:rPr>
          <w:rFonts w:ascii="IFAO-Grec Unicode" w:hAnsi="IFAO-Grec Unicode" w:hint="default"/>
          <w:rtl w:val="0"/>
        </w:rPr>
        <w:t>ἔρρωσο</w:t>
      </w:r>
      <w:r>
        <w:rPr>
          <w:rFonts w:ascii="IFAO-Grec Unicode" w:hAnsi="IFAO-Grec Unicode"/>
          <w:rtl w:val="0"/>
          <w:lang w:val="en-US"/>
        </w:rPr>
        <w:t>) and/or the date are frequently set off to the right in relation to the left margin.</w:t>
      </w:r>
      <w:r>
        <w:rPr>
          <w:rFonts w:ascii="IFAO-Grec Unicode" w:cs="IFAO-Grec Unicode" w:hAnsi="IFAO-Grec Unicode" w:eastAsia="IFAO-Grec Unicode"/>
          <w:vertAlign w:val="superscript"/>
        </w:rPr>
        <w:footnoteReference w:id="38"/>
      </w:r>
      <w:r>
        <w:rPr>
          <w:rFonts w:ascii="IFAO-Grec Unicode" w:hAnsi="IFAO-Grec Unicode"/>
          <w:rtl w:val="0"/>
          <w:lang w:val="en-US"/>
        </w:rPr>
        <w:t xml:space="preserve"> This is a remnant of the old way of writing letters on horizontal sheets </w:t>
      </w:r>
      <w:r>
        <w:rPr>
          <w:rFonts w:ascii="IFAO-Grec Unicode" w:hAnsi="IFAO-Grec Unicode"/>
          <w:rtl w:val="0"/>
          <w:lang w:val="pt-PT"/>
        </w:rPr>
        <w:t>transversa charta</w:t>
      </w:r>
      <w:r>
        <w:rPr>
          <w:rFonts w:ascii="IFAO-Grec Unicode" w:hAnsi="IFAO-Grec Unicode"/>
          <w:rtl w:val="0"/>
          <w:lang w:val="en-US"/>
        </w:rPr>
        <w:t>, which still appear occasionally in the period considered here.</w:t>
      </w:r>
      <w:r>
        <w:rPr>
          <w:rFonts w:ascii="IFAO-Grec Unicode" w:cs="IFAO-Grec Unicode" w:hAnsi="IFAO-Grec Unicode" w:eastAsia="IFAO-Grec Unicode"/>
          <w:vertAlign w:val="superscript"/>
        </w:rPr>
        <w:footnoteReference w:id="39"/>
      </w:r>
    </w:p>
    <w:p>
      <w:pPr>
        <w:pStyle w:val="Body"/>
        <w:rPr>
          <w:rFonts w:ascii="IFAO-Grec Unicode" w:cs="IFAO-Grec Unicode" w:hAnsi="IFAO-Grec Unicode" w:eastAsia="IFAO-Grec Unicode"/>
        </w:rPr>
      </w:pPr>
      <w:r>
        <w:rPr>
          <w:rFonts w:ascii="IFAO-Grec Unicode" w:hAnsi="IFAO-Grec Unicode"/>
          <w:rtl w:val="0"/>
          <w:lang w:val="en-US"/>
        </w:rPr>
        <w:t xml:space="preserve">An atypical case,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2652</w:t>
      </w:r>
      <w:r>
        <w:rPr>
          <w:rFonts w:ascii="IFAO-Grec Unicode" w:cs="IFAO-Grec Unicode" w:hAnsi="IFAO-Grec Unicode" w:eastAsia="IFAO-Grec Unicode"/>
        </w:rPr>
        <w:fldChar w:fldCharType="end" w:fldLock="0"/>
      </w:r>
      <w:r>
        <w:rPr>
          <w:rFonts w:ascii="IFAO-Grec Unicode" w:hAnsi="IFAO-Grec Unicode"/>
          <w:rtl w:val="0"/>
          <w:lang w:val="en-US"/>
        </w:rPr>
        <w:t xml:space="preserve"> (ca. 10-2 BCE), deserves some attention. The papyrus sheet displays a horizontal format (H 9.4 cm x W 16.1 cm), with horizontal fibres. A vertical </w:t>
      </w:r>
      <w:r>
        <w:rPr>
          <w:rFonts w:ascii="IFAO-Grec Unicode" w:hAnsi="IFAO-Grec Unicode"/>
          <w:rtl w:val="0"/>
        </w:rPr>
        <w:t>kollesis</w:t>
      </w:r>
      <w:r>
        <w:rPr>
          <w:rFonts w:ascii="IFAO-Grec Unicode" w:hAnsi="IFAO-Grec Unicode"/>
          <w:rtl w:val="0"/>
          <w:lang w:val="en-US"/>
        </w:rPr>
        <w:t xml:space="preserve"> on the right part of the sheet shows that it was not placed </w:t>
      </w:r>
      <w:r>
        <w:rPr>
          <w:rFonts w:ascii="IFAO-Grec Unicode" w:hAnsi="IFAO-Grec Unicode"/>
          <w:rtl w:val="0"/>
          <w:lang w:val="pt-PT"/>
        </w:rPr>
        <w:t>transversa charta</w:t>
      </w:r>
      <w:r>
        <w:rPr>
          <w:rFonts w:ascii="IFAO-Grec Unicode" w:hAnsi="IFAO-Grec Unicode"/>
          <w:rtl w:val="0"/>
          <w:lang w:val="en-US"/>
        </w:rPr>
        <w:t xml:space="preserve">. This relatively unusual format may be explained by the content: it is a payment order, a type of document that starts like a letter </w:t>
      </w:r>
      <w:r>
        <w:rPr>
          <w:rFonts w:ascii="IFAO-Grec Unicode" w:hAnsi="IFAO-Grec Unicode" w:hint="default"/>
          <w:rtl w:val="0"/>
        </w:rPr>
        <w:t>– Ἀθηνόδωρος Εὐρυλόχῳ τῷ φιλτάτῳ χαίρ</w:t>
      </w:r>
      <w:r>
        <w:rPr>
          <w:rFonts w:ascii="IFAO-Grec Unicode" w:hAnsi="IFAO-Grec Unicode"/>
          <w:rtl w:val="0"/>
        </w:rPr>
        <w:t>(</w:t>
      </w:r>
      <w:r>
        <w:rPr>
          <w:rFonts w:ascii="IFAO-Grec Unicode" w:hAnsi="IFAO-Grec Unicode" w:hint="default"/>
          <w:rtl w:val="0"/>
        </w:rPr>
        <w:t>ειν</w:t>
      </w:r>
      <w:r>
        <w:rPr>
          <w:rFonts w:ascii="IFAO-Grec Unicode" w:hAnsi="IFAO-Grec Unicode"/>
          <w:rtl w:val="0"/>
        </w:rPr>
        <w:t xml:space="preserve">) </w:t>
      </w:r>
      <w:r>
        <w:rPr>
          <w:rFonts w:ascii="IFAO-Grec Unicode" w:hAnsi="IFAO-Grec Unicode" w:hint="default"/>
          <w:rtl w:val="0"/>
        </w:rPr>
        <w:t xml:space="preserve">– </w:t>
      </w:r>
      <w:r>
        <w:rPr>
          <w:rFonts w:ascii="IFAO-Grec Unicode" w:hAnsi="IFAO-Grec Unicode"/>
          <w:rtl w:val="0"/>
          <w:lang w:val="en-US"/>
        </w:rPr>
        <w:t xml:space="preserve">but carries no final salutation. A parallel is to be found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"https://papyri.info/hgv/170049"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5165</w:t>
      </w:r>
      <w:r>
        <w:rPr>
          <w:rFonts w:ascii="IFAO-Grec Unicode" w:cs="IFAO-Grec Unicode" w:hAnsi="IFAO-Grec Unicode" w:eastAsia="IFAO-Grec Unicode"/>
        </w:rPr>
        <w:fldChar w:fldCharType="end" w:fldLock="0"/>
      </w:r>
      <w:r>
        <w:rPr>
          <w:rFonts w:ascii="IFAO-Grec Unicode" w:hAnsi="IFAO-Grec Unicode"/>
          <w:rtl w:val="0"/>
          <w:lang w:val="en-US"/>
        </w:rPr>
        <w:t xml:space="preserve"> (24 BCE, Oxyrhynchos), a bank payment order that also starts like a letter but does not carry final greetings.</w:t>
      </w:r>
      <w:r>
        <w:rPr>
          <w:rFonts w:ascii="IFAO-Grec Unicode" w:cs="IFAO-Grec Unicode" w:hAnsi="IFAO-Grec Unicode" w:eastAsia="IFAO-Grec Unicode"/>
          <w:vertAlign w:val="superscript"/>
        </w:rPr>
        <w:footnoteReference w:id="40"/>
      </w:r>
      <w:r>
        <w:rPr>
          <w:rFonts w:ascii="IFAO-Grec Unicode" w:hAnsi="IFAO-Grec Unicode"/>
          <w:rtl w:val="0"/>
          <w:lang w:val="en-US"/>
        </w:rPr>
        <w:t xml:space="preserve"> The sheet is square (H 9.8 x W 9.8 cm) and the writing runs along the fibres.</w:t>
      </w:r>
    </w:p>
    <w:p>
      <w:pPr>
        <w:pStyle w:val="Body"/>
        <w:rPr>
          <w:rFonts w:ascii="IFAO-Grec Unicode" w:cs="IFAO-Grec Unicode" w:hAnsi="IFAO-Grec Unicode" w:eastAsia="IFAO-Grec Unicode"/>
        </w:rPr>
      </w:pPr>
      <w:r>
        <w:rPr>
          <w:rFonts w:ascii="IFAO-Grec Unicode" w:hAnsi="IFAO-Grec Unicode"/>
          <w:rtl w:val="0"/>
          <w:lang w:val="en-US"/>
        </w:rPr>
        <w:t xml:space="preserve">To come back to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2652</w:t>
      </w:r>
      <w:r>
        <w:rPr>
          <w:rFonts w:ascii="IFAO-Grec Unicode" w:cs="IFAO-Grec Unicode" w:hAnsi="IFAO-Grec Unicode" w:eastAsia="IFAO-Grec Unicode"/>
        </w:rPr>
        <w:fldChar w:fldCharType="end" w:fldLock="0"/>
      </w:r>
      <w:r>
        <w:rPr>
          <w:rFonts w:ascii="IFAO-Grec Unicode" w:hAnsi="IFAO-Grec Unicode"/>
          <w:rtl w:val="0"/>
          <w:lang w:val="en-US"/>
        </w:rPr>
        <w:t>, it stands in fact among the early cases of a type that is still clearly recognizable in the fifth century CE.</w:t>
      </w:r>
      <w:r>
        <w:rPr>
          <w:rFonts w:ascii="IFAO-Grec Unicode" w:cs="IFAO-Grec Unicode" w:hAnsi="IFAO-Grec Unicode" w:eastAsia="IFAO-Grec Unicode"/>
          <w:vertAlign w:val="superscript"/>
        </w:rPr>
        <w:footnoteReference w:id="41"/>
      </w:r>
      <w:r>
        <w:rPr>
          <w:rFonts w:ascii="IFAO-Grec Unicode" w:hAnsi="IFAO-Grec Unicode"/>
          <w:rtl w:val="0"/>
          <w:lang w:val="en-US"/>
        </w:rPr>
        <w:t xml:space="preserve"> A close parallel, both in form and content, is also to be found in </w:t>
      </w:r>
      <w:r>
        <w:rPr>
          <w:rStyle w:val="Link"/>
          <w:rFonts w:ascii="IFAO-Grec Unicode" w:hAnsi="IFAO-Grec Unicode"/>
          <w:rtl w:val="0"/>
        </w:rPr>
        <w:t>P.Gen. 1</w:t>
      </w:r>
      <w:r>
        <w:rPr>
          <w:rStyle w:val="Link"/>
          <w:rFonts w:ascii="IFAO-Grec Unicode" w:hAnsi="IFAO-Grec Unicode"/>
          <w:vertAlign w:val="superscript"/>
          <w:rtl w:val="0"/>
        </w:rPr>
        <w:t>2</w:t>
      </w:r>
      <w:r>
        <w:rPr>
          <w:rStyle w:val="Link"/>
          <w:rFonts w:ascii="IFAO-Grec Unicode" w:hAnsi="IFAO-Grec Unicode"/>
          <w:rtl w:val="0"/>
        </w:rPr>
        <w:t xml:space="preserve"> 2</w:t>
      </w:r>
      <w:r>
        <w:rPr>
          <w:rFonts w:ascii="IFAO-Grec Unicode" w:hAnsi="IFAO-Grec Unicode"/>
          <w:rtl w:val="0"/>
          <w:lang w:val="en-US"/>
        </w:rPr>
        <w:t xml:space="preserve"> (II/III CE, Arsinoite nome [?]). It thus seems that the scribe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2652</w:t>
      </w:r>
      <w:r>
        <w:rPr>
          <w:rFonts w:ascii="IFAO-Grec Unicode" w:cs="IFAO-Grec Unicode" w:hAnsi="IFAO-Grec Unicode" w:eastAsia="IFAO-Grec Unicode"/>
        </w:rPr>
        <w:fldChar w:fldCharType="end" w:fldLock="0"/>
      </w:r>
      <w:r>
        <w:rPr>
          <w:rFonts w:ascii="IFAO-Grec Unicode" w:hAnsi="IFAO-Grec Unicode"/>
          <w:rtl w:val="0"/>
          <w:lang w:val="en-US"/>
        </w:rPr>
        <w:t xml:space="preserve"> followed the general pattern used for letters (horizontal fibres, ample top and left margins, generous line spacing), but that he adapted it to a payment order (horizontal shape, no salutation) and encroached on the bottom margin, even placing some additional information between lines 3 and 4. This case illustrates a certain degree of malleability in the basic rules followed by the scribes of the Athenodoros archive, by which they could adapt a general type (letter) to a specific content (payment order). We shall observe a similar trend below in several instances, notably the so-called Cleopatra ordinance, as well as among receipts written on ostraca. Before we turn to them, however, we must address some other issues, the first being the distinction between professional and occasional scribes.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Professional and occasional scribes: the Tomos of Asklepiades</w:t>
      </w:r>
    </w:p>
    <w:p>
      <w:pPr>
        <w:pStyle w:val="Body"/>
        <w:rPr>
          <w:rFonts w:ascii="IFAO-Grec Unicode" w:cs="IFAO-Grec Unicode" w:hAnsi="IFAO-Grec Unicode" w:eastAsia="IFAO-Grec Unicode"/>
        </w:rPr>
      </w:pPr>
      <w:r>
        <w:rPr>
          <w:rFonts w:ascii="IFAO-Grec Unicode" w:hAnsi="IFAO-Grec Unicode"/>
          <w:rtl w:val="0"/>
          <w:lang w:val="en-US"/>
        </w:rPr>
        <w:t xml:space="preserve">The parallel between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"https://papyri.info/hgv/170048"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5164</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"https://papyri.info/hgv/17898"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P.Wash. Univ. 2 106</w:t>
      </w:r>
      <w:r>
        <w:rPr>
          <w:rFonts w:ascii="IFAO-Grec Unicode" w:cs="IFAO-Grec Unicode" w:hAnsi="IFAO-Grec Unicode" w:eastAsia="IFAO-Grec Unicode"/>
        </w:rPr>
        <w:fldChar w:fldCharType="end" w:fldLock="0"/>
      </w:r>
      <w:r>
        <w:rPr>
          <w:rFonts w:ascii="IFAO-Grec Unicode" w:hAnsi="IFAO-Grec Unicode"/>
          <w:rtl w:val="0"/>
          <w:lang w:val="en-US"/>
        </w:rPr>
        <w:t>, mentioned in the preceding section, served to underline the fact that scribes do not all show the same degree of competence while writing a document, and therefore are not all skilled in the same way when it comes to applying the basic rules that have been identified so far. This distinction is confirmed by a small archive that also belongs to the papyri extracted from cartonnage found in Abusir al-Malaq, the so-called Tomos of Asklepiades.</w:t>
      </w:r>
      <w:r>
        <w:rPr>
          <w:rFonts w:ascii="IFAO-Grec Unicode" w:cs="IFAO-Grec Unicode" w:hAnsi="IFAO-Grec Unicode" w:eastAsia="IFAO-Grec Unicode"/>
          <w:vertAlign w:val="superscript"/>
        </w:rPr>
        <w:footnoteReference w:id="42"/>
      </w:r>
      <w:r>
        <w:rPr>
          <w:rFonts w:ascii="IFAO-Grec Unicode" w:hAnsi="IFAO-Grec Unicode"/>
          <w:rtl w:val="0"/>
          <w:lang w:val="en-US"/>
        </w:rPr>
        <w:t xml:space="preserve"> It consists of a group of eleven private letters (three of them unpublished) covering the years 29 to 23 BCE.</w:t>
      </w:r>
      <w:r>
        <w:rPr>
          <w:rFonts w:ascii="IFAO-Grec Unicode" w:cs="IFAO-Grec Unicode" w:hAnsi="IFAO-Grec Unicode" w:eastAsia="IFAO-Grec Unicode"/>
          <w:vertAlign w:val="superscript"/>
        </w:rPr>
        <w:footnoteReference w:id="43"/>
      </w:r>
      <w:r>
        <w:rPr>
          <w:rFonts w:ascii="IFAO-Grec Unicode" w:hAnsi="IFAO-Grec Unicode"/>
          <w:rtl w:val="0"/>
          <w:lang w:val="en-US"/>
        </w:rPr>
        <w:t xml:space="preserve"> Once delivered, a registration docket was added in the top margin of some of the letters, before each was pasted into a roll, i.e. a </w:t>
      </w:r>
      <w:r>
        <w:rPr>
          <w:rFonts w:ascii="IFAO-Grec Unicode" w:hAnsi="IFAO-Grec Unicode"/>
          <w:rtl w:val="0"/>
          <w:lang w:val="it-IT"/>
        </w:rPr>
        <w:t>tomos synkollesimos</w:t>
      </w:r>
      <w:r>
        <w:rPr>
          <w:rFonts w:ascii="IFAO-Grec Unicode" w:hAnsi="IFAO-Grec Unicode"/>
          <w:rtl w:val="0"/>
          <w:lang w:val="en-US"/>
        </w:rPr>
        <w:t>, an unusual phenomenon in the case of private letters. Normally, this is done for official documents to be archived by an authority. This oddity, together with the registration dockets, suggests that the family of Asklepiades could afford the help of professional secretaries.</w:t>
      </w:r>
    </w:p>
    <w:p>
      <w:pPr>
        <w:pStyle w:val="Body"/>
        <w:rPr>
          <w:rFonts w:ascii="IFAO-Grec Unicode" w:cs="IFAO-Grec Unicode" w:hAnsi="IFAO-Grec Unicode" w:eastAsia="IFAO-Grec Unicode"/>
        </w:rPr>
      </w:pPr>
      <w:r>
        <w:rPr>
          <w:rFonts w:ascii="IFAO-Grec Unicode" w:hAnsi="IFAO-Grec Unicode"/>
          <w:rtl w:val="0"/>
          <w:lang w:val="en-US"/>
        </w:rPr>
        <w:t xml:space="preserve">Four hands are at work, the first of which belongs to a well-trained scribe who wrote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1203</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1204</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1207</w:t>
      </w:r>
      <w:r>
        <w:rPr>
          <w:rFonts w:ascii="IFAO-Grec Unicode" w:cs="IFAO-Grec Unicode" w:hAnsi="IFAO-Grec Unicode" w:eastAsia="IFAO-Grec Unicode"/>
        </w:rPr>
        <w:fldChar w:fldCharType="end" w:fldLock="0"/>
      </w:r>
      <w:r>
        <w:rPr>
          <w:rFonts w:ascii="IFAO-Grec Unicode" w:hAnsi="IFAO-Grec Unicode"/>
          <w:rtl w:val="0"/>
          <w:lang w:val="en-US"/>
        </w:rPr>
        <w:t xml:space="preserve"> (and inv. 13152c) on behalf of Isidora, Asklepiades</w:t>
      </w:r>
      <w:r>
        <w:rPr>
          <w:rFonts w:ascii="IFAO-Grec Unicode" w:hAnsi="IFAO-Grec Unicode" w:hint="default"/>
          <w:rtl w:val="1"/>
        </w:rPr>
        <w:t xml:space="preserve">’ </w:t>
      </w:r>
      <w:r>
        <w:rPr>
          <w:rFonts w:ascii="IFAO-Grec Unicode" w:hAnsi="IFAO-Grec Unicode"/>
          <w:rtl w:val="0"/>
          <w:lang w:val="en-US"/>
        </w:rPr>
        <w:t xml:space="preserve">sister. This scribe follows the pattern described above, with the text centered vertically, leaving sizeable top and bottom margins, a narrower left margin, a minimal right margin, as well as generous space between the lines.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"https://papyri.info/hgv/18657"</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1207</w:t>
      </w:r>
      <w:r>
        <w:rPr>
          <w:rFonts w:ascii="IFAO-Grec Unicode" w:cs="IFAO-Grec Unicode" w:hAnsi="IFAO-Grec Unicode" w:eastAsia="IFAO-Grec Unicode"/>
        </w:rPr>
        <w:fldChar w:fldCharType="end" w:fldLock="0"/>
      </w:r>
      <w:r>
        <w:rPr>
          <w:rFonts w:ascii="IFAO-Grec Unicode" w:hAnsi="IFAO-Grec Unicode"/>
          <w:rtl w:val="0"/>
          <w:lang w:val="en-US"/>
        </w:rPr>
        <w:t>, the top margin was used for a registration docket, and in the bottom margin another scribe, less skilled, added a post scriptum on behalf of Isidora.</w:t>
      </w:r>
    </w:p>
    <w:p>
      <w:pPr>
        <w:pStyle w:val="Body"/>
        <w:rPr>
          <w:rFonts w:ascii="IFAO-Grec Unicode" w:cs="IFAO-Grec Unicode" w:hAnsi="IFAO-Grec Unicode" w:eastAsia="IFAO-Grec Unicode"/>
        </w:rPr>
      </w:pPr>
      <w:r>
        <w:rPr>
          <w:rFonts w:ascii="IFAO-Grec Unicode" w:hAnsi="IFAO-Grec Unicode"/>
          <w:rtl w:val="0"/>
          <w:lang w:val="en-US"/>
        </w:rPr>
        <w:t>Isidora herself seems to have written some of the letters, with a hand that betrays a lower level of competence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1205</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1206</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"https://papyri.info/hgv/869383"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P.Berl. Monte 7</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cs="IFAO-Grec Unicode" w:hAnsi="IFAO-Grec Unicode" w:eastAsia="IFAO-Grec Unicode"/>
          <w:vertAlign w:val="superscript"/>
        </w:rPr>
        <w:footnoteReference w:id="44"/>
      </w:r>
      <w:r>
        <w:rPr>
          <w:rFonts w:ascii="IFAO-Grec Unicode" w:hAnsi="IFAO-Grec Unicode"/>
          <w:rtl w:val="0"/>
          <w:lang w:val="en-US"/>
        </w:rPr>
        <w:t xml:space="preserve"> She does not master cursive writing (each character is detached from the previous one), and the shape of the letters is irregular. When she started writing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BGU 4 1206</w:t>
      </w:r>
      <w:r>
        <w:rPr>
          <w:rFonts w:ascii="IFAO-Grec Unicode" w:cs="IFAO-Grec Unicode" w:hAnsi="IFAO-Grec Unicode" w:eastAsia="IFAO-Grec Unicode"/>
        </w:rPr>
        <w:fldChar w:fldCharType="end" w:fldLock="0"/>
      </w:r>
      <w:r>
        <w:rPr>
          <w:rFonts w:ascii="IFAO-Grec Unicode" w:hAnsi="IFAO-Grec Unicode"/>
          <w:rtl w:val="0"/>
          <w:lang w:val="en-US"/>
        </w:rPr>
        <w:t>, she tried to follow the basic rules for layout, leaving a generous margin at the top, a narrower one on the left, and a minimal right margin. The interlinear spacing was also quite generous. She miscalculated, however, the space she would need on the sheet.</w:t>
      </w:r>
      <w:r>
        <w:rPr>
          <w:rFonts w:ascii="IFAO-Grec Unicode" w:cs="IFAO-Grec Unicode" w:hAnsi="IFAO-Grec Unicode" w:eastAsia="IFAO-Grec Unicode"/>
          <w:vertAlign w:val="superscript"/>
        </w:rPr>
        <w:footnoteReference w:id="45"/>
      </w:r>
      <w:r>
        <w:rPr>
          <w:rFonts w:ascii="IFAO-Grec Unicode" w:hAnsi="IFAO-Grec Unicode"/>
          <w:rtl w:val="0"/>
          <w:lang w:val="en-US"/>
        </w:rPr>
        <w:t xml:space="preserve"> Thus, in the lower part of the document, the writing becomes more compact in letter-spacing, in line-spacing, and in letter-size, and Isidora ends up cramming the final greetings at the bottom of the sheet, leaving no margin.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1205</w:t>
      </w:r>
      <w:r>
        <w:rPr>
          <w:rFonts w:ascii="IFAO-Grec Unicode" w:cs="IFAO-Grec Unicode" w:hAnsi="IFAO-Grec Unicode" w:eastAsia="IFAO-Grec Unicode"/>
        </w:rPr>
        <w:fldChar w:fldCharType="end" w:fldLock="0"/>
      </w:r>
      <w:r>
        <w:rPr>
          <w:rFonts w:ascii="IFAO-Grec Unicode" w:hAnsi="IFAO-Grec Unicode"/>
          <w:rtl w:val="0"/>
          <w:lang w:val="en-US"/>
        </w:rPr>
        <w:t>, Isidora opted for a letter in two columns, but the rather irregular writing betrays a hand much less skilled than that of a professional scribe. Yet the most recently published addition to the archive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"https://papyri.info/hgv/869383"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P.Berl. Monte 7</w:t>
      </w:r>
      <w:r>
        <w:rPr>
          <w:rFonts w:ascii="IFAO-Grec Unicode" w:cs="IFAO-Grec Unicode" w:hAnsi="IFAO-Grec Unicode" w:eastAsia="IFAO-Grec Unicode"/>
        </w:rPr>
        <w:fldChar w:fldCharType="end" w:fldLock="0"/>
      </w:r>
      <w:r>
        <w:rPr>
          <w:rFonts w:ascii="IFAO-Grec Unicode" w:hAnsi="IFAO-Grec Unicode"/>
          <w:rtl w:val="0"/>
          <w:lang w:val="en-US"/>
        </w:rPr>
        <w:t xml:space="preserve">) casts a more favourable light on the skills of Isidora as a writer. Presumably because the text was shorter (six lines including the date), she could apply more consistently the rules that were described above. The sheet of papyrus (H 24.9 cm x W 14.7 cm) compares well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en-US"/>
        </w:rPr>
        <w:t xml:space="preserve"> (H 23 cm x W 15.3 cm), displayed above in the section pertaining to the Athenodoros Archive. Isidora centres her block of text, allowing for sizeable top (7.5 cm) and bottom (9.3 cm) margins, leaving a left margin of 3 cm (and virtually no right margin). The line spacing is also quite generous. In other words, when the conditions are right, she masters the basic rules; but when her text gets too long, she is at pains to stick to the same standard.</w:t>
      </w:r>
    </w:p>
    <w:p>
      <w:pPr>
        <w:pStyle w:val="Body"/>
        <w:rPr>
          <w:rFonts w:ascii="IFAO-Grec Unicode" w:cs="IFAO-Grec Unicode" w:hAnsi="IFAO-Grec Unicode" w:eastAsia="IFAO-Grec Unicode"/>
        </w:rPr>
      </w:pPr>
      <w:r>
        <w:rPr>
          <w:rFonts w:ascii="IFAO-Grec Unicode" w:hAnsi="IFAO-Grec Unicode"/>
          <w:rtl w:val="0"/>
          <w:lang w:val="en-US"/>
        </w:rPr>
        <w:t>Asklepiades receives letters written by a third hand, one from his mother Tryphaina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"https://papyri.info/hgv/23389"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2665</w:t>
      </w:r>
      <w:r>
        <w:rPr>
          <w:rFonts w:ascii="IFAO-Grec Unicode" w:cs="IFAO-Grec Unicode" w:hAnsi="IFAO-Grec Unicode" w:eastAsia="IFAO-Grec Unicode"/>
        </w:rPr>
        <w:fldChar w:fldCharType="end" w:fldLock="0"/>
      </w:r>
      <w:r>
        <w:rPr>
          <w:rFonts w:ascii="IFAO-Grec Unicode" w:hAnsi="IFAO-Grec Unicode"/>
          <w:rtl w:val="0"/>
          <w:lang w:val="en-US"/>
        </w:rPr>
        <w:t>) and the other from his brother Tryphon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1209</w:t>
      </w:r>
      <w:r>
        <w:rPr>
          <w:rFonts w:ascii="IFAO-Grec Unicode" w:cs="IFAO-Grec Unicode" w:hAnsi="IFAO-Grec Unicode" w:eastAsia="IFAO-Grec Unicode"/>
        </w:rPr>
        <w:fldChar w:fldCharType="end" w:fldLock="0"/>
      </w:r>
      <w:r>
        <w:rPr>
          <w:rFonts w:ascii="IFAO-Grec Unicode" w:hAnsi="IFAO-Grec Unicode"/>
          <w:rtl w:val="0"/>
          <w:lang w:val="en-US"/>
        </w:rPr>
        <w:t xml:space="preserve">). In accordance with his competence in producing a standard layout, this scribe has a very cursive hand and can be ranked in an intermediate position between the first scribe and Isidora: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1209</w:t>
      </w:r>
      <w:r>
        <w:rPr>
          <w:rFonts w:ascii="IFAO-Grec Unicode" w:cs="IFAO-Grec Unicode" w:hAnsi="IFAO-Grec Unicode" w:eastAsia="IFAO-Grec Unicode"/>
        </w:rPr>
        <w:fldChar w:fldCharType="end" w:fldLock="0"/>
      </w:r>
      <w:r>
        <w:rPr>
          <w:rFonts w:ascii="IFAO-Grec Unicode" w:hAnsi="IFAO-Grec Unicode"/>
          <w:rtl w:val="0"/>
          <w:lang w:val="en-US"/>
        </w:rPr>
        <w:t xml:space="preserve">, he manages the top and left margins well, keeps a generous spacing between the lines, but lacks space at the bottom; although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"https://papyri.info/hgv/23389"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2665</w:t>
      </w:r>
      <w:r>
        <w:rPr>
          <w:rFonts w:ascii="IFAO-Grec Unicode" w:cs="IFAO-Grec Unicode" w:hAnsi="IFAO-Grec Unicode" w:eastAsia="IFAO-Grec Unicode"/>
        </w:rPr>
        <w:fldChar w:fldCharType="end" w:fldLock="0"/>
      </w:r>
      <w:r>
        <w:rPr>
          <w:rFonts w:ascii="IFAO-Grec Unicode" w:hAnsi="IFAO-Grec Unicode"/>
          <w:rtl w:val="0"/>
          <w:lang w:val="en-US"/>
        </w:rPr>
        <w:t xml:space="preserve"> is heavily damaged, it seems to display a similar layout.</w:t>
      </w:r>
    </w:p>
    <w:p>
      <w:pPr>
        <w:pStyle w:val="Body"/>
        <w:rPr>
          <w:rFonts w:ascii="IFAO-Grec Unicode" w:cs="IFAO-Grec Unicode" w:hAnsi="IFAO-Grec Unicode" w:eastAsia="IFAO-Grec Unicode"/>
        </w:rPr>
      </w:pPr>
      <w:r>
        <w:rPr>
          <w:rFonts w:ascii="IFAO-Grec Unicode" w:hAnsi="IFAO-Grec Unicode"/>
          <w:rtl w:val="0"/>
          <w:lang w:val="en-US"/>
        </w:rPr>
        <w:t>Finally, a fourth hand is at work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"https://papyri.info/hgv/18658"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1208</w:t>
      </w:r>
      <w:r>
        <w:rPr>
          <w:rFonts w:ascii="IFAO-Grec Unicode" w:cs="IFAO-Grec Unicode" w:hAnsi="IFAO-Grec Unicode" w:eastAsia="IFAO-Grec Unicode"/>
        </w:rPr>
        <w:fldChar w:fldCharType="end" w:fldLock="0"/>
      </w:r>
      <w:r>
        <w:rPr>
          <w:rFonts w:ascii="IFAO-Grec Unicode" w:hAnsi="IFAO-Grec Unicode"/>
          <w:rtl w:val="0"/>
          <w:lang w:val="en-US"/>
        </w:rPr>
        <w:t>). It belongs to a scribe whose writing is both cursive and very smooth. The letter he writes on behalf of Asklepiades</w:t>
      </w:r>
      <w:r>
        <w:rPr>
          <w:rFonts w:ascii="IFAO-Grec Unicode" w:hAnsi="IFAO-Grec Unicode" w:hint="default"/>
          <w:rtl w:val="1"/>
        </w:rPr>
        <w:t xml:space="preserve">’ </w:t>
      </w:r>
      <w:r>
        <w:rPr>
          <w:rFonts w:ascii="IFAO-Grec Unicode" w:hAnsi="IFAO-Grec Unicode"/>
          <w:rtl w:val="0"/>
          <w:lang w:val="en-US"/>
        </w:rPr>
        <w:t>brother Tryphon covers three columns, the last of which is narrower than the two first columns. There is a generous top and bottom margin. This scribe has a good command of space management and he calibrates the width of the last column, reducing it, so that in the end the three columns have almost the same height.</w:t>
      </w:r>
    </w:p>
    <w:p>
      <w:pPr>
        <w:pStyle w:val="Body"/>
        <w:rPr>
          <w:rFonts w:ascii="IFAO-Grec Unicode" w:cs="IFAO-Grec Unicode" w:hAnsi="IFAO-Grec Unicode" w:eastAsia="IFAO-Grec Unicode"/>
        </w:rPr>
      </w:pPr>
      <w:r>
        <w:rPr>
          <w:rFonts w:ascii="IFAO-Grec Unicode" w:hAnsi="IFAO-Grec Unicode"/>
          <w:rtl w:val="0"/>
          <w:lang w:val="en-US"/>
        </w:rPr>
        <w:t>The Tomos of Asklepiades thus illustrates the fact that applying the basic rules towards preparing documents in the period under consideration depends in part on the skill of the scribe: the more competent ones master the system in a consistent way, whereas the writing style and the layout betray occasional writers who struggle to follow the rules, with more limited success than the professional scribes.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Petitions: Officials of the Herakleopolite nome</w:t>
      </w:r>
    </w:p>
    <w:p>
      <w:pPr>
        <w:pStyle w:val="Body"/>
        <w:rPr>
          <w:rFonts w:ascii="IFAO-Grec Unicode" w:cs="IFAO-Grec Unicode" w:hAnsi="IFAO-Grec Unicode" w:eastAsia="IFAO-Grec Unicode"/>
        </w:rPr>
      </w:pPr>
      <w:r>
        <w:rPr>
          <w:rFonts w:ascii="IFAO-Grec Unicode" w:hAnsi="IFAO-Grec Unicode"/>
          <w:rtl w:val="0"/>
          <w:lang w:val="en-US"/>
        </w:rPr>
        <w:t xml:space="preserve">Mummy cartonnage from the Herakleopolite nome has yielded another large set of documents, placed under the general label </w:t>
      </w:r>
      <w:r>
        <w:rPr>
          <w:rFonts w:ascii="IFAO-Grec Unicode" w:hAnsi="IFAO-Grec Unicode" w:hint="default"/>
          <w:rtl w:val="1"/>
          <w:lang w:val="ar-SA" w:bidi="ar-SA"/>
        </w:rPr>
        <w:t>“</w:t>
      </w:r>
      <w:r>
        <w:rPr>
          <w:rFonts w:ascii="IFAO-Grec Unicode" w:hAnsi="IFAO-Grec Unicode"/>
          <w:rtl w:val="0"/>
          <w:lang w:val="en-US"/>
        </w:rPr>
        <w:t>Archive of the officials of the Herakleopolites</w:t>
      </w:r>
      <w:r>
        <w:rPr>
          <w:rFonts w:ascii="IFAO-Grec Unicode" w:hAnsi="IFAO-Grec Unicode" w:hint="default"/>
          <w:rtl w:val="0"/>
        </w:rPr>
        <w:t>”</w:t>
      </w:r>
      <w:r>
        <w:rPr>
          <w:rFonts w:ascii="IFAO-Grec Unicode" w:hAnsi="IFAO-Grec Unicode"/>
          <w:rtl w:val="0"/>
        </w:rPr>
        <w:t>.</w:t>
      </w:r>
      <w:r>
        <w:rPr>
          <w:rFonts w:ascii="IFAO-Grec Unicode" w:cs="IFAO-Grec Unicode" w:hAnsi="IFAO-Grec Unicode" w:eastAsia="IFAO-Grec Unicode"/>
          <w:vertAlign w:val="superscript"/>
        </w:rPr>
        <w:footnoteReference w:id="46"/>
      </w:r>
      <w:r>
        <w:rPr>
          <w:rFonts w:ascii="IFAO-Grec Unicode" w:hAnsi="IFAO-Grec Unicode"/>
          <w:rtl w:val="0"/>
          <w:lang w:val="en-US"/>
        </w:rPr>
        <w:t xml:space="preserve"> It consists of several parts, of which Group III contains petitions dating from ca. 62 till 47 BCE (34 documents in the reign of Cleopatra, between 51 and 47 BCE).</w:t>
      </w:r>
      <w:r>
        <w:rPr>
          <w:rFonts w:ascii="IFAO-Grec Unicode" w:cs="IFAO-Grec Unicode" w:hAnsi="IFAO-Grec Unicode" w:eastAsia="IFAO-Grec Unicode"/>
          <w:vertAlign w:val="superscript"/>
        </w:rPr>
        <w:footnoteReference w:id="47"/>
      </w:r>
      <w:r>
        <w:rPr>
          <w:rFonts w:ascii="IFAO-Grec Unicode" w:hAnsi="IFAO-Grec Unicode"/>
          <w:rtl w:val="0"/>
          <w:lang w:val="en-US"/>
        </w:rPr>
        <w:t xml:space="preserve"> They display a high level of consistency in format, layout, and structure, which suggests that, here too, the scribes were following a set of standard rules, either explicit or implicit. Another petition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"https://papyri.info/hgv/23322"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2599</w:t>
      </w:r>
      <w:r>
        <w:rPr>
          <w:rFonts w:ascii="IFAO-Grec Unicode" w:cs="IFAO-Grec Unicode" w:hAnsi="IFAO-Grec Unicode" w:eastAsia="IFAO-Grec Unicode"/>
        </w:rPr>
        <w:fldChar w:fldCharType="end" w:fldLock="0"/>
      </w:r>
      <w:r>
        <w:rPr>
          <w:rFonts w:ascii="IFAO-Grec Unicode" w:hAnsi="IFAO-Grec Unicode"/>
          <w:rtl w:val="0"/>
          <w:lang w:val="en-US"/>
        </w:rPr>
        <w:t>), belonging also to the same cartonnage ensemble, but dating from after 27-26 BCE, preserves an identical layout.</w:t>
      </w:r>
    </w:p>
    <w:p>
      <w:pPr>
        <w:pStyle w:val="Body"/>
        <w:rPr>
          <w:rFonts w:ascii="IFAO-Grec Unicode" w:cs="IFAO-Grec Unicode" w:hAnsi="IFAO-Grec Unicode" w:eastAsia="IFAO-Grec Unicode"/>
        </w:rPr>
      </w:pPr>
      <w:r>
        <w:rPr>
          <w:rFonts w:ascii="IFAO-Grec Unicode" w:hAnsi="IFAO-Grec Unicode"/>
          <w:rtl w:val="0"/>
          <w:lang w:val="en-US"/>
        </w:rPr>
        <w:t xml:space="preserve">The sheet of papyrus was cut from a tall roll (ca. 30 cm). The shape corresponded to the </w:t>
      </w:r>
      <w:r>
        <w:rPr>
          <w:rFonts w:ascii="IFAO-Grec Unicode" w:hAnsi="IFAO-Grec Unicode"/>
          <w:rtl w:val="0"/>
          <w:lang w:val="it-IT"/>
        </w:rPr>
        <w:t>pagina</w:t>
      </w:r>
      <w:r>
        <w:rPr>
          <w:rFonts w:ascii="IFAO-Grec Unicode" w:hAnsi="IFAO-Grec Unicode"/>
          <w:rtl w:val="0"/>
          <w:lang w:val="en-US"/>
        </w:rPr>
        <w:t xml:space="preserve"> format, with horizontal fibres. The name and title of the addressee was regularly shifted slightly to the left (</w:t>
      </w:r>
      <w:r>
        <w:rPr>
          <w:rFonts w:ascii="IFAO-Grec Unicode" w:hAnsi="IFAO-Grec Unicode"/>
          <w:rtl w:val="0"/>
          <w:lang w:val="en-US"/>
        </w:rPr>
        <w:t>ekthesis</w:t>
      </w:r>
      <w:r>
        <w:rPr>
          <w:rFonts w:ascii="IFAO-Grec Unicode" w:hAnsi="IFAO-Grec Unicode"/>
          <w:rtl w:val="0"/>
          <w:lang w:val="en-US"/>
        </w:rPr>
        <w:t xml:space="preserve">), which made this element immediately visible. The text of the petition itself (not including the final greeting) often ended with a </w:t>
      </w:r>
      <w:r>
        <w:rPr>
          <w:rFonts w:ascii="IFAO-Grec Unicode" w:hAnsi="IFAO-Grec Unicode"/>
          <w:rtl w:val="0"/>
          <w:lang w:val="fr-FR"/>
        </w:rPr>
        <w:t>paragraphos</w:t>
      </w:r>
      <w:r>
        <w:rPr>
          <w:rFonts w:ascii="IFAO-Grec Unicode" w:hAnsi="IFAO-Grec Unicode"/>
          <w:rtl w:val="0"/>
          <w:lang w:val="en-US"/>
        </w:rPr>
        <w:t xml:space="preserve"> on the left.</w:t>
      </w:r>
      <w:r>
        <w:rPr>
          <w:rFonts w:ascii="IFAO-Grec Unicode" w:cs="IFAO-Grec Unicode" w:hAnsi="IFAO-Grec Unicode" w:eastAsia="IFAO-Grec Unicode"/>
          <w:vertAlign w:val="superscript"/>
        </w:rPr>
        <w:footnoteReference w:id="48"/>
      </w:r>
    </w:p>
    <w:p>
      <w:pPr>
        <w:pStyle w:val="Body"/>
        <w:rPr>
          <w:rFonts w:ascii="IFAO-Grec Unicode" w:cs="IFAO-Grec Unicode" w:hAnsi="IFAO-Grec Unicode" w:eastAsia="IFAO-Grec Unicode"/>
        </w:rPr>
      </w:pPr>
      <w:r>
        <w:rPr>
          <w:rFonts w:ascii="IFAO-Grec Unicode" w:hAnsi="IFAO-Grec Unicode"/>
          <w:rtl w:val="0"/>
          <w:lang w:val="en-US"/>
        </w:rPr>
        <w:t>The rules that apply to letter writing are not the same as those for petition writing. In the case of a petition where the plaintiffs</w:t>
      </w:r>
      <w:r>
        <w:rPr>
          <w:rFonts w:ascii="IFAO-Grec Unicode" w:hAnsi="IFAO-Grec Unicode" w:hint="default"/>
          <w:rtl w:val="1"/>
        </w:rPr>
        <w:t xml:space="preserve">’ </w:t>
      </w:r>
      <w:r>
        <w:rPr>
          <w:rFonts w:ascii="IFAO-Grec Unicode" w:hAnsi="IFAO-Grec Unicode"/>
          <w:rtl w:val="0"/>
          <w:lang w:val="en-US"/>
        </w:rPr>
        <w:t>scribe chose to use the letter form, with its characteristic heading, the format and layout correspond to those of the letters found in the Athenodoros Archive, and not to the petitions found in the Archive of the officials of the Herakleopolites.</w:t>
      </w:r>
      <w:r>
        <w:rPr>
          <w:rFonts w:ascii="IFAO-Grec Unicode" w:cs="IFAO-Grec Unicode" w:hAnsi="IFAO-Grec Unicode" w:eastAsia="IFAO-Grec Unicode"/>
          <w:vertAlign w:val="superscript"/>
        </w:rPr>
        <w:footnoteReference w:id="49"/>
      </w:r>
      <w:r>
        <w:rPr>
          <w:rFonts w:ascii="IFAO-Grec Unicode" w:hAnsi="IFAO-Grec Unicode"/>
          <w:rtl w:val="0"/>
          <w:lang w:val="en-US"/>
        </w:rPr>
        <w:t xml:space="preserve"> Particular features distinguish the layout of those petitions from that of letters. In the case of letters (see above), the top and bottom margins were preferably of the same size, creating an effect of symmetry. A reason for that may have been that a letter, conceived as a reciprocal means of communication, was normally to be answered by another letter; there was no need to leave a window below for a reply (apostil). In the case of petitions, however, communication was unidirectional: the petitioner did not receive a full document in return, but the official in charge often added an apostil below the main text of the petition.</w:t>
      </w:r>
      <w:r>
        <w:rPr>
          <w:rFonts w:ascii="IFAO-Grec Unicode" w:cs="IFAO-Grec Unicode" w:hAnsi="IFAO-Grec Unicode" w:eastAsia="IFAO-Grec Unicode"/>
          <w:vertAlign w:val="superscript"/>
        </w:rPr>
        <w:footnoteReference w:id="50"/>
      </w:r>
      <w:r>
        <w:rPr>
          <w:rFonts w:ascii="IFAO-Grec Unicode" w:hAnsi="IFAO-Grec Unicode"/>
          <w:rtl w:val="0"/>
          <w:lang w:val="en-US"/>
        </w:rPr>
        <w:t xml:space="preserve"> The scribes therefore had to provide the space for the apostil, which may explain the asymmetrical dimensions of the top and bottom margin, the latter being often more generous. In several instances, a red stamp was applied to the document, either at the top or </w:t>
      </w:r>
      <w:r>
        <w:rPr>
          <w:rFonts w:ascii="IFAO-Grec Unicode" w:hAnsi="IFAO-Grec Unicode" w:hint="default"/>
          <w:rtl w:val="0"/>
        </w:rPr>
        <w:t xml:space="preserve">– </w:t>
      </w:r>
      <w:r>
        <w:rPr>
          <w:rFonts w:ascii="IFAO-Grec Unicode" w:hAnsi="IFAO-Grec Unicode"/>
          <w:rtl w:val="0"/>
          <w:lang w:val="en-US"/>
        </w:rPr>
        <w:t xml:space="preserve">more seldom </w:t>
      </w:r>
      <w:r>
        <w:rPr>
          <w:rFonts w:ascii="IFAO-Grec Unicode" w:hAnsi="IFAO-Grec Unicode" w:hint="default"/>
          <w:rtl w:val="0"/>
        </w:rPr>
        <w:t xml:space="preserve">– </w:t>
      </w:r>
      <w:r>
        <w:rPr>
          <w:rFonts w:ascii="IFAO-Grec Unicode" w:hAnsi="IFAO-Grec Unicode"/>
          <w:rtl w:val="0"/>
          <w:lang w:val="en-US"/>
        </w:rPr>
        <w:t>at the bottom of the sheet.</w:t>
      </w:r>
      <w:r>
        <w:rPr>
          <w:rFonts w:ascii="IFAO-Grec Unicode" w:cs="IFAO-Grec Unicode" w:hAnsi="IFAO-Grec Unicode" w:eastAsia="IFAO-Grec Unicode"/>
          <w:vertAlign w:val="superscript"/>
        </w:rPr>
        <w:footnoteReference w:id="51"/>
      </w:r>
      <w:r>
        <w:rPr>
          <w:rFonts w:ascii="IFAO-Grec Unicode" w:hAnsi="IFAO-Grec Unicode"/>
          <w:rtl w:val="0"/>
          <w:lang w:val="en-US"/>
        </w:rPr>
        <w:t xml:space="preserve"> This was presumably meant to confirm registration of the petition in the official archives.</w:t>
      </w:r>
    </w:p>
    <w:p>
      <w:pPr>
        <w:pStyle w:val="Body"/>
        <w:rPr>
          <w:rFonts w:ascii="IFAO-Grec Unicode" w:cs="IFAO-Grec Unicode" w:hAnsi="IFAO-Grec Unicode" w:eastAsia="IFAO-Grec Unicode"/>
        </w:rPr>
      </w:pPr>
      <w:r>
        <w:rPr>
          <w:rFonts w:ascii="IFAO-Grec Unicode" w:hAnsi="IFAO-Grec Unicode"/>
          <w:rtl w:val="0"/>
          <w:lang w:val="en-US"/>
        </w:rPr>
        <w:t xml:space="preserve">Several of the key typological elements that appear in those petitions are already on display in an earlier petition that does not belong to this archive,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"https://papyri.info/hgv/3094"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P.Dion. 11</w:t>
      </w:r>
      <w:r>
        <w:rPr>
          <w:rFonts w:ascii="IFAO-Grec Unicode" w:cs="IFAO-Grec Unicode" w:hAnsi="IFAO-Grec Unicode" w:eastAsia="IFAO-Grec Unicode"/>
        </w:rPr>
        <w:fldChar w:fldCharType="end" w:fldLock="0"/>
      </w:r>
      <w:r>
        <w:rPr>
          <w:rFonts w:ascii="IFAO-Grec Unicode" w:hAnsi="IFAO-Grec Unicode"/>
          <w:rtl w:val="0"/>
          <w:lang w:val="en-US"/>
        </w:rPr>
        <w:t xml:space="preserve"> (= P.Rein. 1.18 = M.Chr. 26 = Sel. Pap. 2.277; ca. 108 BCE, Hermopolite nome). This suggests that the scribes active in the Herakleopolite archive did not innovate: on the contrary, they were following a well-established practice that was already in use at a distance of ca. 150 km as the crow flies, more than half a century earlier.</w:t>
      </w:r>
      <w:r>
        <w:rPr>
          <w:rFonts w:ascii="IFAO-Grec Unicode" w:cs="IFAO-Grec Unicode" w:hAnsi="IFAO-Grec Unicode" w:eastAsia="IFAO-Grec Unicode"/>
          <w:vertAlign w:val="superscript"/>
        </w:rPr>
        <w:footnoteReference w:id="52"/>
      </w:r>
      <w:r>
        <w:rPr>
          <w:rFonts w:ascii="IFAO-Grec Unicode" w:hAnsi="IFAO-Grec Unicode"/>
          <w:rtl w:val="0"/>
          <w:lang w:val="en-US"/>
        </w:rPr>
        <w:t xml:space="preserve"> The table below offers a basic comparison between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"https://papyri.info/hgv/3094"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P.Dion. 11</w:t>
      </w:r>
      <w:r>
        <w:rPr>
          <w:rFonts w:ascii="IFAO-Grec Unicode" w:cs="IFAO-Grec Unicode" w:hAnsi="IFAO-Grec Unicode" w:eastAsia="IFAO-Grec Unicode"/>
        </w:rPr>
        <w:fldChar w:fldCharType="end" w:fldLock="0"/>
      </w:r>
      <w:r>
        <w:rPr>
          <w:rFonts w:ascii="IFAO-Grec Unicode" w:hAnsi="IFAO-Grec Unicode"/>
          <w:rtl w:val="0"/>
          <w:lang w:val="en-US"/>
        </w:rPr>
        <w:t xml:space="preserve"> and four well-preserved Herakleopolite petitions.</w:t>
      </w:r>
    </w:p>
    <w:p>
      <w:pPr>
        <w:pStyle w:val="Body"/>
        <w:rPr>
          <w:rFonts w:ascii="IFAO-Grec Unicode" w:cs="IFAO-Grec Unicode" w:hAnsi="IFAO-Grec Unicode" w:eastAsia="IFAO-Grec Unicode"/>
        </w:rPr>
      </w:pPr>
    </w:p>
    <w:p>
      <w:pPr>
        <w:pStyle w:val="Body"/>
        <w:keepNext w:val="1"/>
        <w:rPr>
          <w:rFonts w:ascii="IFAO-Grec Unicode" w:cs="IFAO-Grec Unicode" w:hAnsi="IFAO-Grec Unicode" w:eastAsia="IFAO-Grec Unicode"/>
        </w:rPr>
      </w:pPr>
      <w:r>
        <w:rPr>
          <w:rFonts w:ascii="IFAO-Grec Unicode" w:hAnsi="IFAO-Grec Unicode"/>
          <w:b w:val="1"/>
          <w:bCs w:val="1"/>
          <w:rtl w:val="0"/>
          <w:lang w:val="fr-FR"/>
        </w:rPr>
        <w:t>Table 1</w:t>
      </w:r>
      <w:r>
        <w:rPr>
          <w:rFonts w:ascii="IFAO-Grec Unicode" w:hAnsi="IFAO-Grec Unicode"/>
          <w:rtl w:val="0"/>
          <w:lang w:val="en-US"/>
        </w:rPr>
        <w:t xml:space="preserve"> Comparison of typological features of various petitions.</w:t>
      </w:r>
    </w:p>
    <w:p>
      <w:pPr>
        <w:pStyle w:val="Body"/>
        <w:keepNext w:val="1"/>
        <w:rPr>
          <w:rFonts w:ascii="IFAO-Grec Unicode" w:cs="IFAO-Grec Unicode" w:hAnsi="IFAO-Grec Unicode" w:eastAsia="IFAO-Grec Unicode"/>
        </w:rPr>
      </w:pPr>
    </w:p>
    <w:p>
      <w:pPr>
        <w:pStyle w:val="Body"/>
        <w:keepNext w:val="1"/>
        <w:rPr>
          <w:rFonts w:ascii="IFAO-Grec Unicode" w:cs="IFAO-Grec Unicode" w:hAnsi="IFAO-Grec Unicode" w:eastAsia="IFAO-Grec Unicode"/>
        </w:rPr>
      </w:pPr>
    </w:p>
    <w:p>
      <w:pPr>
        <w:pStyle w:val="Body"/>
        <w:keepNext w:val="1"/>
        <w:rPr>
          <w:rFonts w:ascii="IFAO-Grec Unicode" w:cs="IFAO-Grec Unicode" w:hAnsi="IFAO-Grec Unicode" w:eastAsia="IFAO-Grec Unicode"/>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93"/>
        <w:gridCol w:w="1100"/>
        <w:gridCol w:w="1266"/>
        <w:gridCol w:w="1334"/>
        <w:gridCol w:w="1358"/>
        <w:gridCol w:w="1310"/>
        <w:gridCol w:w="1311"/>
      </w:tblGrid>
      <w:tr>
        <w:tblPrEx>
          <w:shd w:val="clear" w:color="auto" w:fill="cad1d7"/>
        </w:tblPrEx>
        <w:trPr>
          <w:trHeight w:val="667" w:hRule="atLeast"/>
        </w:trPr>
        <w:tc>
          <w:tcPr>
            <w:tcW w:type="dxa" w:w="1393"/>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0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16"/>
                <w:szCs w:val="16"/>
                <w:shd w:val="nil" w:color="auto" w:fill="auto"/>
              </w:rPr>
            </w:pPr>
            <w:r>
              <w:rPr>
                <w:rStyle w:val="Hyperlink.4"/>
                <w:sz w:val="20"/>
                <w:szCs w:val="20"/>
                <w:shd w:val="nil" w:color="auto" w:fill="auto"/>
                <w:lang w:val="en-US"/>
              </w:rPr>
              <w:fldChar w:fldCharType="begin" w:fldLock="0"/>
            </w:r>
            <w:r>
              <w:rPr>
                <w:rStyle w:val="Hyperlink.4"/>
                <w:sz w:val="20"/>
                <w:szCs w:val="20"/>
                <w:shd w:val="nil" w:color="auto" w:fill="auto"/>
                <w:lang w:val="en-US"/>
              </w:rPr>
              <w:instrText xml:space="preserve"> HYPERLINK "https://papyri.info/hgv/3094"</w:instrText>
            </w:r>
            <w:r>
              <w:rPr>
                <w:rStyle w:val="Hyperlink.4"/>
                <w:sz w:val="20"/>
                <w:szCs w:val="20"/>
                <w:shd w:val="nil" w:color="auto" w:fill="auto"/>
                <w:lang w:val="en-US"/>
              </w:rPr>
              <w:fldChar w:fldCharType="separate" w:fldLock="0"/>
            </w:r>
            <w:r>
              <w:rPr>
                <w:rStyle w:val="Hyperlink.4"/>
                <w:sz w:val="20"/>
                <w:szCs w:val="20"/>
                <w:shd w:val="nil" w:color="auto" w:fill="auto"/>
                <w:rtl w:val="0"/>
                <w:lang w:val="en-US"/>
              </w:rPr>
              <w:t>P.Dion. 11</w:t>
            </w:r>
            <w:r>
              <w:rPr>
                <w:sz w:val="16"/>
                <w:szCs w:val="16"/>
              </w:rPr>
              <w:fldChar w:fldCharType="end" w:fldLock="0"/>
            </w:r>
          </w:p>
          <w:p>
            <w:pPr>
              <w:pStyle w:val="Body"/>
              <w:keepNext w:val="1"/>
              <w:bidi w:val="0"/>
              <w:ind w:left="0" w:right="0" w:firstLine="0"/>
              <w:jc w:val="left"/>
              <w:rPr>
                <w:rtl w:val="0"/>
              </w:rPr>
            </w:pPr>
            <w:r>
              <w:rPr>
                <w:sz w:val="20"/>
                <w:szCs w:val="20"/>
                <w:shd w:val="nil" w:color="auto" w:fill="auto"/>
                <w:rtl w:val="0"/>
                <w:lang w:val="en-US"/>
              </w:rPr>
              <w:t>108 BCE</w:t>
            </w:r>
          </w:p>
        </w:tc>
        <w:tc>
          <w:tcPr>
            <w:tcW w:type="dxa" w:w="126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rStyle w:val="Hyperlink.5"/>
                <w:sz w:val="20"/>
                <w:szCs w:val="20"/>
              </w:rPr>
              <w:fldChar w:fldCharType="begin" w:fldLock="0"/>
            </w:r>
            <w:r>
              <w:rPr>
                <w:rStyle w:val="Hyperlink.5"/>
                <w:sz w:val="20"/>
                <w:szCs w:val="20"/>
              </w:rPr>
              <w:instrText xml:space="preserve"> HYPERLINK "https://papyri.info/hgv/4911"</w:instrText>
            </w:r>
            <w:r>
              <w:rPr>
                <w:rStyle w:val="Hyperlink.5"/>
                <w:sz w:val="20"/>
                <w:szCs w:val="20"/>
              </w:rPr>
              <w:fldChar w:fldCharType="separate" w:fldLock="0"/>
            </w:r>
            <w:r>
              <w:rPr>
                <w:rStyle w:val="Hyperlink.5"/>
                <w:sz w:val="20"/>
                <w:szCs w:val="20"/>
                <w:rtl w:val="0"/>
                <w:lang w:val="en-US"/>
              </w:rPr>
              <w:t>BGU 8 1832</w:t>
            </w:r>
            <w:r>
              <w:rPr>
                <w:sz w:val="20"/>
                <w:szCs w:val="20"/>
              </w:rPr>
              <w:fldChar w:fldCharType="end" w:fldLock="0"/>
            </w:r>
          </w:p>
          <w:p>
            <w:pPr>
              <w:pStyle w:val="Body"/>
              <w:keepNext w:val="1"/>
              <w:bidi w:val="0"/>
              <w:ind w:left="0" w:right="0" w:firstLine="0"/>
              <w:jc w:val="left"/>
              <w:rPr>
                <w:rtl w:val="0"/>
              </w:rPr>
            </w:pPr>
            <w:r>
              <w:rPr>
                <w:sz w:val="20"/>
                <w:szCs w:val="20"/>
                <w:shd w:val="nil" w:color="auto" w:fill="auto"/>
                <w:rtl w:val="0"/>
                <w:lang w:val="en-US"/>
              </w:rPr>
              <w:t>51 BCE</w:t>
            </w:r>
          </w:p>
        </w:tc>
        <w:tc>
          <w:tcPr>
            <w:tcW w:type="dxa" w:w="133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rStyle w:val="Hyperlink.5"/>
                <w:sz w:val="20"/>
                <w:szCs w:val="20"/>
              </w:rPr>
              <w:fldChar w:fldCharType="begin" w:fldLock="0"/>
            </w:r>
            <w:r>
              <w:rPr>
                <w:rStyle w:val="Hyperlink.5"/>
                <w:sz w:val="20"/>
                <w:szCs w:val="20"/>
              </w:rPr>
              <w:instrText xml:space="preserve"> HYPERLINK "https://papyri.info/hgv/4912"</w:instrText>
            </w:r>
            <w:r>
              <w:rPr>
                <w:rStyle w:val="Hyperlink.5"/>
                <w:sz w:val="20"/>
                <w:szCs w:val="20"/>
              </w:rPr>
              <w:fldChar w:fldCharType="separate" w:fldLock="0"/>
            </w:r>
            <w:r>
              <w:rPr>
                <w:rStyle w:val="Hyperlink.5"/>
                <w:sz w:val="20"/>
                <w:szCs w:val="20"/>
                <w:rtl w:val="0"/>
                <w:lang w:val="en-US"/>
              </w:rPr>
              <w:t>BGU 8 1833</w:t>
            </w:r>
            <w:r>
              <w:rPr>
                <w:sz w:val="20"/>
                <w:szCs w:val="20"/>
              </w:rPr>
              <w:fldChar w:fldCharType="end" w:fldLock="0"/>
            </w:r>
          </w:p>
          <w:p>
            <w:pPr>
              <w:pStyle w:val="Body"/>
              <w:keepNext w:val="1"/>
              <w:bidi w:val="0"/>
              <w:ind w:left="0" w:right="0" w:firstLine="0"/>
              <w:jc w:val="left"/>
              <w:rPr>
                <w:rtl w:val="0"/>
              </w:rPr>
            </w:pPr>
            <w:r>
              <w:rPr>
                <w:sz w:val="20"/>
                <w:szCs w:val="20"/>
                <w:shd w:val="nil" w:color="auto" w:fill="auto"/>
                <w:rtl w:val="0"/>
                <w:lang w:val="en-US"/>
              </w:rPr>
              <w:t>51-50 BCE</w:t>
            </w:r>
          </w:p>
        </w:tc>
        <w:tc>
          <w:tcPr>
            <w:tcW w:type="dxa" w:w="135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rStyle w:val="Hyperlink.5"/>
                <w:sz w:val="20"/>
                <w:szCs w:val="20"/>
              </w:rPr>
              <w:fldChar w:fldCharType="begin" w:fldLock="0"/>
            </w:r>
            <w:r>
              <w:rPr>
                <w:rStyle w:val="Hyperlink.5"/>
                <w:sz w:val="20"/>
                <w:szCs w:val="20"/>
              </w:rPr>
              <w:instrText xml:space="preserve"> HYPERLINK "https://papyri.info/hgv/4524"</w:instrText>
            </w:r>
            <w:r>
              <w:rPr>
                <w:rStyle w:val="Hyperlink.5"/>
                <w:sz w:val="20"/>
                <w:szCs w:val="20"/>
              </w:rPr>
              <w:fldChar w:fldCharType="separate" w:fldLock="0"/>
            </w:r>
            <w:r>
              <w:rPr>
                <w:rStyle w:val="Hyperlink.5"/>
                <w:sz w:val="20"/>
                <w:szCs w:val="20"/>
                <w:rtl w:val="0"/>
                <w:lang w:val="en-US"/>
              </w:rPr>
              <w:t>BGU 4 1187</w:t>
            </w:r>
            <w:r>
              <w:rPr>
                <w:sz w:val="20"/>
                <w:szCs w:val="20"/>
              </w:rPr>
              <w:fldChar w:fldCharType="end" w:fldLock="0"/>
            </w:r>
          </w:p>
          <w:p>
            <w:pPr>
              <w:pStyle w:val="Body"/>
              <w:keepNext w:val="1"/>
              <w:bidi w:val="0"/>
              <w:ind w:left="0" w:right="0" w:firstLine="0"/>
              <w:jc w:val="left"/>
              <w:rPr>
                <w:rtl w:val="0"/>
              </w:rPr>
            </w:pPr>
            <w:r>
              <w:rPr>
                <w:sz w:val="20"/>
                <w:szCs w:val="20"/>
                <w:shd w:val="nil" w:color="auto" w:fill="auto"/>
                <w:rtl w:val="0"/>
                <w:lang w:val="en-US"/>
              </w:rPr>
              <w:t>ca. 49-48 BCE</w:t>
            </w:r>
          </w:p>
        </w:tc>
        <w:tc>
          <w:tcPr>
            <w:tcW w:type="dxa" w:w="131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rStyle w:val="Hyperlink.5"/>
                <w:sz w:val="20"/>
                <w:szCs w:val="20"/>
              </w:rPr>
              <w:fldChar w:fldCharType="begin" w:fldLock="0"/>
            </w:r>
            <w:r>
              <w:rPr>
                <w:rStyle w:val="Hyperlink.5"/>
                <w:sz w:val="20"/>
                <w:szCs w:val="20"/>
              </w:rPr>
              <w:instrText xml:space="preserve"> HYPERLINK "https://papyri.info/hgv/4927"</w:instrText>
            </w:r>
            <w:r>
              <w:rPr>
                <w:rStyle w:val="Hyperlink.5"/>
                <w:sz w:val="20"/>
                <w:szCs w:val="20"/>
              </w:rPr>
              <w:fldChar w:fldCharType="separate" w:fldLock="0"/>
            </w:r>
            <w:r>
              <w:rPr>
                <w:rStyle w:val="Hyperlink.5"/>
                <w:sz w:val="20"/>
                <w:szCs w:val="20"/>
                <w:rtl w:val="0"/>
                <w:lang w:val="en-US"/>
              </w:rPr>
              <w:t>BGU 8 1848</w:t>
            </w:r>
            <w:r>
              <w:rPr>
                <w:sz w:val="20"/>
                <w:szCs w:val="20"/>
              </w:rPr>
              <w:fldChar w:fldCharType="end" w:fldLock="0"/>
            </w:r>
          </w:p>
          <w:p>
            <w:pPr>
              <w:pStyle w:val="Body"/>
              <w:keepNext w:val="1"/>
              <w:bidi w:val="0"/>
              <w:ind w:left="0" w:right="0" w:firstLine="0"/>
              <w:jc w:val="left"/>
              <w:rPr>
                <w:rtl w:val="0"/>
              </w:rPr>
            </w:pPr>
            <w:r>
              <w:rPr>
                <w:b w:val="0"/>
                <w:bCs w:val="0"/>
                <w:sz w:val="20"/>
                <w:szCs w:val="20"/>
                <w:shd w:val="nil" w:color="auto" w:fill="auto"/>
                <w:rtl w:val="0"/>
                <w:lang w:val="en-US"/>
              </w:rPr>
              <w:t>ca. 47 BCE</w:t>
            </w:r>
          </w:p>
        </w:tc>
        <w:tc>
          <w:tcPr>
            <w:tcW w:type="dxa" w:w="1310"/>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rStyle w:val="Hyperlink.5"/>
                <w:sz w:val="20"/>
                <w:szCs w:val="20"/>
              </w:rPr>
              <w:fldChar w:fldCharType="begin" w:fldLock="0"/>
            </w:r>
            <w:r>
              <w:rPr>
                <w:rStyle w:val="Hyperlink.5"/>
                <w:sz w:val="20"/>
                <w:szCs w:val="20"/>
              </w:rPr>
              <w:instrText xml:space="preserve"> HYPERLINK "https://papyri.info/hgv/23322"</w:instrText>
            </w:r>
            <w:r>
              <w:rPr>
                <w:rStyle w:val="Hyperlink.5"/>
                <w:sz w:val="20"/>
                <w:szCs w:val="20"/>
              </w:rPr>
              <w:fldChar w:fldCharType="separate" w:fldLock="0"/>
            </w:r>
            <w:r>
              <w:rPr>
                <w:rStyle w:val="Hyperlink.5"/>
                <w:sz w:val="20"/>
                <w:szCs w:val="20"/>
                <w:rtl w:val="0"/>
                <w:lang w:val="en-US"/>
              </w:rPr>
              <w:t>BGU 16 2599</w:t>
            </w:r>
            <w:r>
              <w:rPr>
                <w:sz w:val="20"/>
                <w:szCs w:val="20"/>
              </w:rPr>
              <w:fldChar w:fldCharType="end" w:fldLock="0"/>
            </w:r>
          </w:p>
          <w:p>
            <w:pPr>
              <w:pStyle w:val="Body"/>
              <w:keepNext w:val="1"/>
              <w:bidi w:val="0"/>
              <w:ind w:left="0" w:right="0" w:firstLine="0"/>
              <w:jc w:val="left"/>
              <w:rPr>
                <w:rtl w:val="0"/>
              </w:rPr>
            </w:pPr>
            <w:r>
              <w:rPr>
                <w:sz w:val="20"/>
                <w:szCs w:val="20"/>
                <w:shd w:val="nil" w:color="auto" w:fill="auto"/>
                <w:rtl w:val="0"/>
                <w:lang w:val="en-US"/>
              </w:rPr>
              <w:t>later than 27-26 BCE</w:t>
            </w:r>
          </w:p>
        </w:tc>
      </w:tr>
      <w:tr>
        <w:tblPrEx>
          <w:shd w:val="clear" w:color="auto" w:fill="cad1d7"/>
        </w:tblPrEx>
        <w:trPr>
          <w:trHeight w:val="662" w:hRule="atLeast"/>
        </w:trPr>
        <w:tc>
          <w:tcPr>
            <w:tcW w:type="dxa" w:w="1393"/>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i w:val="1"/>
                <w:iCs w:val="1"/>
                <w:sz w:val="20"/>
                <w:szCs w:val="20"/>
                <w:shd w:val="nil" w:color="auto" w:fill="auto"/>
                <w:rtl w:val="0"/>
                <w:lang w:val="en-US"/>
              </w:rPr>
              <w:t>pagina</w:t>
            </w:r>
            <w:r>
              <w:rPr>
                <w:sz w:val="20"/>
                <w:szCs w:val="20"/>
                <w:shd w:val="nil" w:color="auto" w:fill="auto"/>
                <w:rtl w:val="0"/>
                <w:lang w:val="en-US"/>
              </w:rPr>
              <w:t>, horizontal fibres</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29.5 cm</w:t>
            </w:r>
          </w:p>
          <w:p>
            <w:pPr>
              <w:pStyle w:val="Body"/>
              <w:keepNext w:val="1"/>
              <w:bidi w:val="0"/>
              <w:ind w:left="0" w:right="0" w:firstLine="0"/>
              <w:jc w:val="left"/>
              <w:rPr>
                <w:rtl w:val="0"/>
              </w:rPr>
            </w:pPr>
            <w:r>
              <w:rPr>
                <w:sz w:val="20"/>
                <w:szCs w:val="20"/>
                <w:shd w:val="nil" w:color="auto" w:fill="auto"/>
                <w:rtl w:val="0"/>
                <w:lang w:val="en-US"/>
              </w:rPr>
              <w:t>W 13.0 cm</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31.8 cm</w:t>
            </w:r>
          </w:p>
          <w:p>
            <w:pPr>
              <w:pStyle w:val="Body"/>
              <w:keepNext w:val="1"/>
              <w:bidi w:val="0"/>
              <w:ind w:left="0" w:right="0" w:firstLine="0"/>
              <w:jc w:val="left"/>
              <w:rPr>
                <w:rtl w:val="0"/>
              </w:rPr>
            </w:pPr>
            <w:r>
              <w:rPr>
                <w:sz w:val="20"/>
                <w:szCs w:val="20"/>
                <w:shd w:val="nil" w:color="auto" w:fill="auto"/>
                <w:rtl w:val="0"/>
                <w:lang w:val="en-US"/>
              </w:rPr>
              <w:t>W 14.0 cm</w:t>
            </w:r>
          </w:p>
        </w:tc>
        <w:tc>
          <w:tcPr>
            <w:tcW w:type="dxa" w:w="1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31.5 cm</w:t>
            </w:r>
          </w:p>
          <w:p>
            <w:pPr>
              <w:pStyle w:val="Body"/>
              <w:keepNext w:val="1"/>
              <w:bidi w:val="0"/>
              <w:ind w:left="0" w:right="0" w:firstLine="0"/>
              <w:jc w:val="left"/>
              <w:rPr>
                <w:rtl w:val="0"/>
              </w:rPr>
            </w:pPr>
            <w:r>
              <w:rPr>
                <w:sz w:val="20"/>
                <w:szCs w:val="20"/>
                <w:shd w:val="nil" w:color="auto" w:fill="auto"/>
                <w:rtl w:val="0"/>
                <w:lang w:val="en-US"/>
              </w:rPr>
              <w:t>W 12.5 cm</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30.0 cm</w:t>
            </w:r>
          </w:p>
          <w:p>
            <w:pPr>
              <w:pStyle w:val="Body"/>
              <w:keepNext w:val="1"/>
              <w:bidi w:val="0"/>
              <w:ind w:left="0" w:right="0" w:firstLine="0"/>
              <w:jc w:val="left"/>
              <w:rPr>
                <w:rtl w:val="0"/>
              </w:rPr>
            </w:pPr>
            <w:r>
              <w:rPr>
                <w:sz w:val="20"/>
                <w:szCs w:val="20"/>
                <w:shd w:val="nil" w:color="auto" w:fill="auto"/>
                <w:rtl w:val="0"/>
                <w:lang w:val="en-US"/>
              </w:rPr>
              <w:t>W 13.0 cm</w:t>
            </w: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31.0 cm</w:t>
            </w:r>
          </w:p>
          <w:p>
            <w:pPr>
              <w:pStyle w:val="Body"/>
              <w:keepNext w:val="1"/>
              <w:bidi w:val="0"/>
              <w:ind w:left="0" w:right="0" w:firstLine="0"/>
              <w:jc w:val="left"/>
              <w:rPr>
                <w:rtl w:val="0"/>
              </w:rPr>
            </w:pPr>
            <w:r>
              <w:rPr>
                <w:sz w:val="20"/>
                <w:szCs w:val="20"/>
                <w:shd w:val="nil" w:color="auto" w:fill="auto"/>
                <w:rtl w:val="0"/>
                <w:lang w:val="en-US"/>
              </w:rPr>
              <w:t>W 10.0 cm</w:t>
            </w:r>
          </w:p>
        </w:tc>
        <w:tc>
          <w:tcPr>
            <w:tcW w:type="dxa" w:w="131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left"/>
              <w:rPr>
                <w:sz w:val="20"/>
                <w:szCs w:val="20"/>
                <w:shd w:val="nil" w:color="auto" w:fill="auto"/>
              </w:rPr>
            </w:pPr>
            <w:r>
              <w:rPr>
                <w:sz w:val="20"/>
                <w:szCs w:val="20"/>
                <w:shd w:val="nil" w:color="auto" w:fill="auto"/>
                <w:rtl w:val="0"/>
                <w:lang w:val="en-US"/>
              </w:rPr>
              <w:t>H 30 cm</w:t>
            </w:r>
          </w:p>
          <w:p>
            <w:pPr>
              <w:pStyle w:val="Body"/>
              <w:keepNext w:val="1"/>
              <w:bidi w:val="0"/>
              <w:ind w:left="0" w:right="0" w:firstLine="0"/>
              <w:jc w:val="left"/>
              <w:rPr>
                <w:rtl w:val="0"/>
              </w:rPr>
            </w:pPr>
            <w:r>
              <w:rPr>
                <w:sz w:val="20"/>
                <w:szCs w:val="20"/>
                <w:shd w:val="nil" w:color="auto" w:fill="auto"/>
                <w:rtl w:val="0"/>
                <w:lang w:val="en-US"/>
              </w:rPr>
              <w:t>W 12 cm</w:t>
            </w:r>
          </w:p>
        </w:tc>
      </w:tr>
      <w:tr>
        <w:tblPrEx>
          <w:shd w:val="clear" w:color="auto" w:fill="cad1d7"/>
        </w:tblPrEx>
        <w:trPr>
          <w:trHeight w:val="442" w:hRule="atLeast"/>
        </w:trPr>
        <w:tc>
          <w:tcPr>
            <w:tcW w:type="dxa" w:w="1393"/>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i w:val="0"/>
                <w:iCs w:val="0"/>
                <w:sz w:val="20"/>
                <w:szCs w:val="20"/>
                <w:shd w:val="nil" w:color="auto" w:fill="auto"/>
                <w:rtl w:val="0"/>
                <w:lang w:val="en-US"/>
              </w:rPr>
              <w:t xml:space="preserve">addressee in </w:t>
            </w:r>
            <w:r>
              <w:rPr>
                <w:i w:val="1"/>
                <w:iCs w:val="1"/>
                <w:sz w:val="20"/>
                <w:szCs w:val="20"/>
                <w:shd w:val="nil" w:color="auto" w:fill="auto"/>
                <w:rtl w:val="0"/>
                <w:lang w:val="en-US"/>
              </w:rPr>
              <w:t>ekthesis</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1</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lines 1-2</w:t>
            </w:r>
          </w:p>
        </w:tc>
        <w:tc>
          <w:tcPr>
            <w:tcW w:type="dxa" w:w="1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lines 1-2</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lines 1-2</w:t>
            </w: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lines 1-2</w:t>
            </w:r>
          </w:p>
        </w:tc>
        <w:tc>
          <w:tcPr>
            <w:tcW w:type="dxa" w:w="131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1</w:t>
            </w:r>
          </w:p>
        </w:tc>
      </w:tr>
      <w:tr>
        <w:tblPrEx>
          <w:shd w:val="clear" w:color="auto" w:fill="cad1d7"/>
        </w:tblPrEx>
        <w:trPr>
          <w:trHeight w:val="662" w:hRule="atLeast"/>
        </w:trPr>
        <w:tc>
          <w:tcPr>
            <w:tcW w:type="dxa" w:w="1393"/>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i w:val="0"/>
                <w:iCs w:val="0"/>
                <w:sz w:val="20"/>
                <w:szCs w:val="20"/>
                <w:shd w:val="nil" w:color="auto" w:fill="auto"/>
                <w:rtl w:val="0"/>
                <w:lang w:val="en-US"/>
              </w:rPr>
              <w:t xml:space="preserve">petition ends with </w:t>
            </w:r>
            <w:r>
              <w:rPr>
                <w:i w:val="1"/>
                <w:iCs w:val="1"/>
                <w:sz w:val="20"/>
                <w:szCs w:val="20"/>
                <w:shd w:val="nil" w:color="auto" w:fill="auto"/>
                <w:rtl w:val="0"/>
                <w:lang w:val="en-US"/>
              </w:rPr>
              <w:t>paragraphos</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36</w:t>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18</w:t>
            </w:r>
          </w:p>
        </w:tc>
        <w:tc>
          <w:tcPr>
            <w:tcW w:type="dxa" w:w="1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27</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35</w:t>
            </w: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29</w:t>
            </w:r>
          </w:p>
        </w:tc>
        <w:tc>
          <w:tcPr>
            <w:tcW w:type="dxa" w:w="131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w:t>
            </w:r>
          </w:p>
        </w:tc>
      </w:tr>
      <w:tr>
        <w:tblPrEx>
          <w:shd w:val="clear" w:color="auto" w:fill="cad1d7"/>
        </w:tblPrEx>
        <w:trPr>
          <w:trHeight w:val="662" w:hRule="atLeast"/>
        </w:trPr>
        <w:tc>
          <w:tcPr>
            <w:tcW w:type="dxa" w:w="1393"/>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space left at bottom for apostil</w:t>
            </w:r>
          </w:p>
        </w:tc>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lines 38-42</w:t>
            </w:r>
            <w:r>
              <w:rPr>
                <w:sz w:val="20"/>
                <w:szCs w:val="20"/>
                <w:shd w:val="nil" w:color="auto" w:fill="auto"/>
              </w:rPr>
            </w:r>
          </w:p>
        </w:tc>
        <w:tc>
          <w:tcPr>
            <w:tcW w:type="dxa" w:w="1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20</w:t>
            </w:r>
          </w:p>
        </w:tc>
        <w:tc>
          <w:tcPr>
            <w:tcW w:type="dxa" w:w="1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line 29</w:t>
            </w:r>
          </w:p>
        </w:tc>
        <w:tc>
          <w:tcPr>
            <w:tcW w:type="dxa" w:w="13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no apostil</w:t>
            </w:r>
          </w:p>
        </w:tc>
        <w:tc>
          <w:tcPr>
            <w:tcW w:type="dxa" w:w="13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no apostil</w:t>
            </w:r>
          </w:p>
        </w:tc>
        <w:tc>
          <w:tcPr>
            <w:tcW w:type="dxa" w:w="1310"/>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left"/>
            </w:pPr>
            <w:r>
              <w:rPr>
                <w:sz w:val="20"/>
                <w:szCs w:val="20"/>
                <w:shd w:val="nil" w:color="auto" w:fill="auto"/>
                <w:rtl w:val="0"/>
                <w:lang w:val="en-US"/>
              </w:rPr>
              <w:t>no apostil</w:t>
            </w:r>
          </w:p>
        </w:tc>
      </w:tr>
      <w:tr>
        <w:tblPrEx>
          <w:shd w:val="clear" w:color="auto" w:fill="cad1d7"/>
        </w:tblPrEx>
        <w:trPr>
          <w:trHeight w:val="887" w:hRule="atLeast"/>
        </w:trPr>
        <w:tc>
          <w:tcPr>
            <w:tcW w:type="dxa" w:w="1393"/>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red stamp</w:t>
            </w:r>
          </w:p>
        </w:tc>
        <w:tc>
          <w:tcPr>
            <w:tcW w:type="dxa" w:w="110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upper left corner, round-shaped</w:t>
            </w:r>
          </w:p>
        </w:tc>
        <w:tc>
          <w:tcPr>
            <w:tcW w:type="dxa" w:w="126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 stamp</w:t>
            </w:r>
          </w:p>
        </w:tc>
        <w:tc>
          <w:tcPr>
            <w:tcW w:type="dxa" w:w="133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upper left corner, losange-shaped</w:t>
            </w:r>
          </w:p>
        </w:tc>
        <w:tc>
          <w:tcPr>
            <w:tcW w:type="dxa" w:w="135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center, losange-shaped</w:t>
            </w:r>
          </w:p>
        </w:tc>
        <w:tc>
          <w:tcPr>
            <w:tcW w:type="dxa" w:w="131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no stamp</w:t>
            </w:r>
          </w:p>
        </w:tc>
        <w:tc>
          <w:tcPr>
            <w:tcW w:type="dxa" w:w="1310"/>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tc>
      </w:tr>
    </w:tbl>
    <w:p>
      <w:pPr>
        <w:pStyle w:val="Body"/>
        <w:keepNext w:val="1"/>
        <w:widowControl w:val="0"/>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jc w:val="center"/>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8</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"https://papyri.info/hgv/3094"</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P.Dion. 11</w:t>
      </w:r>
      <w:r>
        <w:rPr>
          <w:rFonts w:ascii="IFAO-Grec Unicode" w:cs="IFAO-Grec Unicode" w:hAnsi="IFAO-Grec Unicode" w:eastAsia="IFAO-Grec Unicode"/>
        </w:rPr>
        <w:fldChar w:fldCharType="end" w:fldLock="0"/>
      </w:r>
      <w:r>
        <w:rPr>
          <w:rFonts w:ascii="IFAO-Grec Unicode" w:hAnsi="IFAO-Grec Unicode"/>
          <w:rtl w:val="0"/>
          <w:lang w:val="de-DE"/>
        </w:rPr>
        <w:t xml:space="preserve"> (Inv. Sorb. 2027, image Sorbonne Universit</w:t>
      </w:r>
      <w:r>
        <w:rPr>
          <w:rFonts w:ascii="IFAO-Grec Unicode" w:hAnsi="IFAO-Grec Unicode" w:hint="default"/>
          <w:rtl w:val="0"/>
          <w:lang w:val="de-DE"/>
        </w:rPr>
        <w:t xml:space="preserve">é – </w:t>
      </w:r>
      <w:r>
        <w:rPr>
          <w:rFonts w:ascii="IFAO-Grec Unicode" w:hAnsi="IFAO-Grec Unicode"/>
          <w:rtl w:val="0"/>
          <w:lang w:val="de-DE"/>
        </w:rPr>
        <w:t xml:space="preserve">Institut de Papyrologie);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"https://papyri.info/hgv/4912"</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8 1833</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13806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"https://berlpap.smb.museum/03859/"</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https://berlpap.smb.museum/03859/</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w:t>
      </w:r>
      <w:r>
        <w:rPr>
          <w:rFonts w:ascii="IFAO-Grec Unicode" w:hAnsi="IFAO-Grec Unicode"/>
          <w:rtl w:val="0"/>
          <w:lang w:val="de-DE"/>
        </w:rPr>
        <w:t>]]]</w:t>
      </w:r>
    </w:p>
    <w:p>
      <w:pPr>
        <w:pStyle w:val="Body"/>
        <w:rPr>
          <w:rFonts w:ascii="IFAO-Grec Unicode" w:cs="IFAO-Grec Unicode" w:hAnsi="IFAO-Grec Unicode" w:eastAsia="IFAO-Grec Unicode"/>
          <w:lang w:val="de-DE"/>
        </w:rPr>
      </w:pPr>
    </w:p>
    <w:p>
      <w:pPr>
        <w:pStyle w:val="Body"/>
        <w:rPr>
          <w:rFonts w:ascii="IFAO-Grec Unicode" w:cs="IFAO-Grec Unicode" w:hAnsi="IFAO-Grec Unicode" w:eastAsia="IFAO-Grec Unicode"/>
        </w:rPr>
      </w:pPr>
      <w:r>
        <w:rPr>
          <w:rFonts w:ascii="IFAO-Grec Unicode" w:hAnsi="IFAO-Grec Unicode"/>
          <w:rtl w:val="0"/>
          <w:lang w:val="en-US"/>
        </w:rPr>
        <w:t xml:space="preserve">The general layout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"https://papyri.info/hgv/4912"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8 1833</w:t>
      </w:r>
      <w:r>
        <w:rPr>
          <w:rFonts w:ascii="IFAO-Grec Unicode" w:cs="IFAO-Grec Unicode" w:hAnsi="IFAO-Grec Unicode" w:eastAsia="IFAO-Grec Unicode"/>
        </w:rPr>
        <w:fldChar w:fldCharType="end" w:fldLock="0"/>
      </w:r>
      <w:r>
        <w:rPr>
          <w:rFonts w:ascii="IFAO-Grec Unicode" w:hAnsi="IFAO-Grec Unicode"/>
          <w:rtl w:val="0"/>
          <w:lang w:val="en-US"/>
        </w:rPr>
        <w:t xml:space="preserve"> (51-50 BCE, Herakleopolite nome) is also quite similar to that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"https://papyri.info/hgv/5533"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P.W</w:t>
      </w:r>
      <w:r>
        <w:rPr>
          <w:rStyle w:val="Link"/>
          <w:rFonts w:ascii="IFAO-Grec Unicode" w:hAnsi="IFAO-Grec Unicode" w:hint="default"/>
          <w:rtl w:val="0"/>
        </w:rPr>
        <w:t>ü</w:t>
      </w:r>
      <w:r>
        <w:rPr>
          <w:rStyle w:val="Link"/>
          <w:rFonts w:ascii="IFAO-Grec Unicode" w:hAnsi="IFAO-Grec Unicode"/>
          <w:rtl w:val="0"/>
          <w:lang w:val="de-DE"/>
        </w:rPr>
        <w:t>rzb. 5</w:t>
      </w:r>
      <w:r>
        <w:rPr>
          <w:rFonts w:ascii="IFAO-Grec Unicode" w:cs="IFAO-Grec Unicode" w:hAnsi="IFAO-Grec Unicode" w:eastAsia="IFAO-Grec Unicode"/>
        </w:rPr>
        <w:fldChar w:fldCharType="end" w:fldLock="0"/>
      </w:r>
      <w:r>
        <w:rPr>
          <w:rFonts w:ascii="IFAO-Grec Unicode" w:hAnsi="IFAO-Grec Unicode"/>
          <w:rtl w:val="0"/>
          <w:lang w:val="en-US"/>
        </w:rPr>
        <w:t xml:space="preserve"> (31 BCE, Tholthis [Oxyrhynchite nome]), a petition to the </w:t>
      </w:r>
      <w:r>
        <w:rPr>
          <w:rFonts w:ascii="IFAO-Grec Unicode" w:hAnsi="IFAO-Grec Unicode"/>
          <w:rtl w:val="0"/>
        </w:rPr>
        <w:t>strategos</w:t>
      </w:r>
      <w:r>
        <w:rPr>
          <w:rFonts w:ascii="IFAO-Grec Unicode" w:hAnsi="IFAO-Grec Unicode"/>
          <w:rtl w:val="0"/>
          <w:lang w:val="en-US"/>
        </w:rPr>
        <w:t xml:space="preserve">; and it appears again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"https://papyri.info/hgv/24962"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49 3468</w:t>
      </w:r>
      <w:r>
        <w:rPr>
          <w:rFonts w:ascii="IFAO-Grec Unicode" w:cs="IFAO-Grec Unicode" w:hAnsi="IFAO-Grec Unicode" w:eastAsia="IFAO-Grec Unicode"/>
        </w:rPr>
        <w:fldChar w:fldCharType="end" w:fldLock="0"/>
      </w:r>
      <w:r>
        <w:rPr>
          <w:rFonts w:ascii="IFAO-Grec Unicode" w:hAnsi="IFAO-Grec Unicode"/>
          <w:rtl w:val="0"/>
          <w:lang w:val="en-US"/>
        </w:rPr>
        <w:t xml:space="preserve"> (first cent. CE, Oxyrhynchos), a petition to the prefect. Therefore, it seems that the same rules prevailed not only through time (from the second century BCE till the first century CE), but also in space (Hermopolite, Herakleopolite, Oxyrhynchite nomes).</w:t>
      </w:r>
      <w:r>
        <w:rPr>
          <w:rFonts w:ascii="IFAO-Grec Unicode" w:cs="IFAO-Grec Unicode" w:hAnsi="IFAO-Grec Unicode" w:eastAsia="IFAO-Grec Unicode"/>
          <w:vertAlign w:val="superscript"/>
        </w:rPr>
        <w:footnoteReference w:id="53"/>
      </w:r>
    </w:p>
    <w:p>
      <w:pPr>
        <w:pStyle w:val="Body"/>
        <w:rPr>
          <w:rFonts w:ascii="IFAO-Grec Unicode" w:cs="IFAO-Grec Unicode" w:hAnsi="IFAO-Grec Unicode" w:eastAsia="IFAO-Grec Unicode"/>
        </w:rPr>
      </w:pPr>
      <w:r>
        <w:rPr>
          <w:rFonts w:ascii="IFAO-Grec Unicode" w:hAnsi="IFAO-Grec Unicode"/>
          <w:rtl w:val="0"/>
          <w:lang w:val="en-US"/>
        </w:rPr>
        <w:t xml:space="preserve">Some additional features found in Herakleopolite petitions, however, do not appear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"https://papyri.info/hgv/3094"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P.Dion. 11</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cs="IFAO-Grec Unicode" w:hAnsi="IFAO-Grec Unicode" w:eastAsia="IFAO-Grec Unicode"/>
          <w:vertAlign w:val="superscript"/>
        </w:rPr>
        <w:footnoteReference w:id="54"/>
      </w:r>
      <w:r>
        <w:rPr>
          <w:rFonts w:ascii="IFAO-Grec Unicode" w:hAnsi="IFAO-Grec Unicode"/>
          <w:rtl w:val="0"/>
          <w:lang w:val="en-US"/>
        </w:rPr>
        <w:t xml:space="preserve"> In the top left corner of some petitions, a cross (in the shape of a St. Andrew</w:t>
      </w:r>
      <w:r>
        <w:rPr>
          <w:rFonts w:ascii="IFAO-Grec Unicode" w:hAnsi="IFAO-Grec Unicode" w:hint="default"/>
          <w:rtl w:val="1"/>
        </w:rPr>
        <w:t>’</w:t>
      </w:r>
      <w:r>
        <w:rPr>
          <w:rFonts w:ascii="IFAO-Grec Unicode" w:hAnsi="IFAO-Grec Unicode"/>
          <w:rtl w:val="0"/>
          <w:lang w:val="en-US"/>
        </w:rPr>
        <w:t>s cross) was added.</w:t>
      </w:r>
      <w:r>
        <w:rPr>
          <w:rFonts w:ascii="IFAO-Grec Unicode" w:cs="IFAO-Grec Unicode" w:hAnsi="IFAO-Grec Unicode" w:eastAsia="IFAO-Grec Unicode"/>
          <w:vertAlign w:val="superscript"/>
        </w:rPr>
        <w:footnoteReference w:id="55"/>
      </w:r>
      <w:r>
        <w:rPr>
          <w:rFonts w:ascii="IFAO-Grec Unicode" w:hAnsi="IFAO-Grec Unicode"/>
          <w:rtl w:val="0"/>
          <w:lang w:val="en-US"/>
        </w:rPr>
        <w:t xml:space="preserve"> This is presumably also a registration mark; it never occurs on documents that bear a red stamp and therefore may have been an alternative means of registration. Incoming petitions were also sometimes registered with a short note placed in the top margin, consisting of a date and abbreviations, the meaning of which is not always clear.</w:t>
      </w:r>
      <w:r>
        <w:rPr>
          <w:rFonts w:ascii="IFAO-Grec Unicode" w:cs="IFAO-Grec Unicode" w:hAnsi="IFAO-Grec Unicode" w:eastAsia="IFAO-Grec Unicode"/>
          <w:vertAlign w:val="superscript"/>
        </w:rPr>
        <w:footnoteReference w:id="56"/>
      </w:r>
    </w:p>
    <w:p>
      <w:pPr>
        <w:pStyle w:val="Body"/>
        <w:rPr>
          <w:rFonts w:ascii="IFAO-Grec Unicode" w:cs="IFAO-Grec Unicode" w:hAnsi="IFAO-Grec Unicode" w:eastAsia="IFAO-Grec Unicode"/>
        </w:rPr>
      </w:pPr>
      <w:r>
        <w:rPr>
          <w:rFonts w:ascii="IFAO-Grec Unicode" w:hAnsi="IFAO-Grec Unicode"/>
          <w:rtl w:val="0"/>
          <w:lang w:val="en-US"/>
        </w:rPr>
        <w:t>Similarly to letters described above, scribes could calibrate line spacing according to the length of the intended text. Petitions being often lengthier than letters, a medium spacing was used in most cases. There are a few instances, however, where the scribe adopted a more generous line spacing.</w:t>
      </w:r>
      <w:r>
        <w:rPr>
          <w:rFonts w:ascii="IFAO-Grec Unicode" w:cs="IFAO-Grec Unicode" w:hAnsi="IFAO-Grec Unicode" w:eastAsia="IFAO-Grec Unicode"/>
          <w:vertAlign w:val="superscript"/>
        </w:rPr>
        <w:footnoteReference w:id="57"/>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"https://papyri.info/hgv/4911"</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8 1832</w:t>
      </w:r>
      <w:r>
        <w:rPr>
          <w:rFonts w:ascii="IFAO-Grec Unicode" w:cs="IFAO-Grec Unicode" w:hAnsi="IFAO-Grec Unicode" w:eastAsia="IFAO-Grec Unicode"/>
        </w:rPr>
        <w:fldChar w:fldCharType="end" w:fldLock="0"/>
      </w:r>
      <w:r>
        <w:rPr>
          <w:rFonts w:ascii="IFAO-Grec Unicode" w:hAnsi="IFAO-Grec Unicode"/>
          <w:rtl w:val="0"/>
          <w:lang w:val="en-US"/>
        </w:rPr>
        <w:t>, an almost fully preserved document, is quite telling on this matter: the text of the petition was relatively short and the scribe therefore increased the line spacing so as to leave a reasonable space below for the apostil, while at the same time keeping the general proportions of margins that were expected for such a document.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Declarations of sheep and goats</w:t>
      </w:r>
    </w:p>
    <w:p>
      <w:pPr>
        <w:pStyle w:val="Body"/>
        <w:rPr>
          <w:rFonts w:ascii="IFAO-Grec Unicode" w:cs="IFAO-Grec Unicode" w:hAnsi="IFAO-Grec Unicode" w:eastAsia="IFAO-Grec Unicode"/>
        </w:rPr>
      </w:pPr>
      <w:r>
        <w:rPr>
          <w:rFonts w:ascii="IFAO-Grec Unicode" w:hAnsi="IFAO-Grec Unicode"/>
          <w:rtl w:val="0"/>
          <w:lang w:val="en-US"/>
        </w:rPr>
        <w:t>The mummy cartonnage from Abusir al-Malaq has yielded a batch of declarations submitted by owners of sheep and goats to the assistants of a supervisor for the pasture-tax in the Herakleopolite nome in 13 BCE.</w:t>
      </w:r>
      <w:r>
        <w:rPr>
          <w:rFonts w:ascii="IFAO-Grec Unicode" w:cs="IFAO-Grec Unicode" w:hAnsi="IFAO-Grec Unicode" w:eastAsia="IFAO-Grec Unicode"/>
          <w:vertAlign w:val="superscript"/>
        </w:rPr>
        <w:footnoteReference w:id="58"/>
      </w:r>
      <w:r>
        <w:rPr>
          <w:rFonts w:ascii="IFAO-Grec Unicode" w:hAnsi="IFAO-Grec Unicode"/>
          <w:rtl w:val="0"/>
          <w:lang w:val="en-US"/>
        </w:rPr>
        <w:t xml:space="preserve"> This considerably increased the available material, especially for the early Roman period. Those documents, being declarations, belong to the general type of </w:t>
      </w:r>
      <w:r>
        <w:rPr>
          <w:rFonts w:ascii="IFAO-Grec Unicode" w:hAnsi="IFAO-Grec Unicode"/>
          <w:rtl w:val="0"/>
        </w:rPr>
        <w:t>hypomnema</w:t>
      </w:r>
      <w:r>
        <w:rPr>
          <w:rFonts w:ascii="IFAO-Grec Unicode" w:hAnsi="IFAO-Grec Unicode"/>
          <w:rtl w:val="0"/>
        </w:rPr>
        <w:t xml:space="preserve"> (</w:t>
      </w:r>
      <w:r>
        <w:rPr>
          <w:rFonts w:ascii="IFAO-Grec Unicode" w:hAnsi="IFAO-Grec Unicode" w:hint="default"/>
          <w:rtl w:val="1"/>
        </w:rPr>
        <w:t>‘</w:t>
      </w:r>
      <w:r>
        <w:rPr>
          <w:rFonts w:ascii="IFAO-Grec Unicode" w:hAnsi="IFAO-Grec Unicode"/>
          <w:rtl w:val="0"/>
          <w:lang w:val="it-IT"/>
        </w:rPr>
        <w:t>memo, note</w:t>
      </w:r>
      <w:r>
        <w:rPr>
          <w:rFonts w:ascii="IFAO-Grec Unicode" w:hAnsi="IFAO-Grec Unicode" w:hint="default"/>
          <w:rtl w:val="1"/>
        </w:rPr>
        <w:t>’</w:t>
      </w:r>
      <w:r>
        <w:rPr>
          <w:rFonts w:ascii="IFAO-Grec Unicode" w:hAnsi="IFAO-Grec Unicode"/>
          <w:rtl w:val="0"/>
          <w:lang w:val="en-US"/>
        </w:rPr>
        <w:t xml:space="preserve">), characterized by a heading that starts with the addressee (in the dative), followed by the declarant (with </w:t>
      </w:r>
      <w:r>
        <w:rPr>
          <w:rFonts w:ascii="IFAO-Grec Unicode" w:hAnsi="IFAO-Grec Unicode" w:hint="default"/>
          <w:rtl w:val="0"/>
        </w:rPr>
        <w:t>παρά</w:t>
      </w:r>
      <w:r>
        <w:rPr>
          <w:rFonts w:ascii="IFAO-Grec Unicode" w:hAnsi="IFAO-Grec Unicode"/>
          <w:rtl w:val="0"/>
          <w:lang w:val="en-US"/>
        </w:rPr>
        <w:t xml:space="preserve"> + genitive). In this lot, four items are sufficiently well preserved to allow a comparison of format and layout (table below). Roll height varies from 21.7 cm to 29.5 cm, but the top and bottom margins of the two shorter sheets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"https://papyri.info/hgv/23304"</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2581</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"https://papyri.info/hgv/23309"</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2586</w:t>
      </w:r>
      <w:r>
        <w:rPr>
          <w:rFonts w:ascii="IFAO-Grec Unicode" w:cs="IFAO-Grec Unicode" w:hAnsi="IFAO-Grec Unicode" w:eastAsia="IFAO-Grec Unicode"/>
        </w:rPr>
        <w:fldChar w:fldCharType="end" w:fldLock="0"/>
      </w:r>
      <w:r>
        <w:rPr>
          <w:rFonts w:ascii="IFAO-Grec Unicode" w:hAnsi="IFAO-Grec Unicode"/>
          <w:rtl w:val="0"/>
          <w:lang w:val="en-US"/>
        </w:rPr>
        <w:t>) may not be fully preserved; width is almost identical in all four declarations. The rules followed by the scribes to produce those declarations correspond to the system that was identified above for other types of documents: the scribe aligns his text on the right (allowing for a cut close to the text once he detaches the sheet from the roll), leaves ample space above and below, together with a narrower margin on the left, and he makes the name of the addressees conspicuous by setting the first lines off to the left (</w:t>
      </w:r>
      <w:r>
        <w:rPr>
          <w:rFonts w:ascii="IFAO-Grec Unicode" w:hAnsi="IFAO-Grec Unicode"/>
          <w:rtl w:val="0"/>
          <w:lang w:val="en-US"/>
        </w:rPr>
        <w:t>ekthesis</w:t>
      </w:r>
      <w:r>
        <w:rPr>
          <w:rFonts w:ascii="IFAO-Grec Unicode" w:hAnsi="IFAO-Grec Unicode"/>
          <w:rtl w:val="0"/>
          <w:lang w:val="en-US"/>
        </w:rPr>
        <w:t xml:space="preserve">). He also manages the line spacing according to the amount of information he must fit into the intended space, in order to keep a sizeable bottom margin. The top and bottom margins may be used for secondary purposes, as when another hand adds a registration docket at the top or some additional information in the bottom margin, but this is not done on a consistent basis. A </w:t>
      </w:r>
      <w:r>
        <w:rPr>
          <w:rFonts w:ascii="IFAO-Grec Unicode" w:hAnsi="IFAO-Grec Unicode"/>
          <w:rtl w:val="0"/>
          <w:lang w:val="en-US"/>
        </w:rPr>
        <w:t>paragraphos</w:t>
      </w:r>
      <w:r>
        <w:rPr>
          <w:rFonts w:ascii="IFAO-Grec Unicode" w:hAnsi="IFAO-Grec Unicode"/>
          <w:rtl w:val="0"/>
          <w:lang w:val="en-US"/>
        </w:rPr>
        <w:t xml:space="preserve"> closes the declaration in two cases out of four.</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b w:val="1"/>
          <w:bCs w:val="1"/>
          <w:rtl w:val="0"/>
          <w:lang w:val="fr-FR"/>
        </w:rPr>
        <w:t>Table 2</w:t>
      </w:r>
      <w:r>
        <w:rPr>
          <w:rFonts w:ascii="IFAO-Grec Unicode" w:hAnsi="IFAO-Grec Unicode"/>
          <w:rtl w:val="0"/>
          <w:lang w:val="en-US"/>
        </w:rPr>
        <w:t xml:space="preserve"> Typological comparison of declarations of sheep and goats.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657"/>
        <w:gridCol w:w="566"/>
        <w:gridCol w:w="566"/>
        <w:gridCol w:w="1064"/>
        <w:gridCol w:w="1283"/>
        <w:gridCol w:w="1154"/>
        <w:gridCol w:w="1086"/>
        <w:gridCol w:w="842"/>
        <w:gridCol w:w="948"/>
        <w:gridCol w:w="906"/>
      </w:tblGrid>
      <w:tr>
        <w:tblPrEx>
          <w:shd w:val="clear" w:color="auto" w:fill="156082"/>
        </w:tblPrEx>
        <w:trPr>
          <w:trHeight w:val="1547" w:hRule="atLeast"/>
          <w:tblHeader/>
        </w:trPr>
        <w:tc>
          <w:tcPr>
            <w:tcW w:type="dxa" w:w="657"/>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b w:val="1"/>
                <w:bCs w:val="1"/>
                <w:sz w:val="20"/>
                <w:szCs w:val="20"/>
                <w:shd w:val="nil" w:color="auto" w:fill="auto"/>
                <w:rtl w:val="0"/>
                <w:lang w:val="en-US"/>
              </w:rPr>
              <w:t>BGU 16</w:t>
            </w:r>
          </w:p>
        </w:tc>
        <w:tc>
          <w:tcPr>
            <w:tcW w:type="dxa" w:w="56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H</w:t>
            </w:r>
          </w:p>
        </w:tc>
        <w:tc>
          <w:tcPr>
            <w:tcW w:type="dxa" w:w="56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W</w:t>
            </w:r>
          </w:p>
        </w:tc>
        <w:tc>
          <w:tcPr>
            <w:tcW w:type="dxa" w:w="106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Wide top and bottom margins, narrow left margin</w:t>
            </w:r>
          </w:p>
        </w:tc>
        <w:tc>
          <w:tcPr>
            <w:tcW w:type="dxa" w:w="128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Top margin used for registration docket</w:t>
            </w:r>
          </w:p>
        </w:tc>
        <w:tc>
          <w:tcPr>
            <w:tcW w:type="dxa" w:w="1154"/>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Bottom margin used for additional notes</w:t>
            </w:r>
          </w:p>
        </w:tc>
        <w:tc>
          <w:tcPr>
            <w:tcW w:type="dxa" w:w="1086"/>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 xml:space="preserve">Declarant in </w:t>
            </w:r>
            <w:r>
              <w:rPr>
                <w:b w:val="1"/>
                <w:bCs w:val="1"/>
                <w:i w:val="1"/>
                <w:iCs w:val="1"/>
                <w:sz w:val="20"/>
                <w:szCs w:val="20"/>
                <w:shd w:val="nil" w:color="auto" w:fill="auto"/>
                <w:rtl w:val="0"/>
                <w:lang w:val="en-US"/>
              </w:rPr>
              <w:t>ekthesis</w:t>
            </w:r>
          </w:p>
        </w:tc>
        <w:tc>
          <w:tcPr>
            <w:tcW w:type="dxa" w:w="84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εὐτύχει</w:t>
            </w:r>
          </w:p>
        </w:tc>
        <w:tc>
          <w:tcPr>
            <w:tcW w:type="dxa" w:w="94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Line spacing</w:t>
            </w:r>
          </w:p>
        </w:tc>
        <w:tc>
          <w:tcPr>
            <w:tcW w:type="dxa" w:w="906"/>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center"/>
              <w:rPr>
                <w:b w:val="1"/>
                <w:bCs w:val="1"/>
                <w:sz w:val="20"/>
                <w:szCs w:val="20"/>
                <w:shd w:val="nil" w:color="auto" w:fill="auto"/>
              </w:rPr>
            </w:pPr>
            <w:r>
              <w:rPr>
                <w:b w:val="1"/>
                <w:bCs w:val="1"/>
                <w:sz w:val="20"/>
                <w:szCs w:val="20"/>
                <w:shd w:val="nil" w:color="auto" w:fill="auto"/>
                <w:rtl w:val="0"/>
                <w:lang w:val="en-US"/>
              </w:rPr>
              <w:t>Para-</w:t>
            </w:r>
          </w:p>
          <w:p>
            <w:pPr>
              <w:pStyle w:val="Body"/>
              <w:bidi w:val="0"/>
              <w:ind w:left="0" w:right="0" w:firstLine="0"/>
              <w:jc w:val="center"/>
              <w:rPr>
                <w:rtl w:val="0"/>
              </w:rPr>
            </w:pPr>
            <w:r>
              <w:rPr>
                <w:b w:val="1"/>
                <w:bCs w:val="1"/>
                <w:sz w:val="20"/>
                <w:szCs w:val="20"/>
                <w:shd w:val="nil" w:color="auto" w:fill="auto"/>
                <w:rtl w:val="0"/>
                <w:lang w:val="en-US"/>
              </w:rPr>
              <w:t>graphos</w:t>
            </w:r>
          </w:p>
        </w:tc>
      </w:tr>
      <w:tr>
        <w:tblPrEx>
          <w:shd w:val="clear" w:color="auto" w:fill="156082"/>
        </w:tblPrEx>
        <w:trPr>
          <w:trHeight w:val="222" w:hRule="atLeast"/>
          <w:tblHeader/>
        </w:trPr>
        <w:tc>
          <w:tcPr>
            <w:tcW w:type="dxa" w:w="657"/>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6"/>
                <w:sz w:val="20"/>
                <w:szCs w:val="20"/>
              </w:rPr>
              <w:fldChar w:fldCharType="begin" w:fldLock="0"/>
            </w:r>
            <w:r>
              <w:rPr>
                <w:rStyle w:val="Hyperlink.6"/>
                <w:sz w:val="20"/>
                <w:szCs w:val="20"/>
              </w:rPr>
              <w:instrText xml:space="preserve"> HYPERLINK "https://papyri.info/hgv/23304"</w:instrText>
            </w:r>
            <w:r>
              <w:rPr>
                <w:rStyle w:val="Hyperlink.6"/>
                <w:sz w:val="20"/>
                <w:szCs w:val="20"/>
              </w:rPr>
              <w:fldChar w:fldCharType="separate" w:fldLock="0"/>
            </w:r>
            <w:r>
              <w:rPr>
                <w:rStyle w:val="Hyperlink.6"/>
                <w:sz w:val="20"/>
                <w:szCs w:val="20"/>
                <w:rtl w:val="0"/>
                <w:lang w:val="en-US"/>
              </w:rPr>
              <w:t>2581</w:t>
            </w:r>
            <w:r>
              <w:rPr>
                <w:sz w:val="20"/>
                <w:szCs w:val="20"/>
              </w:rPr>
              <w:fldChar w:fldCharType="end" w:fldLock="0"/>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21.7</w:t>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11.7</w:t>
            </w:r>
          </w:p>
        </w:tc>
        <w:tc>
          <w:tcPr>
            <w:tcW w:type="dxa" w:w="10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generous</w:t>
            </w:r>
          </w:p>
        </w:tc>
        <w:tc>
          <w:tcPr>
            <w:tcW w:type="dxa" w:w="90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r>
      <w:tr>
        <w:tblPrEx>
          <w:shd w:val="clear" w:color="auto" w:fill="156082"/>
        </w:tblPrEx>
        <w:trPr>
          <w:trHeight w:val="222" w:hRule="atLeast"/>
          <w:tblHeader/>
        </w:trPr>
        <w:tc>
          <w:tcPr>
            <w:tcW w:type="dxa" w:w="657"/>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6"/>
                <w:sz w:val="20"/>
                <w:szCs w:val="20"/>
              </w:rPr>
              <w:fldChar w:fldCharType="begin" w:fldLock="0"/>
            </w:r>
            <w:r>
              <w:rPr>
                <w:rStyle w:val="Hyperlink.6"/>
                <w:sz w:val="20"/>
                <w:szCs w:val="20"/>
              </w:rPr>
              <w:instrText xml:space="preserve"> HYPERLINK "https://papyri.info/hgv/23305"</w:instrText>
            </w:r>
            <w:r>
              <w:rPr>
                <w:rStyle w:val="Hyperlink.6"/>
                <w:sz w:val="20"/>
                <w:szCs w:val="20"/>
              </w:rPr>
              <w:fldChar w:fldCharType="separate" w:fldLock="0"/>
            </w:r>
            <w:r>
              <w:rPr>
                <w:rStyle w:val="Hyperlink.6"/>
                <w:sz w:val="20"/>
                <w:szCs w:val="20"/>
                <w:rtl w:val="0"/>
                <w:lang w:val="en-US"/>
              </w:rPr>
              <w:t>2582</w:t>
            </w:r>
            <w:r>
              <w:rPr>
                <w:sz w:val="20"/>
                <w:szCs w:val="20"/>
              </w:rPr>
              <w:fldChar w:fldCharType="end" w:fldLock="0"/>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29.5</w:t>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12</w:t>
            </w:r>
          </w:p>
        </w:tc>
        <w:tc>
          <w:tcPr>
            <w:tcW w:type="dxa" w:w="10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medium</w:t>
            </w:r>
          </w:p>
        </w:tc>
        <w:tc>
          <w:tcPr>
            <w:tcW w:type="dxa" w:w="90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156082"/>
        </w:tblPrEx>
        <w:trPr>
          <w:trHeight w:val="222" w:hRule="atLeast"/>
          <w:tblHeader/>
        </w:trPr>
        <w:tc>
          <w:tcPr>
            <w:tcW w:type="dxa" w:w="657"/>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6"/>
                <w:sz w:val="20"/>
                <w:szCs w:val="20"/>
              </w:rPr>
              <w:fldChar w:fldCharType="begin" w:fldLock="0"/>
            </w:r>
            <w:r>
              <w:rPr>
                <w:rStyle w:val="Hyperlink.6"/>
                <w:sz w:val="20"/>
                <w:szCs w:val="20"/>
              </w:rPr>
              <w:instrText xml:space="preserve"> HYPERLINK "https://papyri.info/hgv/23306"</w:instrText>
            </w:r>
            <w:r>
              <w:rPr>
                <w:rStyle w:val="Hyperlink.6"/>
                <w:sz w:val="20"/>
                <w:szCs w:val="20"/>
              </w:rPr>
              <w:fldChar w:fldCharType="separate" w:fldLock="0"/>
            </w:r>
            <w:r>
              <w:rPr>
                <w:rStyle w:val="Hyperlink.6"/>
                <w:sz w:val="20"/>
                <w:szCs w:val="20"/>
                <w:rtl w:val="0"/>
                <w:lang w:val="en-US"/>
              </w:rPr>
              <w:t>2583</w:t>
            </w:r>
            <w:r>
              <w:rPr>
                <w:sz w:val="20"/>
                <w:szCs w:val="20"/>
              </w:rPr>
              <w:fldChar w:fldCharType="end" w:fldLock="0"/>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27.2</w:t>
            </w:r>
          </w:p>
        </w:tc>
        <w:tc>
          <w:tcPr>
            <w:tcW w:type="dxa" w:w="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12</w:t>
            </w:r>
          </w:p>
        </w:tc>
        <w:tc>
          <w:tcPr>
            <w:tcW w:type="dxa" w:w="10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2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1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9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medium</w:t>
            </w:r>
          </w:p>
        </w:tc>
        <w:tc>
          <w:tcPr>
            <w:tcW w:type="dxa" w:w="906"/>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657"/>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w:pPr>
            <w:r>
              <w:rPr>
                <w:rStyle w:val="Hyperlink.6"/>
                <w:sz w:val="20"/>
                <w:szCs w:val="20"/>
              </w:rPr>
              <w:fldChar w:fldCharType="begin" w:fldLock="0"/>
            </w:r>
            <w:r>
              <w:rPr>
                <w:rStyle w:val="Hyperlink.6"/>
                <w:sz w:val="20"/>
                <w:szCs w:val="20"/>
              </w:rPr>
              <w:instrText xml:space="preserve"> HYPERLINK "https://papyri.info/hgv/23309"</w:instrText>
            </w:r>
            <w:r>
              <w:rPr>
                <w:rStyle w:val="Hyperlink.6"/>
                <w:sz w:val="20"/>
                <w:szCs w:val="20"/>
              </w:rPr>
              <w:fldChar w:fldCharType="separate" w:fldLock="0"/>
            </w:r>
            <w:r>
              <w:rPr>
                <w:rStyle w:val="Hyperlink.6"/>
                <w:sz w:val="20"/>
                <w:szCs w:val="20"/>
                <w:rtl w:val="0"/>
                <w:lang w:val="en-US"/>
              </w:rPr>
              <w:t>2586</w:t>
            </w:r>
            <w:r>
              <w:rPr>
                <w:sz w:val="20"/>
                <w:szCs w:val="20"/>
              </w:rPr>
              <w:fldChar w:fldCharType="end" w:fldLock="0"/>
            </w:r>
          </w:p>
        </w:tc>
        <w:tc>
          <w:tcPr>
            <w:tcW w:type="dxa" w:w="56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21.3</w:t>
            </w:r>
          </w:p>
        </w:tc>
        <w:tc>
          <w:tcPr>
            <w:tcW w:type="dxa" w:w="56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12.5</w:t>
            </w:r>
          </w:p>
        </w:tc>
        <w:tc>
          <w:tcPr>
            <w:tcW w:type="dxa" w:w="106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28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15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108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84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c>
          <w:tcPr>
            <w:tcW w:type="dxa" w:w="94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generous</w:t>
            </w:r>
          </w:p>
        </w:tc>
        <w:tc>
          <w:tcPr>
            <w:tcW w:type="dxa" w:w="906"/>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X</w:t>
            </w:r>
          </w:p>
        </w:tc>
      </w:tr>
    </w:tbl>
    <w:p>
      <w:pPr>
        <w:pStyle w:val="Body"/>
        <w:widowControl w:val="0"/>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jc w:val="center"/>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9</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"https://papyri.info/hgv/23305"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16 2582</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25293.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"https://berlpap.smb.museum/05202/"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https://berlpap.smb.museum/05202/</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It thus seems that, in spite of some minor variations, the scribes who produced those declarations followed the same general approach as for other types of documents described above.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Double documents, the management of margins, and innovation</w:t>
      </w:r>
    </w:p>
    <w:p>
      <w:pPr>
        <w:pStyle w:val="Body"/>
        <w:rPr>
          <w:rFonts w:ascii="IFAO-Grec Unicode" w:cs="IFAO-Grec Unicode" w:hAnsi="IFAO-Grec Unicode" w:eastAsia="IFAO-Grec Unicode"/>
        </w:rPr>
      </w:pPr>
      <w:r>
        <w:rPr>
          <w:rFonts w:ascii="IFAO-Grec Unicode" w:hAnsi="IFAO-Grec Unicode"/>
          <w:rtl w:val="0"/>
          <w:lang w:val="en-US"/>
        </w:rPr>
        <w:t xml:space="preserve">The general pattern used for the layout of letters may be applied to yet other types of documents, and in some cases the generous top and bottom margins serve a specific purpose.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"https://papyri.info/hgv/5299"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P.Ryl. 4 580</w:t>
      </w:r>
      <w:r>
        <w:rPr>
          <w:rFonts w:ascii="IFAO-Grec Unicode" w:cs="IFAO-Grec Unicode" w:hAnsi="IFAO-Grec Unicode" w:eastAsia="IFAO-Grec Unicode"/>
        </w:rPr>
        <w:fldChar w:fldCharType="end" w:fldLock="0"/>
      </w:r>
      <w:r>
        <w:rPr>
          <w:rFonts w:ascii="IFAO-Grec Unicode" w:hAnsi="IFAO-Grec Unicode"/>
          <w:rtl w:val="0"/>
          <w:lang w:val="en-US"/>
        </w:rPr>
        <w:t xml:space="preserve"> (78/49/27 BCE [?], provenance unknown) preserves the left half of a document by which a soldier assigns, in the event of his death, his burial benefit to an unspecified person. Before half of the papyrus was lost, the sheet had a squarish shape (ca. 21.4 x 17 cm) and the text block of the assignment was positioned at mid-height, leaving a sizeable top (8.7 cm) and bottom (7.7 cm) margin.</w:t>
      </w:r>
      <w:r>
        <w:rPr>
          <w:rFonts w:ascii="IFAO-Grec Unicode" w:cs="IFAO-Grec Unicode" w:hAnsi="IFAO-Grec Unicode" w:eastAsia="IFAO-Grec Unicode"/>
          <w:vertAlign w:val="superscript"/>
        </w:rPr>
        <w:footnoteReference w:id="59"/>
      </w:r>
      <w:r>
        <w:rPr>
          <w:rFonts w:ascii="IFAO-Grec Unicode" w:hAnsi="IFAO-Grec Unicode"/>
          <w:rtl w:val="0"/>
          <w:lang w:val="en-US"/>
        </w:rPr>
        <w:t xml:space="preserve"> The left margin was narrower (1.9 cm). Based on the possible restoration of line 8 proposed by the editors, which seems likely, the right margin was very narrow.</w:t>
      </w:r>
      <w:r>
        <w:rPr>
          <w:rFonts w:ascii="IFAO-Grec Unicode" w:cs="IFAO-Grec Unicode" w:hAnsi="IFAO-Grec Unicode" w:eastAsia="IFAO-Grec Unicode"/>
          <w:vertAlign w:val="superscript"/>
        </w:rPr>
        <w:footnoteReference w:id="60"/>
      </w:r>
      <w:r>
        <w:rPr>
          <w:rFonts w:ascii="IFAO-Grec Unicode" w:hAnsi="IFAO-Grec Unicode"/>
          <w:rtl w:val="0"/>
          <w:lang w:val="en-US"/>
        </w:rPr>
        <w:t xml:space="preserve"> Below this central block of text, the scribe placed a curved </w:t>
      </w:r>
      <w:r>
        <w:rPr>
          <w:rFonts w:ascii="IFAO-Grec Unicode" w:hAnsi="IFAO-Grec Unicode"/>
          <w:rtl w:val="0"/>
          <w:lang w:val="fr-FR"/>
        </w:rPr>
        <w:t>paragraphos</w:t>
      </w:r>
      <w:r>
        <w:rPr>
          <w:rFonts w:ascii="IFAO-Grec Unicode" w:hAnsi="IFAO-Grec Unicode"/>
          <w:rtl w:val="0"/>
          <w:lang w:val="en-US"/>
        </w:rPr>
        <w:t xml:space="preserve"> protruding on the left.</w:t>
      </w:r>
    </w:p>
    <w:p>
      <w:pPr>
        <w:pStyle w:val="Body"/>
        <w:rPr>
          <w:rFonts w:ascii="IFAO-Grec Unicode" w:cs="IFAO-Grec Unicode" w:hAnsi="IFAO-Grec Unicode" w:eastAsia="IFAO-Grec Unicode"/>
        </w:rPr>
      </w:pPr>
      <w:r>
        <w:rPr>
          <w:rFonts w:ascii="IFAO-Grec Unicode" w:hAnsi="IFAO-Grec Unicode"/>
          <w:rtl w:val="0"/>
          <w:lang w:val="en-US"/>
        </w:rPr>
        <w:t>In the bottom margin, the president and secretary of the soldiers</w:t>
      </w:r>
      <w:r>
        <w:rPr>
          <w:rFonts w:ascii="IFAO-Grec Unicode" w:hAnsi="IFAO-Grec Unicode" w:hint="default"/>
          <w:rtl w:val="1"/>
        </w:rPr>
        <w:t xml:space="preserve">’ </w:t>
      </w:r>
      <w:r>
        <w:rPr>
          <w:rFonts w:ascii="IFAO-Grec Unicode" w:hAnsi="IFAO-Grec Unicode"/>
          <w:rtl w:val="0"/>
          <w:lang w:val="en-US"/>
        </w:rPr>
        <w:t xml:space="preserve">association then placed their signatures. In the top margin, a summary of the assignment was added, which turned this into a so-called double document: the top three lines were folded and sealed, thus becoming the </w:t>
      </w:r>
      <w:r>
        <w:rPr>
          <w:rFonts w:ascii="IFAO-Grec Unicode" w:hAnsi="IFAO-Grec Unicode"/>
          <w:rtl w:val="0"/>
        </w:rPr>
        <w:t>scriptura interior</w:t>
      </w:r>
      <w:r>
        <w:rPr>
          <w:rFonts w:ascii="IFAO-Grec Unicode" w:hAnsi="IFAO-Grec Unicode"/>
          <w:rtl w:val="0"/>
        </w:rPr>
        <w:t>.</w:t>
      </w:r>
      <w:r>
        <w:rPr>
          <w:rFonts w:ascii="IFAO-Grec Unicode" w:cs="IFAO-Grec Unicode" w:hAnsi="IFAO-Grec Unicode" w:eastAsia="IFAO-Grec Unicode"/>
          <w:vertAlign w:val="superscript"/>
        </w:rPr>
        <w:footnoteReference w:id="61"/>
      </w:r>
      <w:r>
        <w:rPr>
          <w:rFonts w:ascii="IFAO-Grec Unicode" w:hAnsi="IFAO-Grec Unicode"/>
          <w:rtl w:val="0"/>
          <w:lang w:val="en-US"/>
        </w:rPr>
        <w:t xml:space="preserve"> Contracts in the form of a double document have evolved through time, with a shift in the last quarter of the second century BCE: whereas in the early Ptolemaic period, the </w:t>
      </w:r>
      <w:r>
        <w:rPr>
          <w:rFonts w:ascii="IFAO-Grec Unicode" w:hAnsi="IFAO-Grec Unicode"/>
          <w:rtl w:val="0"/>
        </w:rPr>
        <w:t>scriptura interior</w:t>
      </w:r>
      <w:r>
        <w:rPr>
          <w:rFonts w:ascii="IFAO-Grec Unicode" w:hAnsi="IFAO-Grec Unicode"/>
          <w:rtl w:val="0"/>
          <w:lang w:val="en-US"/>
        </w:rPr>
        <w:t xml:space="preserve"> took roughly the same space as the </w:t>
      </w:r>
      <w:r>
        <w:rPr>
          <w:rFonts w:ascii="IFAO-Grec Unicode" w:hAnsi="IFAO-Grec Unicode"/>
          <w:rtl w:val="0"/>
        </w:rPr>
        <w:t>scriptura exterior</w:t>
      </w:r>
      <w:r>
        <w:rPr>
          <w:rFonts w:ascii="IFAO-Grec Unicode" w:hAnsi="IFAO-Grec Unicode"/>
          <w:rtl w:val="0"/>
          <w:lang w:val="en-US"/>
        </w:rPr>
        <w:t xml:space="preserve">, somewhere between 130 and 113 BCE a marked asymmetry between the two appears, with the </w:t>
      </w:r>
      <w:r>
        <w:rPr>
          <w:rFonts w:ascii="IFAO-Grec Unicode" w:hAnsi="IFAO-Grec Unicode"/>
          <w:rtl w:val="0"/>
        </w:rPr>
        <w:t>scriptura interior</w:t>
      </w:r>
      <w:r>
        <w:rPr>
          <w:rFonts w:ascii="IFAO-Grec Unicode" w:hAnsi="IFAO-Grec Unicode"/>
          <w:rtl w:val="0"/>
          <w:lang w:val="en-US"/>
        </w:rPr>
        <w:t xml:space="preserve"> occupying at most three lines.</w:t>
      </w:r>
      <w:r>
        <w:rPr>
          <w:rFonts w:ascii="IFAO-Grec Unicode" w:cs="IFAO-Grec Unicode" w:hAnsi="IFAO-Grec Unicode" w:eastAsia="IFAO-Grec Unicode"/>
          <w:vertAlign w:val="superscript"/>
        </w:rPr>
        <w:footnoteReference w:id="62"/>
      </w:r>
      <w:r>
        <w:rPr>
          <w:rFonts w:ascii="IFAO-Grec Unicode" w:hAnsi="IFAO-Grec Unicode"/>
          <w:rtl w:val="0"/>
          <w:lang w:val="en-US"/>
        </w:rPr>
        <w:t xml:space="preserve"> In another double document,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"https://papyri.info/hgv/5239"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P.Merton 1 6</w:t>
      </w:r>
      <w:r>
        <w:rPr>
          <w:rFonts w:ascii="IFAO-Grec Unicode" w:cs="IFAO-Grec Unicode" w:hAnsi="IFAO-Grec Unicode" w:eastAsia="IFAO-Grec Unicode"/>
        </w:rPr>
        <w:fldChar w:fldCharType="end" w:fldLock="0"/>
      </w:r>
      <w:r>
        <w:rPr>
          <w:rFonts w:ascii="IFAO-Grec Unicode" w:hAnsi="IFAO-Grec Unicode"/>
          <w:rtl w:val="0"/>
          <w:lang w:val="en-US"/>
        </w:rPr>
        <w:t xml:space="preserve"> (77 BCE, Nestou Epoikion [Arsinoite nome]), the editors note that </w:t>
      </w:r>
      <w:r>
        <w:rPr>
          <w:rFonts w:ascii="IFAO-Grec Unicode" w:hAnsi="IFAO-Grec Unicode" w:hint="default"/>
          <w:rtl w:val="1"/>
          <w:lang w:val="ar-SA" w:bidi="ar-SA"/>
        </w:rPr>
        <w:t>“</w:t>
      </w:r>
      <w:r>
        <w:rPr>
          <w:rFonts w:ascii="IFAO-Grec Unicode" w:hAnsi="IFAO-Grec Unicode"/>
          <w:rtl w:val="0"/>
          <w:lang w:val="en-US"/>
        </w:rPr>
        <w:t>this fact [that the borrower</w:t>
      </w:r>
      <w:r>
        <w:rPr>
          <w:rFonts w:ascii="IFAO-Grec Unicode" w:hAnsi="IFAO-Grec Unicode" w:hint="default"/>
          <w:rtl w:val="1"/>
        </w:rPr>
        <w:t>’</w:t>
      </w:r>
      <w:r>
        <w:rPr>
          <w:rFonts w:ascii="IFAO-Grec Unicode" w:hAnsi="IFAO-Grec Unicode"/>
          <w:rtl w:val="0"/>
          <w:lang w:val="en-US"/>
        </w:rPr>
        <w:t xml:space="preserve">s name is wrongly given], with the appearance of the </w:t>
      </w:r>
      <w:r>
        <w:rPr>
          <w:rFonts w:ascii="IFAO-Grec Unicode" w:hAnsi="IFAO-Grec Unicode"/>
          <w:rtl w:val="0"/>
        </w:rPr>
        <w:t>scriptura interior</w:t>
      </w:r>
      <w:r>
        <w:rPr>
          <w:rFonts w:ascii="IFAO-Grec Unicode" w:hAnsi="IFAO-Grec Unicode"/>
          <w:rtl w:val="0"/>
          <w:lang w:val="en-US"/>
        </w:rPr>
        <w:t xml:space="preserve">, which is in a different hand from the rest of the document, suggests that at this period the </w:t>
      </w:r>
      <w:r>
        <w:rPr>
          <w:rFonts w:ascii="IFAO-Grec Unicode" w:hAnsi="IFAO-Grec Unicode"/>
          <w:rtl w:val="0"/>
        </w:rPr>
        <w:t>scriptura exterior</w:t>
      </w:r>
      <w:r>
        <w:rPr>
          <w:rFonts w:ascii="IFAO-Grec Unicode" w:hAnsi="IFAO-Grec Unicode"/>
          <w:rtl w:val="0"/>
          <w:lang w:val="en-US"/>
        </w:rPr>
        <w:t xml:space="preserve"> alone was formally written by the principal scribe, and that not till after this had been completed, with the necessary subscriptions, was the </w:t>
      </w:r>
      <w:r>
        <w:rPr>
          <w:rFonts w:ascii="IFAO-Grec Unicode" w:hAnsi="IFAO-Grec Unicode"/>
          <w:rtl w:val="0"/>
        </w:rPr>
        <w:t>scriptura interior</w:t>
      </w:r>
      <w:r>
        <w:rPr>
          <w:rFonts w:ascii="IFAO-Grec Unicode" w:hAnsi="IFAO-Grec Unicode"/>
          <w:rtl w:val="0"/>
          <w:lang w:val="en-US"/>
        </w:rPr>
        <w:t xml:space="preserve"> added, by a subordinate and often, as here and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"https://papyri.info/hgv/5534"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P.W</w:t>
      </w:r>
      <w:r>
        <w:rPr>
          <w:rStyle w:val="Link"/>
          <w:rFonts w:ascii="IFAO-Grec Unicode" w:hAnsi="IFAO-Grec Unicode" w:hint="default"/>
          <w:rtl w:val="0"/>
        </w:rPr>
        <w:t>ü</w:t>
      </w:r>
      <w:r>
        <w:rPr>
          <w:rStyle w:val="Link"/>
          <w:rFonts w:ascii="IFAO-Grec Unicode" w:hAnsi="IFAO-Grec Unicode"/>
          <w:rtl w:val="0"/>
          <w:lang w:val="de-DE"/>
        </w:rPr>
        <w:t>rzb. 6</w:t>
      </w:r>
      <w:r>
        <w:rPr>
          <w:rFonts w:ascii="IFAO-Grec Unicode" w:cs="IFAO-Grec Unicode" w:hAnsi="IFAO-Grec Unicode" w:eastAsia="IFAO-Grec Unicode"/>
        </w:rPr>
        <w:fldChar w:fldCharType="end" w:fldLock="0"/>
      </w:r>
      <w:r>
        <w:rPr>
          <w:rFonts w:ascii="IFAO-Grec Unicode" w:hAnsi="IFAO-Grec Unicode"/>
          <w:rtl w:val="0"/>
          <w:lang w:val="en-US"/>
        </w:rPr>
        <w:t>, in the most negligent manner.</w:t>
      </w:r>
      <w:r>
        <w:rPr>
          <w:rFonts w:ascii="IFAO-Grec Unicode" w:hAnsi="IFAO-Grec Unicode" w:hint="default"/>
          <w:rtl w:val="0"/>
        </w:rPr>
        <w:t xml:space="preserve">” </w:t>
      </w:r>
      <w:r>
        <w:rPr>
          <w:rFonts w:ascii="IFAO-Grec Unicode" w:hAnsi="IFAO-Grec Unicode"/>
          <w:rtl w:val="0"/>
          <w:lang w:val="en-US"/>
        </w:rPr>
        <w:t xml:space="preserve">A similar phenomenon can be observed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"https://papyri.info/hgv/5697"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SB 5 7532</w:t>
      </w:r>
      <w:r>
        <w:rPr>
          <w:rFonts w:ascii="IFAO-Grec Unicode" w:cs="IFAO-Grec Unicode" w:hAnsi="IFAO-Grec Unicode" w:eastAsia="IFAO-Grec Unicode"/>
        </w:rPr>
        <w:fldChar w:fldCharType="end" w:fldLock="0"/>
      </w:r>
      <w:r>
        <w:rPr>
          <w:rFonts w:ascii="IFAO-Grec Unicode" w:hAnsi="IFAO-Grec Unicode"/>
          <w:rtl w:val="0"/>
          <w:lang w:val="en-US"/>
        </w:rPr>
        <w:t xml:space="preserve">, and also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"https://papyri.info/hgv/5028"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P.Bon. 10</w:t>
      </w:r>
      <w:r>
        <w:rPr>
          <w:rFonts w:ascii="IFAO-Grec Unicode" w:cs="IFAO-Grec Unicode" w:hAnsi="IFAO-Grec Unicode" w:eastAsia="IFAO-Grec Unicode"/>
        </w:rPr>
        <w:fldChar w:fldCharType="end" w:fldLock="0"/>
      </w:r>
      <w:r>
        <w:rPr>
          <w:rFonts w:ascii="IFAO-Grec Unicode" w:hAnsi="IFAO-Grec Unicode"/>
          <w:rtl w:val="0"/>
          <w:lang w:val="en-US"/>
        </w:rPr>
        <w:t xml:space="preserve"> (45 BCE, provenance unknown). This confirms a pattern by which the main text (</w:t>
      </w:r>
      <w:r>
        <w:rPr>
          <w:rFonts w:ascii="IFAO-Grec Unicode" w:hAnsi="IFAO-Grec Unicode"/>
          <w:rtl w:val="0"/>
        </w:rPr>
        <w:t>scriptura exterior</w:t>
      </w:r>
      <w:r>
        <w:rPr>
          <w:rFonts w:ascii="IFAO-Grec Unicode" w:hAnsi="IFAO-Grec Unicode"/>
          <w:rtl w:val="0"/>
          <w:lang w:val="en-US"/>
        </w:rPr>
        <w:t>) of contracts produced as double documents was written first, following the same rules as for the letters described above, after which a) the acknowledgement was inserted in the bottom margin, and b) another scribe added the summary (</w:t>
      </w:r>
      <w:r>
        <w:rPr>
          <w:rFonts w:ascii="IFAO-Grec Unicode" w:hAnsi="IFAO-Grec Unicode"/>
          <w:rtl w:val="0"/>
        </w:rPr>
        <w:t>scriptura interior</w:t>
      </w:r>
      <w:r>
        <w:rPr>
          <w:rFonts w:ascii="IFAO-Grec Unicode" w:hAnsi="IFAO-Grec Unicode"/>
          <w:rtl w:val="0"/>
          <w:lang w:val="en-US"/>
        </w:rPr>
        <w:t>) in the top margin before it was sealed. The general approach to the layout is similar to that of letters, but the purpose is different.</w:t>
      </w:r>
    </w:p>
    <w:p>
      <w:pPr>
        <w:pStyle w:val="Body"/>
        <w:rPr>
          <w:rFonts w:ascii="IFAO-Grec Unicode" w:cs="IFAO-Grec Unicode" w:hAnsi="IFAO-Grec Unicode" w:eastAsia="IFAO-Grec Unicode"/>
        </w:rPr>
      </w:pPr>
      <w:r>
        <w:rPr>
          <w:rFonts w:ascii="IFAO-Grec Unicode" w:hAnsi="IFAO-Grec Unicode"/>
          <w:rtl w:val="0"/>
          <w:lang w:val="en-US"/>
        </w:rPr>
        <w:t xml:space="preserve">The double documents mentioned above seem to confirm the pattern described so far; but there is also a specific case where, on the contrary, double documents bear testimony to a striking </w:t>
      </w:r>
      <w:r>
        <w:rPr>
          <w:rFonts w:ascii="IFAO-Grec Unicode" w:hAnsi="IFAO-Grec Unicode" w:hint="default"/>
          <w:rtl w:val="0"/>
        </w:rPr>
        <w:t xml:space="preserve">– </w:t>
      </w:r>
      <w:r>
        <w:rPr>
          <w:rFonts w:ascii="IFAO-Grec Unicode" w:hAnsi="IFAO-Grec Unicode"/>
          <w:rtl w:val="0"/>
          <w:lang w:val="en-US"/>
        </w:rPr>
        <w:t xml:space="preserve">and short-lived </w:t>
      </w:r>
      <w:r>
        <w:rPr>
          <w:rFonts w:ascii="IFAO-Grec Unicode" w:hAnsi="IFAO-Grec Unicode" w:hint="default"/>
          <w:rtl w:val="0"/>
        </w:rPr>
        <w:t xml:space="preserve">– </w:t>
      </w:r>
      <w:r>
        <w:rPr>
          <w:rFonts w:ascii="IFAO-Grec Unicode" w:hAnsi="IFAO-Grec Unicode"/>
          <w:rtl w:val="0"/>
          <w:lang w:val="en-US"/>
        </w:rPr>
        <w:t>innovation on the part of the scribes.</w:t>
      </w:r>
      <w:r>
        <w:rPr>
          <w:rFonts w:ascii="IFAO-Grec Unicode" w:hAnsi="IFAO-Grec Unicode"/>
          <w:rtl w:val="0"/>
          <w:lang w:val="en-US"/>
        </w:rPr>
        <w:t xml:space="preserve"> Village record-offices (</w:t>
      </w:r>
      <w:r>
        <w:rPr>
          <w:rFonts w:ascii="IFAO-Grec Unicode" w:hAnsi="IFAO-Grec Unicode" w:hint="default"/>
          <w:rtl w:val="0"/>
        </w:rPr>
        <w:t>γραφεῖα</w:t>
      </w:r>
      <w:r>
        <w:rPr>
          <w:rFonts w:ascii="IFAO-Grec Unicode" w:hAnsi="IFAO-Grec Unicode"/>
          <w:rtl w:val="0"/>
          <w:lang w:val="en-US"/>
        </w:rPr>
        <w:t>) in the Arsinoite nome produced in a period from ca. 74 BCE till 10 CE a score of contracts that display a peculiar appearance.</w:t>
      </w:r>
      <w:r>
        <w:rPr>
          <w:rFonts w:ascii="IFAO-Grec Unicode" w:cs="IFAO-Grec Unicode" w:hAnsi="IFAO-Grec Unicode" w:eastAsia="IFAO-Grec Unicode"/>
          <w:vertAlign w:val="superscript"/>
          <w:lang w:val="en-US"/>
        </w:rPr>
        <w:footnoteReference w:id="63"/>
      </w:r>
      <w:r>
        <w:rPr>
          <w:rFonts w:ascii="IFAO-Grec Unicode" w:hAnsi="IFAO-Grec Unicode"/>
          <w:rtl w:val="0"/>
          <w:lang w:val="en-US"/>
        </w:rPr>
        <w:t xml:space="preserve"> They were produced on tall sheets (approximately H 30 cm x W 12 cm), and the </w:t>
      </w:r>
      <w:r>
        <w:rPr>
          <w:rFonts w:ascii="IFAO-Grec Unicode" w:hAnsi="IFAO-Grec Unicode"/>
          <w:rtl w:val="0"/>
          <w:lang w:val="en-US"/>
        </w:rPr>
        <w:t>scriptura interior</w:t>
      </w:r>
      <w:r>
        <w:rPr>
          <w:rFonts w:ascii="IFAO-Grec Unicode" w:hAnsi="IFAO-Grec Unicode"/>
          <w:rtl w:val="0"/>
          <w:lang w:val="en-US"/>
        </w:rPr>
        <w:t xml:space="preserve">, which took ca. 3-4 lines, was placed at the top of the sheet, leaving a sizeable empty space before the </w:t>
      </w:r>
      <w:r>
        <w:rPr>
          <w:rFonts w:ascii="IFAO-Grec Unicode" w:hAnsi="IFAO-Grec Unicode"/>
          <w:rtl w:val="0"/>
          <w:lang w:val="en-US"/>
        </w:rPr>
        <w:t>scriptura exterior</w:t>
      </w:r>
      <w:r>
        <w:rPr>
          <w:rFonts w:ascii="IFAO-Grec Unicode" w:hAnsi="IFAO-Grec Unicode"/>
          <w:rtl w:val="0"/>
          <w:lang w:val="en-US"/>
        </w:rPr>
        <w:t xml:space="preserve"> was added in the lower half of the sheet.</w:t>
      </w:r>
      <w:r>
        <w:rPr>
          <w:rFonts w:ascii="IFAO-Grec Unicode" w:hAnsi="IFAO-Grec Unicode"/>
          <w:rtl w:val="0"/>
          <w:lang w:val="en-US"/>
        </w:rPr>
        <w:t xml:space="preserve"> </w:t>
      </w:r>
      <w:r>
        <w:rPr>
          <w:rFonts w:ascii="IFAO-Grec Unicode" w:hAnsi="IFAO-Grec Unicode"/>
          <w:rtl w:val="0"/>
          <w:lang w:val="de-DE"/>
        </w:rPr>
        <w:t>[[[</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rPr>
        <w:t>. 10</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"https://papyri.info/hgv/43045"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P.Fay. 240</w:t>
      </w:r>
      <w:r>
        <w:rPr>
          <w:rFonts w:ascii="IFAO-Grec Unicode" w:cs="IFAO-Grec Unicode" w:hAnsi="IFAO-Grec Unicode" w:eastAsia="IFAO-Grec Unicode"/>
        </w:rPr>
        <w:fldChar w:fldCharType="end" w:fldLock="0"/>
      </w:r>
      <w:r>
        <w:rPr>
          <w:rFonts w:ascii="IFAO-Grec Unicode" w:hAnsi="IFAO-Grec Unicode"/>
          <w:rtl w:val="0"/>
          <w:lang w:val="en-US"/>
        </w:rPr>
        <w:t>, image and structural display (Image: Cairo Museum, Association Internationale de Papyrologues, Center for the Study of Ancient Documents [Oxford], Adam B</w:t>
      </w:r>
      <w:r>
        <w:rPr>
          <w:rFonts w:ascii="IFAO-Grec Unicode" w:hAnsi="IFAO-Grec Unicode" w:hint="default"/>
          <w:rtl w:val="0"/>
        </w:rPr>
        <w:t>ü</w:t>
      </w:r>
      <w:r>
        <w:rPr>
          <w:rFonts w:ascii="IFAO-Grec Unicode" w:hAnsi="IFAO-Grec Unicode"/>
          <w:rtl w:val="0"/>
        </w:rPr>
        <w:t>low-Jacobsen.)</w:t>
      </w:r>
      <w:r>
        <w:rPr>
          <w:rFonts w:ascii="IFAO-Grec Unicode" w:hAnsi="IFAO-Grec Unicode"/>
          <w:rtl w:val="0"/>
          <w:lang w:val="de-DE"/>
        </w:rPr>
        <w:t>]]]</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Fonts w:ascii="IFAO-Grec Unicode" w:hAnsi="IFAO-Grec Unicode"/>
          <w:rtl w:val="0"/>
          <w:lang w:val="en-US"/>
        </w:rPr>
        <w:t xml:space="preserve">The format and layout are very consistent, but the scribes </w:t>
      </w:r>
      <w:r>
        <w:rPr>
          <w:rFonts w:ascii="IFAO-Grec Unicode" w:hAnsi="IFAO-Grec Unicode" w:hint="default"/>
          <w:rtl w:val="0"/>
          <w:lang w:val="en-US"/>
        </w:rPr>
        <w:t xml:space="preserve">– </w:t>
      </w:r>
      <w:r>
        <w:rPr>
          <w:rFonts w:ascii="IFAO-Grec Unicode" w:hAnsi="IFAO-Grec Unicode"/>
          <w:rtl w:val="0"/>
          <w:lang w:val="en-US"/>
        </w:rPr>
        <w:t xml:space="preserve">who worked in at least seven different </w:t>
      </w:r>
      <w:r>
        <w:rPr>
          <w:rFonts w:ascii="IFAO-Grec Unicode" w:hAnsi="IFAO-Grec Unicode"/>
          <w:rtl w:val="0"/>
          <w:lang w:val="en-US"/>
        </w:rPr>
        <w:t>grapheia</w:t>
      </w:r>
      <w:r>
        <w:rPr>
          <w:rFonts w:ascii="IFAO-Grec Unicode" w:hAnsi="IFAO-Grec Unicode" w:hint="default"/>
          <w:rtl w:val="0"/>
          <w:lang w:val="en-US"/>
        </w:rPr>
        <w:t xml:space="preserve"> – </w:t>
      </w:r>
      <w:r>
        <w:rPr>
          <w:rFonts w:ascii="IFAO-Grec Unicode" w:hAnsi="IFAO-Grec Unicode"/>
          <w:rtl w:val="0"/>
          <w:lang w:val="en-US"/>
        </w:rPr>
        <w:t xml:space="preserve">did not follow the pattern which we have found so far: there was hardly any margin at the top and bottom, or on the left and right of the sheet. In some cases, the scribes also resorted to a system of double dating, by the </w:t>
      </w:r>
      <w:r>
        <w:rPr>
          <w:rFonts w:ascii="IFAO-Grec Unicode" w:hAnsi="IFAO-Grec Unicode" w:hint="default"/>
          <w:rtl w:val="0"/>
          <w:lang w:val="en-US"/>
        </w:rPr>
        <w:t xml:space="preserve">κράτησις </w:t>
      </w:r>
      <w:r>
        <w:rPr>
          <w:rFonts w:ascii="IFAO-Grec Unicode" w:hAnsi="IFAO-Grec Unicode"/>
          <w:rtl w:val="0"/>
          <w:lang w:val="en-US"/>
        </w:rPr>
        <w:t>of Augustus and by the ordinary regnal year.</w:t>
      </w:r>
      <w:r>
        <w:rPr>
          <w:rFonts w:ascii="IFAO-Grec Unicode" w:cs="IFAO-Grec Unicode" w:hAnsi="IFAO-Grec Unicode" w:eastAsia="IFAO-Grec Unicode"/>
          <w:vertAlign w:val="superscript"/>
          <w:lang w:val="en-US"/>
        </w:rPr>
        <w:footnoteReference w:id="64"/>
      </w:r>
      <w:r>
        <w:rPr>
          <w:rFonts w:ascii="IFAO-Grec Unicode" w:hAnsi="IFAO-Grec Unicode"/>
          <w:rtl w:val="0"/>
          <w:lang w:val="en-US"/>
        </w:rPr>
        <w:t xml:space="preserve"> This is an innovation that met with little success and did not last beyond the reign of Augustus. In fact, the whole layout of those contracts is considered as an experimentation that was discontinued after Augustus.</w:t>
      </w:r>
      <w:r>
        <w:rPr>
          <w:rFonts w:ascii="IFAO-Grec Unicode" w:cs="IFAO-Grec Unicode" w:hAnsi="IFAO-Grec Unicode" w:eastAsia="IFAO-Grec Unicode"/>
          <w:vertAlign w:val="superscript"/>
          <w:lang w:val="en-US"/>
        </w:rPr>
        <w:footnoteReference w:id="65"/>
      </w:r>
      <w:r>
        <w:rPr>
          <w:rFonts w:ascii="IFAO-Grec Unicode" w:hAnsi="IFAO-Grec Unicode"/>
          <w:rtl w:val="0"/>
          <w:lang w:val="en-US"/>
        </w:rPr>
        <w:t xml:space="preserve"> Thus, this peculiar type of document is interesting both for its idiosyncrasy (it departs markedly from the established pattern), and for its consistency (this experimentation was conducted in several villages of the Arsinoite nome, presumably with the help of models that were circulated under the authority of the </w:t>
      </w:r>
      <w:r>
        <w:rPr>
          <w:rFonts w:ascii="IFAO-Grec Unicode" w:hAnsi="IFAO-Grec Unicode"/>
          <w:rtl w:val="0"/>
          <w:lang w:val="en-US"/>
        </w:rPr>
        <w:t>strategos</w:t>
      </w:r>
      <w:r>
        <w:rPr>
          <w:rFonts w:ascii="IFAO-Grec Unicode" w:hAnsi="IFAO-Grec Unicode"/>
          <w:rtl w:val="0"/>
          <w:lang w:val="en-US"/>
        </w:rPr>
        <w:t xml:space="preserve"> and the royal scribe).</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Fonts w:ascii="IFAO-Grec Unicode" w:hAnsi="IFAO-Grec Unicode"/>
          <w:rtl w:val="0"/>
          <w:lang w:val="en-US"/>
        </w:rPr>
        <w:t>#articleHeader</w:t>
      </w:r>
    </w:p>
    <w:p>
      <w:pPr>
        <w:pStyle w:val="Body"/>
        <w:rPr>
          <w:rFonts w:ascii="IFAO-Grec Unicode" w:cs="IFAO-Grec Unicode" w:hAnsi="IFAO-Grec Unicode" w:eastAsia="IFAO-Grec Unicode"/>
        </w:rPr>
      </w:pPr>
      <w:r>
        <w:rPr>
          <w:rFonts w:ascii="IFAO-Grec Unicode" w:hAnsi="IFAO-Grec Unicode"/>
          <w:rtl w:val="0"/>
          <w:lang w:val="en-US"/>
        </w:rPr>
        <w:t>Archive of the Alexandrian scribal office:</w:t>
      </w:r>
      <w:r>
        <w:rPr>
          <w:rFonts w:ascii="IFAO-Grec Unicode" w:hAnsi="IFAO-Grec Unicode"/>
          <w:rtl w:val="0"/>
          <w:lang w:val="en-US"/>
        </w:rPr>
        <w:t xml:space="preserve"> synchoresis</w:t>
      </w:r>
      <w:r>
        <w:rPr>
          <w:rFonts w:ascii="IFAO-Grec Unicode" w:hAnsi="IFAO-Grec Unicode"/>
          <w:rtl w:val="0"/>
          <w:lang w:val="en-US"/>
        </w:rPr>
        <w:t xml:space="preserve"> contracts</w:t>
      </w:r>
    </w:p>
    <w:p>
      <w:pPr>
        <w:pStyle w:val="Body"/>
        <w:rPr>
          <w:rFonts w:ascii="IFAO-Grec Unicode" w:cs="IFAO-Grec Unicode" w:hAnsi="IFAO-Grec Unicode" w:eastAsia="IFAO-Grec Unicode"/>
        </w:rPr>
      </w:pPr>
      <w:r>
        <w:rPr>
          <w:rFonts w:ascii="IFAO-Grec Unicode" w:hAnsi="IFAO-Grec Unicode"/>
          <w:rtl w:val="0"/>
          <w:lang w:val="en-US"/>
        </w:rPr>
        <w:t xml:space="preserve">The paradox regarding papyrological data in the reigns of Cleopatra and Augustus is rendered even more acute in the case of Alexandria: on the one hand, we have only few documents originating from that city; on the other, most of what is available dates from the reign of Augustus, when the overall amount of papyrological testimonies is at its lowest level. For the most part, the Alexandrian material consists of a batch of contracts grouped under the label </w:t>
      </w:r>
      <w:r>
        <w:rPr>
          <w:rFonts w:ascii="IFAO-Grec Unicode" w:hAnsi="IFAO-Grec Unicode"/>
          <w:rtl w:val="0"/>
          <w:lang w:val="en-US"/>
        </w:rPr>
        <w:t>synchoresis</w:t>
      </w:r>
      <w:r>
        <w:rPr>
          <w:rFonts w:ascii="IFAO-Grec Unicode" w:hAnsi="IFAO-Grec Unicode" w:hint="default"/>
          <w:rtl w:val="1"/>
        </w:rPr>
        <w:t xml:space="preserve"> ‘</w:t>
      </w:r>
      <w:r>
        <w:rPr>
          <w:rFonts w:ascii="IFAO-Grec Unicode" w:hAnsi="IFAO-Grec Unicode"/>
          <w:rtl w:val="0"/>
          <w:lang w:val="en-US"/>
        </w:rPr>
        <w:t>agreement</w:t>
      </w:r>
      <w:r>
        <w:rPr>
          <w:rFonts w:ascii="IFAO-Grec Unicode" w:hAnsi="IFAO-Grec Unicode" w:hint="default"/>
          <w:rtl w:val="1"/>
        </w:rPr>
        <w:t>’</w:t>
      </w:r>
      <w:r>
        <w:rPr>
          <w:rFonts w:ascii="IFAO-Grec Unicode" w:hAnsi="IFAO-Grec Unicode"/>
          <w:rtl w:val="0"/>
          <w:lang w:val="en-US"/>
        </w:rPr>
        <w:t xml:space="preserve">, because a form of the verb </w:t>
      </w:r>
      <w:r>
        <w:rPr>
          <w:rFonts w:ascii="IFAO-Grec Unicode" w:hAnsi="IFAO-Grec Unicode" w:hint="default"/>
          <w:rtl w:val="0"/>
        </w:rPr>
        <w:t xml:space="preserve">συγχωρέω </w:t>
      </w:r>
      <w:r>
        <w:rPr>
          <w:rFonts w:ascii="IFAO-Grec Unicode" w:hAnsi="IFAO-Grec Unicode"/>
          <w:rtl w:val="0"/>
          <w:lang w:val="en-US"/>
        </w:rPr>
        <w:t xml:space="preserve">appears in the text of the contract. This archive, labelled </w:t>
      </w:r>
      <w:r>
        <w:rPr>
          <w:rFonts w:ascii="IFAO-Grec Unicode" w:hAnsi="IFAO-Grec Unicode" w:hint="default"/>
          <w:rtl w:val="1"/>
          <w:lang w:val="ar-SA" w:bidi="ar-SA"/>
        </w:rPr>
        <w:t>“</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"http://www.trismegistos.org/archive/430"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Archive of the Alexandrian scribal office</w:t>
      </w:r>
      <w:r>
        <w:rPr>
          <w:rFonts w:ascii="IFAO-Grec Unicode" w:cs="IFAO-Grec Unicode" w:hAnsi="IFAO-Grec Unicode" w:eastAsia="IFAO-Grec Unicode"/>
        </w:rPr>
        <w:fldChar w:fldCharType="end" w:fldLock="0"/>
      </w:r>
      <w:r>
        <w:rPr>
          <w:rFonts w:ascii="IFAO-Grec Unicode" w:hAnsi="IFAO-Grec Unicode" w:hint="default"/>
          <w:rtl w:val="0"/>
        </w:rPr>
        <w:t>”</w:t>
      </w:r>
      <w:r>
        <w:rPr>
          <w:rFonts w:ascii="IFAO-Grec Unicode" w:hAnsi="IFAO-Grec Unicode"/>
          <w:rtl w:val="0"/>
          <w:lang w:val="en-US"/>
        </w:rPr>
        <w:t>, covers a period of twenty years, from ca. 23 till 5 BCE, with a peak around 14/13 BCE; it contains about a hundred documents.</w:t>
      </w:r>
      <w:r>
        <w:rPr>
          <w:rFonts w:ascii="IFAO-Grec Unicode" w:cs="IFAO-Grec Unicode" w:hAnsi="IFAO-Grec Unicode" w:eastAsia="IFAO-Grec Unicode"/>
          <w:vertAlign w:val="superscript"/>
        </w:rPr>
        <w:footnoteReference w:id="66"/>
      </w:r>
    </w:p>
    <w:p>
      <w:pPr>
        <w:pStyle w:val="Body"/>
        <w:rPr>
          <w:rFonts w:ascii="IFAO-Grec Unicode" w:cs="IFAO-Grec Unicode" w:hAnsi="IFAO-Grec Unicode" w:eastAsia="IFAO-Grec Unicode"/>
        </w:rPr>
      </w:pPr>
      <w:r>
        <w:rPr>
          <w:rFonts w:ascii="IFAO-Grec Unicode" w:hAnsi="IFAO-Grec Unicode"/>
          <w:rtl w:val="0"/>
          <w:lang w:val="en-US"/>
        </w:rPr>
        <w:t>The papyri were retrieved from mummy cartonnage found in Abusir al-Malaq (see above). The attribution to a scribal office in Alexandria is justified by the content of the documents.</w:t>
      </w:r>
      <w:r>
        <w:rPr>
          <w:rFonts w:ascii="IFAO-Grec Unicode" w:cs="IFAO-Grec Unicode" w:hAnsi="IFAO-Grec Unicode" w:eastAsia="IFAO-Grec Unicode"/>
          <w:vertAlign w:val="superscript"/>
        </w:rPr>
        <w:footnoteReference w:id="67"/>
      </w:r>
      <w:r>
        <w:rPr>
          <w:rFonts w:ascii="IFAO-Grec Unicode" w:hAnsi="IFAO-Grec Unicode"/>
          <w:rtl w:val="0"/>
          <w:lang w:val="en-US"/>
        </w:rPr>
        <w:t xml:space="preserve"> Several contracts were drafts, with many corrections; on some sheets, a scribe wrote a first version of contracts unrelated to one another, and in some cases both sides of the sheet were used. After the papyri had served their original purpose, they were presumably sold upstream as scrap paper and recycled to produce cardboard covering for mummies.</w:t>
      </w:r>
      <w:r>
        <w:rPr>
          <w:rFonts w:ascii="IFAO-Grec Unicode" w:cs="IFAO-Grec Unicode" w:hAnsi="IFAO-Grec Unicode" w:eastAsia="IFAO-Grec Unicode"/>
          <w:vertAlign w:val="superscript"/>
        </w:rPr>
        <w:footnoteReference w:id="68"/>
      </w:r>
    </w:p>
    <w:p>
      <w:pPr>
        <w:pStyle w:val="Body"/>
        <w:rPr>
          <w:rFonts w:ascii="IFAO-Grec Unicode" w:cs="IFAO-Grec Unicode" w:hAnsi="IFAO-Grec Unicode" w:eastAsia="IFAO-Grec Unicode"/>
        </w:rPr>
      </w:pPr>
      <w:r>
        <w:rPr>
          <w:rFonts w:ascii="IFAO-Grec Unicode" w:hAnsi="IFAO-Grec Unicode"/>
          <w:rtl w:val="0"/>
          <w:lang w:val="en-US"/>
        </w:rPr>
        <w:t xml:space="preserve">A detailed study of the content and legal aspects of Alexandrian </w:t>
      </w:r>
      <w:r>
        <w:rPr>
          <w:rFonts w:ascii="IFAO-Grec Unicode" w:hAnsi="IFAO-Grec Unicode"/>
          <w:rtl w:val="0"/>
          <w:lang w:val="pt-PT"/>
        </w:rPr>
        <w:t>synchoreseis</w:t>
      </w:r>
      <w:r>
        <w:rPr>
          <w:rFonts w:ascii="IFAO-Grec Unicode" w:hAnsi="IFAO-Grec Unicode"/>
          <w:rtl w:val="0"/>
          <w:lang w:val="en-US"/>
        </w:rPr>
        <w:t xml:space="preserve"> would be out of place within the present context; instead, we shall focus on the typological aspects of this dossier. The scribes who produced the documents were professionals who </w:t>
      </w:r>
      <w:r>
        <w:rPr>
          <w:rFonts w:ascii="IFAO-Grec Unicode" w:hAnsi="IFAO-Grec Unicode" w:hint="default"/>
          <w:rtl w:val="0"/>
        </w:rPr>
        <w:t xml:space="preserve">– </w:t>
      </w:r>
      <w:r>
        <w:rPr>
          <w:rFonts w:ascii="IFAO-Grec Unicode" w:hAnsi="IFAO-Grec Unicode"/>
          <w:rtl w:val="0"/>
          <w:lang w:val="en-US"/>
        </w:rPr>
        <w:t xml:space="preserve">here again </w:t>
      </w:r>
      <w:r>
        <w:rPr>
          <w:rFonts w:ascii="IFAO-Grec Unicode" w:hAnsi="IFAO-Grec Unicode" w:hint="default"/>
          <w:rtl w:val="0"/>
        </w:rPr>
        <w:t xml:space="preserve">– </w:t>
      </w:r>
      <w:r>
        <w:rPr>
          <w:rFonts w:ascii="IFAO-Grec Unicode" w:hAnsi="IFAO-Grec Unicode"/>
          <w:rtl w:val="0"/>
          <w:lang w:val="en-US"/>
        </w:rPr>
        <w:t>followed some basic rules with remarkable consistency, although there are exceptions to the characteristics listed below. Several documents were produced by the same scribe following a regular pattern.</w:t>
      </w:r>
      <w:r>
        <w:rPr>
          <w:rFonts w:ascii="IFAO-Grec Unicode" w:cs="IFAO-Grec Unicode" w:hAnsi="IFAO-Grec Unicode" w:eastAsia="IFAO-Grec Unicode"/>
          <w:vertAlign w:val="superscript"/>
        </w:rPr>
        <w:footnoteReference w:id="69"/>
      </w:r>
      <w:r>
        <w:rPr>
          <w:rFonts w:ascii="IFAO-Grec Unicode" w:hAnsi="IFAO-Grec Unicode"/>
          <w:rtl w:val="0"/>
          <w:lang w:val="en-US"/>
        </w:rPr>
        <w:t xml:space="preserve"> Before describing this pattern, however, it is necessary to go back in time to a prior instance of </w:t>
      </w:r>
      <w:r>
        <w:rPr>
          <w:rFonts w:ascii="IFAO-Grec Unicode" w:hAnsi="IFAO-Grec Unicode"/>
          <w:rtl w:val="0"/>
          <w:lang w:val="en-US"/>
        </w:rPr>
        <w:t>synchoresis</w:t>
      </w:r>
      <w:r>
        <w:rPr>
          <w:rFonts w:ascii="IFAO-Grec Unicode" w:hAnsi="IFAO-Grec Unicode"/>
          <w:rtl w:val="0"/>
          <w:lang w:val="en-US"/>
        </w:rPr>
        <w:t>, which will provide the institutional context of such documents.</w:t>
      </w:r>
    </w:p>
    <w:p>
      <w:pPr>
        <w:pStyle w:val="Body"/>
        <w:rPr>
          <w:rFonts w:ascii="IFAO-Grec Unicode" w:cs="IFAO-Grec Unicode" w:hAnsi="IFAO-Grec Unicode" w:eastAsia="IFAO-Grec Unicode"/>
        </w:rPr>
      </w:pPr>
      <w:r>
        <w:rPr>
          <w:rFonts w:ascii="IFAO-Grec Unicode" w:hAnsi="IFAO-Grec Unicode"/>
          <w:rtl w:val="0"/>
          <w:lang w:val="en-US"/>
        </w:rPr>
        <w:t xml:space="preserve">Formally speaking, a </w:t>
      </w:r>
      <w:r>
        <w:rPr>
          <w:rFonts w:ascii="IFAO-Grec Unicode" w:hAnsi="IFAO-Grec Unicode"/>
          <w:rtl w:val="0"/>
          <w:lang w:val="en-US"/>
        </w:rPr>
        <w:t>synchoresis</w:t>
      </w:r>
      <w:r>
        <w:rPr>
          <w:rFonts w:ascii="IFAO-Grec Unicode" w:hAnsi="IFAO-Grec Unicode"/>
          <w:rtl w:val="0"/>
          <w:lang w:val="en-US"/>
        </w:rPr>
        <w:t xml:space="preserve"> was shaped as a petition submitted to a court, requesting a judge to confirm the deal. This procedure can be traced back to the mid-second century through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P.Merton 2 59</w:t>
      </w:r>
      <w:r>
        <w:rPr>
          <w:rFonts w:ascii="IFAO-Grec Unicode" w:cs="IFAO-Grec Unicode" w:hAnsi="IFAO-Grec Unicode" w:eastAsia="IFAO-Grec Unicode"/>
        </w:rPr>
        <w:fldChar w:fldCharType="end" w:fldLock="0"/>
      </w:r>
      <w:r>
        <w:rPr>
          <w:rFonts w:ascii="IFAO-Grec Unicode" w:hAnsi="IFAO-Grec Unicode"/>
          <w:rtl w:val="0"/>
          <w:lang w:val="en-US"/>
        </w:rPr>
        <w:t xml:space="preserve"> (154 or 143 BCE, Crocodilopolis [Arsinoite nome]), an agreement to terminate a marriage contract, where the court of </w:t>
      </w:r>
      <w:r>
        <w:rPr>
          <w:rFonts w:ascii="IFAO-Grec Unicode" w:hAnsi="IFAO-Grec Unicode"/>
          <w:rtl w:val="0"/>
          <w:lang w:val="de-DE"/>
        </w:rPr>
        <w:t>chrematistai</w:t>
      </w:r>
      <w:r>
        <w:rPr>
          <w:rFonts w:ascii="IFAO-Grec Unicode" w:hAnsi="IFAO-Grec Unicode"/>
          <w:rtl w:val="0"/>
          <w:lang w:val="en-US"/>
        </w:rPr>
        <w:t xml:space="preserve"> confirms the deal.</w:t>
      </w:r>
      <w:r>
        <w:rPr>
          <w:rFonts w:ascii="IFAO-Grec Unicode" w:cs="IFAO-Grec Unicode" w:hAnsi="IFAO-Grec Unicode" w:eastAsia="IFAO-Grec Unicode"/>
          <w:vertAlign w:val="superscript"/>
        </w:rPr>
        <w:footnoteReference w:id="70"/>
      </w:r>
      <w:r>
        <w:rPr>
          <w:rFonts w:ascii="IFAO-Grec Unicode" w:hAnsi="IFAO-Grec Unicode"/>
          <w:rtl w:val="0"/>
          <w:lang w:val="en-US"/>
        </w:rPr>
        <w:t xml:space="preserve"> It is the only </w:t>
      </w:r>
      <w:r>
        <w:rPr>
          <w:rFonts w:ascii="IFAO-Grec Unicode" w:hAnsi="IFAO-Grec Unicode"/>
          <w:rtl w:val="0"/>
          <w:lang w:val="en-US"/>
        </w:rPr>
        <w:t>synchoresis</w:t>
      </w:r>
      <w:r>
        <w:rPr>
          <w:rFonts w:ascii="IFAO-Grec Unicode" w:hAnsi="IFAO-Grec Unicode"/>
          <w:rtl w:val="0"/>
          <w:lang w:val="en-US"/>
        </w:rPr>
        <w:t xml:space="preserve"> that is not related to Alexandria in one way or another.</w:t>
      </w:r>
      <w:r>
        <w:rPr>
          <w:rFonts w:ascii="IFAO-Grec Unicode" w:cs="IFAO-Grec Unicode" w:hAnsi="IFAO-Grec Unicode" w:eastAsia="IFAO-Grec Unicode"/>
          <w:vertAlign w:val="superscript"/>
        </w:rPr>
        <w:footnoteReference w:id="71"/>
      </w:r>
      <w:r>
        <w:rPr>
          <w:rFonts w:ascii="IFAO-Grec Unicode" w:hAnsi="IFAO-Grec Unicode"/>
          <w:rtl w:val="0"/>
          <w:lang w:val="en-US"/>
        </w:rPr>
        <w:t xml:space="preserve"> Prior to the publication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P.Merton 2 59</w:t>
      </w:r>
      <w:r>
        <w:rPr>
          <w:rFonts w:ascii="IFAO-Grec Unicode" w:cs="IFAO-Grec Unicode" w:hAnsi="IFAO-Grec Unicode" w:eastAsia="IFAO-Grec Unicode"/>
        </w:rPr>
        <w:fldChar w:fldCharType="end" w:fldLock="0"/>
      </w:r>
      <w:r>
        <w:rPr>
          <w:rFonts w:ascii="IFAO-Grec Unicode" w:hAnsi="IFAO-Grec Unicode"/>
          <w:rtl w:val="0"/>
          <w:lang w:val="en-US"/>
        </w:rPr>
        <w:t>, Ulrich Wilcken had already described the mode of preparation of such agreements:</w:t>
      </w:r>
      <w:r>
        <w:rPr>
          <w:rFonts w:ascii="IFAO-Grec Unicode" w:cs="IFAO-Grec Unicode" w:hAnsi="IFAO-Grec Unicode" w:eastAsia="IFAO-Grec Unicode"/>
          <w:vertAlign w:val="superscript"/>
        </w:rPr>
        <w:footnoteReference w:id="72"/>
      </w:r>
      <w:r>
        <w:rPr>
          <w:rFonts w:ascii="IFAO-Grec Unicode" w:hAnsi="IFAO-Grec Unicode"/>
          <w:rtl w:val="0"/>
          <w:lang w:val="en-US"/>
        </w:rPr>
        <w:t xml:space="preserve"> the scribe wrote the central part of the document, leaving an ample top and bottom margin.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P.Merton 2 59</w:t>
      </w:r>
      <w:r>
        <w:rPr>
          <w:rFonts w:ascii="IFAO-Grec Unicode" w:cs="IFAO-Grec Unicode" w:hAnsi="IFAO-Grec Unicode" w:eastAsia="IFAO-Grec Unicode"/>
        </w:rPr>
        <w:fldChar w:fldCharType="end" w:fldLock="0"/>
      </w:r>
      <w:r>
        <w:rPr>
          <w:rFonts w:ascii="IFAO-Grec Unicode" w:hAnsi="IFAO-Grec Unicode"/>
          <w:rtl w:val="0"/>
          <w:lang w:val="en-US"/>
        </w:rPr>
        <w:t xml:space="preserve">, the text of the agreement was then checked by the </w:t>
      </w:r>
      <w:r>
        <w:rPr>
          <w:rFonts w:ascii="IFAO-Grec Unicode" w:hAnsi="IFAO-Grec Unicode"/>
          <w:rtl w:val="0"/>
          <w:lang w:val="fr-FR"/>
        </w:rPr>
        <w:t>eisagogeus</w:t>
      </w:r>
      <w:r>
        <w:rPr>
          <w:rFonts w:ascii="IFAO-Grec Unicode" w:hAnsi="IFAO-Grec Unicode"/>
          <w:rtl w:val="0"/>
          <w:lang w:val="en-US"/>
        </w:rPr>
        <w:t xml:space="preserve"> (assistant to the </w:t>
      </w:r>
      <w:r>
        <w:rPr>
          <w:rFonts w:ascii="IFAO-Grec Unicode" w:hAnsi="IFAO-Grec Unicode"/>
          <w:rtl w:val="0"/>
          <w:lang w:val="de-DE"/>
        </w:rPr>
        <w:t>chrematistai</w:t>
      </w:r>
      <w:r>
        <w:rPr>
          <w:rFonts w:ascii="IFAO-Grec Unicode" w:hAnsi="IFAO-Grec Unicode"/>
          <w:rtl w:val="0"/>
          <w:lang w:val="en-US"/>
        </w:rPr>
        <w:t xml:space="preserve">), before the </w:t>
      </w:r>
      <w:r>
        <w:rPr>
          <w:rFonts w:ascii="IFAO-Grec Unicode" w:hAnsi="IFAO-Grec Unicode"/>
          <w:rtl w:val="0"/>
          <w:lang w:val="fr-FR"/>
        </w:rPr>
        <w:t>grammateus</w:t>
      </w:r>
      <w:r>
        <w:rPr>
          <w:rFonts w:ascii="IFAO-Grec Unicode" w:hAnsi="IFAO-Grec Unicode"/>
          <w:rtl w:val="0"/>
          <w:lang w:val="en-US"/>
        </w:rPr>
        <w:t xml:space="preserve"> (secretary to the </w:t>
      </w:r>
      <w:r>
        <w:rPr>
          <w:rFonts w:ascii="IFAO-Grec Unicode" w:hAnsi="IFAO-Grec Unicode"/>
          <w:rtl w:val="0"/>
          <w:lang w:val="de-DE"/>
        </w:rPr>
        <w:t>chrematistai</w:t>
      </w:r>
      <w:r>
        <w:rPr>
          <w:rFonts w:ascii="IFAO-Grec Unicode" w:hAnsi="IFAO-Grec Unicode"/>
          <w:rtl w:val="0"/>
          <w:lang w:val="en-US"/>
        </w:rPr>
        <w:t xml:space="preserve">) signed it for the parties below (note in particular, in lines 29-32, the repeated use of </w:t>
      </w:r>
      <w:r>
        <w:rPr>
          <w:rFonts w:ascii="IFAO-Grec Unicode" w:hAnsi="IFAO-Grec Unicode" w:hint="default"/>
          <w:rtl w:val="0"/>
        </w:rPr>
        <w:t xml:space="preserve">συγχωρῶ </w:t>
      </w:r>
      <w:r>
        <w:rPr>
          <w:rFonts w:ascii="IFAO-Grec Unicode" w:hAnsi="IFAO-Grec Unicode"/>
          <w:rtl w:val="0"/>
        </w:rPr>
        <w:t xml:space="preserve">/ </w:t>
      </w:r>
      <w:r>
        <w:rPr>
          <w:rFonts w:ascii="IFAO-Grec Unicode" w:hAnsi="IFAO-Grec Unicode" w:hint="default"/>
          <w:rtl w:val="0"/>
        </w:rPr>
        <w:t>συγχώρησις</w:t>
      </w:r>
      <w:r>
        <w:rPr>
          <w:rFonts w:ascii="IFAO-Grec Unicode" w:hAnsi="IFAO-Grec Unicode"/>
          <w:rtl w:val="0"/>
          <w:lang w:val="en-US"/>
        </w:rPr>
        <w:t xml:space="preserve">), and summarized the legal context in the top space. Finally, once the </w:t>
      </w:r>
      <w:r>
        <w:rPr>
          <w:rFonts w:ascii="IFAO-Grec Unicode" w:hAnsi="IFAO-Grec Unicode"/>
          <w:rtl w:val="0"/>
          <w:lang w:val="de-DE"/>
        </w:rPr>
        <w:t>chrematistai</w:t>
      </w:r>
      <w:r>
        <w:rPr>
          <w:rFonts w:ascii="IFAO-Grec Unicode" w:hAnsi="IFAO-Grec Unicode"/>
          <w:rtl w:val="0"/>
          <w:lang w:val="en-US"/>
        </w:rPr>
        <w:t xml:space="preserve"> had approved the deal, the </w:t>
      </w:r>
      <w:r>
        <w:rPr>
          <w:rFonts w:ascii="IFAO-Grec Unicode" w:hAnsi="IFAO-Grec Unicode"/>
          <w:rtl w:val="0"/>
          <w:lang w:val="fr-FR"/>
        </w:rPr>
        <w:t>grammateus</w:t>
      </w:r>
      <w:r>
        <w:rPr>
          <w:rFonts w:ascii="IFAO-Grec Unicode" w:hAnsi="IFAO-Grec Unicode"/>
          <w:rtl w:val="0"/>
          <w:lang w:val="en-US"/>
        </w:rPr>
        <w:t xml:space="preserve"> added the court decision below, on behalf of the </w:t>
      </w:r>
      <w:r>
        <w:rPr>
          <w:rFonts w:ascii="IFAO-Grec Unicode" w:hAnsi="IFAO-Grec Unicode"/>
          <w:rtl w:val="0"/>
          <w:lang w:val="fr-FR"/>
        </w:rPr>
        <w:t>eisagogeus</w:t>
      </w:r>
      <w:r>
        <w:rPr>
          <w:rFonts w:ascii="IFAO-Grec Unicode" w:hAnsi="IFAO-Grec Unicode"/>
          <w:rtl w:val="0"/>
          <w:lang w:val="en-US"/>
        </w:rPr>
        <w:t xml:space="preserve">. What matters for our understanding of the production of this agreement is that the scribe deliberately left large blank spaces at the top and bottom of the sheet for the various officials to complete the document. There was an administrative routine in the procedure which is reflected in the layout. Therefore, although the format, layout and structure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P.Merton 2 59</w:t>
      </w:r>
      <w:r>
        <w:rPr>
          <w:rFonts w:ascii="IFAO-Grec Unicode" w:cs="IFAO-Grec Unicode" w:hAnsi="IFAO-Grec Unicode" w:eastAsia="IFAO-Grec Unicode"/>
        </w:rPr>
        <w:fldChar w:fldCharType="end" w:fldLock="0"/>
      </w:r>
      <w:r>
        <w:rPr>
          <w:rFonts w:ascii="IFAO-Grec Unicode" w:hAnsi="IFAO-Grec Unicode"/>
          <w:rtl w:val="0"/>
          <w:lang w:val="en-US"/>
        </w:rPr>
        <w:t xml:space="preserve"> differ from the Alexandrian </w:t>
      </w:r>
      <w:r>
        <w:rPr>
          <w:rFonts w:ascii="IFAO-Grec Unicode" w:hAnsi="IFAO-Grec Unicode"/>
          <w:rtl w:val="0"/>
          <w:lang w:val="pt-PT"/>
        </w:rPr>
        <w:t>synchoreseis</w:t>
      </w:r>
      <w:r>
        <w:rPr>
          <w:rFonts w:ascii="IFAO-Grec Unicode" w:hAnsi="IFAO-Grec Unicode"/>
          <w:rtl w:val="0"/>
          <w:lang w:val="en-US"/>
        </w:rPr>
        <w:t>, the basic method followed by the scribes is quite similar, with a focus on the management of space on the sheet of papyrus, as well as on a display that made the various steps of the procedure evident at first glance.</w:t>
      </w:r>
      <w:r>
        <w:rPr>
          <w:rFonts w:ascii="IFAO-Grec Unicode" w:hAnsi="IFAO-Grec Unicode"/>
          <w:rtl w:val="0"/>
          <w:lang w:val="de-DE"/>
        </w:rPr>
        <w:t xml:space="preserve"> [[[</w:t>
      </w:r>
      <w:r>
        <w:rPr>
          <w:rFonts w:ascii="IFAO-Grec Unicode" w:hAnsi="IFAO-Grec Unicode"/>
          <w:b w:val="1"/>
          <w:bCs w:val="1"/>
          <w:rtl w:val="0"/>
        </w:rPr>
        <w:t>F</w:t>
      </w:r>
      <w:r>
        <w:rPr>
          <w:rFonts w:ascii="IFAO-Grec Unicode" w:hAnsi="IFAO-Grec Unicode"/>
          <w:b w:val="1"/>
          <w:bCs w:val="1"/>
          <w:rtl w:val="0"/>
          <w:lang w:val="de-DE"/>
        </w:rPr>
        <w:t>IG</w:t>
      </w:r>
      <w:r>
        <w:rPr>
          <w:rFonts w:ascii="IFAO-Grec Unicode" w:hAnsi="IFAO-Grec Unicode"/>
          <w:b w:val="1"/>
          <w:bCs w:val="1"/>
          <w:rtl w:val="0"/>
        </w:rPr>
        <w:t>. 11</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"https://papyri.info/hgv/5240"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P.Merton 2 59</w:t>
      </w:r>
      <w:r>
        <w:rPr>
          <w:rFonts w:ascii="IFAO-Grec Unicode" w:cs="IFAO-Grec Unicode" w:hAnsi="IFAO-Grec Unicode" w:eastAsia="IFAO-Grec Unicode"/>
        </w:rPr>
        <w:fldChar w:fldCharType="end" w:fldLock="0"/>
      </w:r>
      <w:r>
        <w:rPr>
          <w:rFonts w:ascii="IFAO-Grec Unicode" w:hAnsi="IFAO-Grec Unicode"/>
          <w:rtl w:val="0"/>
          <w:lang w:val="en-US"/>
        </w:rPr>
        <w:t xml:space="preserve"> (from the printed edition, pl. VIII).</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We may now come back to the production of Alexandrian </w:t>
      </w:r>
      <w:r>
        <w:rPr>
          <w:rFonts w:ascii="IFAO-Grec Unicode" w:hAnsi="IFAO-Grec Unicode"/>
          <w:rtl w:val="0"/>
          <w:lang w:val="pt-PT"/>
        </w:rPr>
        <w:t>synchoreseis</w:t>
      </w:r>
      <w:r>
        <w:rPr>
          <w:rFonts w:ascii="IFAO-Grec Unicode" w:hAnsi="IFAO-Grec Unicode"/>
          <w:rtl w:val="0"/>
          <w:lang w:val="en-US"/>
        </w:rPr>
        <w:t>. The format of the sheet was in most cases vertical, although horizontal sheets are also attested at a later date, in so-called landscape format with several columns.</w:t>
      </w:r>
      <w:r>
        <w:rPr>
          <w:rFonts w:ascii="IFAO-Grec Unicode" w:cs="IFAO-Grec Unicode" w:hAnsi="IFAO-Grec Unicode" w:eastAsia="IFAO-Grec Unicode"/>
          <w:vertAlign w:val="superscript"/>
        </w:rPr>
        <w:footnoteReference w:id="73"/>
      </w:r>
      <w:r>
        <w:rPr>
          <w:rFonts w:ascii="IFAO-Grec Unicode" w:hAnsi="IFAO-Grec Unicode"/>
          <w:rtl w:val="0"/>
          <w:lang w:val="en-US"/>
        </w:rPr>
        <w:t xml:space="preserve"> With a height of ca. 37 cm, the rolls used by this office in the first century BCE were comparatively tall. The sheet, once it had been detached from the roll, had a width of about a third of the height, ranging from 9 to 16 cm, on average 13 cm.</w:t>
      </w:r>
    </w:p>
    <w:p>
      <w:pPr>
        <w:pStyle w:val="Body"/>
        <w:rPr>
          <w:rFonts w:ascii="IFAO-Grec Unicode" w:cs="IFAO-Grec Unicode" w:hAnsi="IFAO-Grec Unicode" w:eastAsia="IFAO-Grec Unicode"/>
        </w:rPr>
      </w:pPr>
      <w:r>
        <w:rPr>
          <w:rFonts w:ascii="IFAO-Grec Unicode" w:hAnsi="IFAO-Grec Unicode"/>
          <w:rtl w:val="0"/>
          <w:lang w:val="pt-PT"/>
        </w:rPr>
        <w:t xml:space="preserve">A </w:t>
      </w:r>
      <w:r>
        <w:rPr>
          <w:rFonts w:ascii="IFAO-Grec Unicode" w:hAnsi="IFAO-Grec Unicode"/>
          <w:rtl w:val="0"/>
          <w:lang w:val="en-US"/>
        </w:rPr>
        <w:t>synchoresis</w:t>
      </w:r>
      <w:r>
        <w:rPr>
          <w:rFonts w:ascii="IFAO-Grec Unicode" w:hAnsi="IFAO-Grec Unicode"/>
          <w:rtl w:val="0"/>
          <w:lang w:val="en-US"/>
        </w:rPr>
        <w:t xml:space="preserve"> started with a heading along the model of a </w:t>
      </w:r>
      <w:r>
        <w:rPr>
          <w:rFonts w:ascii="IFAO-Grec Unicode" w:hAnsi="IFAO-Grec Unicode"/>
          <w:rtl w:val="0"/>
        </w:rPr>
        <w:t>hypomnema</w:t>
      </w:r>
      <w:r>
        <w:rPr>
          <w:rFonts w:ascii="IFAO-Grec Unicode" w:hAnsi="IFAO-Grec Unicode"/>
          <w:rtl w:val="0"/>
          <w:lang w:val="en-US"/>
        </w:rPr>
        <w:t xml:space="preserve"> with the addressee (dative), followed by the contracting parties (</w:t>
      </w:r>
      <w:r>
        <w:rPr>
          <w:rFonts w:ascii="IFAO-Grec Unicode" w:hAnsi="IFAO-Grec Unicode" w:hint="default"/>
          <w:rtl w:val="0"/>
        </w:rPr>
        <w:t xml:space="preserve">παρά </w:t>
      </w:r>
      <w:r>
        <w:rPr>
          <w:rFonts w:ascii="IFAO-Grec Unicode" w:hAnsi="IFAO-Grec Unicode"/>
          <w:rtl w:val="0"/>
          <w:lang w:val="it-IT"/>
        </w:rPr>
        <w:t>+ genitive).</w:t>
      </w:r>
      <w:r>
        <w:rPr>
          <w:rFonts w:ascii="IFAO-Grec Unicode" w:cs="IFAO-Grec Unicode" w:hAnsi="IFAO-Grec Unicode" w:eastAsia="IFAO-Grec Unicode"/>
          <w:vertAlign w:val="superscript"/>
        </w:rPr>
        <w:footnoteReference w:id="74"/>
      </w:r>
      <w:r>
        <w:rPr>
          <w:rFonts w:ascii="IFAO-Grec Unicode" w:hAnsi="IFAO-Grec Unicode"/>
          <w:rtl w:val="0"/>
          <w:lang w:val="en-US"/>
        </w:rPr>
        <w:t xml:space="preserve"> The addressee was highlighted by an insertion in </w:t>
      </w:r>
      <w:r>
        <w:rPr>
          <w:rFonts w:ascii="IFAO-Grec Unicode" w:hAnsi="IFAO-Grec Unicode"/>
          <w:rtl w:val="0"/>
          <w:lang w:val="en-US"/>
        </w:rPr>
        <w:t>ekthesis</w:t>
      </w:r>
      <w:r>
        <w:rPr>
          <w:rFonts w:ascii="IFAO-Grec Unicode" w:hAnsi="IFAO-Grec Unicode"/>
          <w:rtl w:val="0"/>
          <w:lang w:val="en-US"/>
        </w:rPr>
        <w:t xml:space="preserve"> (shifted to the left) at the top, sometimes with a space before the main body of the text. Because of the length of the texts, scribes opted for a small script and a medium to dense interlinear spacing. They could not center vertically the main block of text on the sheet (as was possible for short letters described above). A top and left margin of moderate size </w:t>
      </w:r>
      <w:r>
        <w:rPr>
          <w:rFonts w:ascii="IFAO-Grec Unicode" w:hAnsi="IFAO-Grec Unicode" w:hint="default"/>
          <w:rtl w:val="0"/>
        </w:rPr>
        <w:t xml:space="preserve">– </w:t>
      </w:r>
      <w:r>
        <w:rPr>
          <w:rFonts w:ascii="IFAO-Grec Unicode" w:hAnsi="IFAO-Grec Unicode"/>
          <w:rtl w:val="0"/>
          <w:lang w:val="en-US"/>
        </w:rPr>
        <w:t xml:space="preserve">and virtually no right margin </w:t>
      </w:r>
      <w:r>
        <w:rPr>
          <w:rFonts w:ascii="IFAO-Grec Unicode" w:hAnsi="IFAO-Grec Unicode" w:hint="default"/>
          <w:rtl w:val="0"/>
        </w:rPr>
        <w:t xml:space="preserve">– </w:t>
      </w:r>
      <w:r>
        <w:rPr>
          <w:rFonts w:ascii="IFAO-Grec Unicode" w:hAnsi="IFAO-Grec Unicode"/>
          <w:rtl w:val="0"/>
          <w:lang w:val="en-US"/>
        </w:rPr>
        <w:t>provided the main outline of the text to be written, and the scribe kept writing until he had included all the necessary content. In other words, the size of the bottom margin varied according to the space required for the text.</w:t>
      </w:r>
      <w:r>
        <w:rPr>
          <w:rFonts w:ascii="IFAO-Grec Unicode" w:hAnsi="IFAO-Grec Unicode"/>
          <w:rtl w:val="0"/>
          <w:lang w:val="de-DE"/>
        </w:rPr>
        <w:t xml:space="preserve"> [[[</w:t>
      </w:r>
      <w:r>
        <w:rPr>
          <w:rFonts w:ascii="IFAO-Grec Unicode" w:hAnsi="IFAO-Grec Unicode"/>
          <w:b w:val="1"/>
          <w:bCs w:val="1"/>
          <w:rtl w:val="0"/>
        </w:rPr>
        <w:t>Fig. 12</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"https://papyri.info/hgv/18560"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4 1118</w:t>
      </w:r>
      <w:r>
        <w:rPr>
          <w:rFonts w:ascii="IFAO-Grec Unicode" w:cs="IFAO-Grec Unicode" w:hAnsi="IFAO-Grec Unicode" w:eastAsia="IFAO-Grec Unicode"/>
        </w:rPr>
        <w:fldChar w:fldCharType="end" w:fldLock="0"/>
      </w:r>
      <w:r>
        <w:rPr>
          <w:rFonts w:ascii="IFAO-Grec Unicode" w:hAnsi="IFAO-Grec Unicode"/>
          <w:rtl w:val="0"/>
          <w:lang w:val="en-US"/>
        </w:rPr>
        <w:t>, image and structural display (Image: Cairo Museum, Association Internationale de Papyrologues, Center for the Study of Ancient Documents [Oxford], Adam B</w:t>
      </w:r>
      <w:r>
        <w:rPr>
          <w:rFonts w:ascii="IFAO-Grec Unicode" w:hAnsi="IFAO-Grec Unicode" w:hint="default"/>
          <w:rtl w:val="0"/>
        </w:rPr>
        <w:t>ü</w:t>
      </w:r>
      <w:r>
        <w:rPr>
          <w:rFonts w:ascii="IFAO-Grec Unicode" w:hAnsi="IFAO-Grec Unicode"/>
          <w:rtl w:val="0"/>
        </w:rPr>
        <w:t>low-Jacobsen.).</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last line of the main body of text was regularly marked by a </w:t>
      </w:r>
      <w:r>
        <w:rPr>
          <w:rFonts w:ascii="IFAO-Grec Unicode" w:hAnsi="IFAO-Grec Unicode"/>
          <w:rtl w:val="0"/>
          <w:lang w:val="fr-FR"/>
        </w:rPr>
        <w:t>paragraphos</w:t>
      </w:r>
      <w:r>
        <w:rPr>
          <w:rFonts w:ascii="IFAO-Grec Unicode" w:hAnsi="IFAO-Grec Unicode"/>
          <w:rtl w:val="0"/>
          <w:lang w:val="en-US"/>
        </w:rPr>
        <w:t xml:space="preserve">, in the shape of a curved stroke protruding into the left margin. This feature appears also in letters and petitions from the Herakleopolite nome (see above). The date, placed at the bottom, is detached from the main body of text and shifted to the right. The layout of an Alexandrian </w:t>
      </w:r>
      <w:r>
        <w:rPr>
          <w:rFonts w:ascii="IFAO-Grec Unicode" w:hAnsi="IFAO-Grec Unicode"/>
          <w:rtl w:val="0"/>
          <w:lang w:val="en-US"/>
        </w:rPr>
        <w:t>synchoresis</w:t>
      </w:r>
      <w:r>
        <w:rPr>
          <w:rFonts w:ascii="IFAO-Grec Unicode" w:hAnsi="IFAO-Grec Unicode"/>
          <w:rtl w:val="0"/>
          <w:lang w:val="en-US"/>
        </w:rPr>
        <w:t xml:space="preserve"> may also be compared with contracts drafted as double documents (discussed above), with sizeable top and bottom margins, a narrower left margin, virtually no margin on the right, and the main text ending with a </w:t>
      </w:r>
      <w:r>
        <w:rPr>
          <w:rFonts w:ascii="IFAO-Grec Unicode" w:hAnsi="IFAO-Grec Unicode"/>
          <w:rtl w:val="0"/>
          <w:lang w:val="fr-FR"/>
        </w:rPr>
        <w:t>paragraphos</w:t>
      </w:r>
      <w:r>
        <w:rPr>
          <w:rFonts w:ascii="IFAO-Grec Unicode" w:hAnsi="IFAO-Grec Unicode"/>
          <w:rtl w:val="0"/>
          <w:lang w:val="en-US"/>
        </w:rPr>
        <w:t xml:space="preserve">. The top margin is used for the </w:t>
      </w:r>
      <w:r>
        <w:rPr>
          <w:rFonts w:ascii="IFAO-Grec Unicode" w:hAnsi="IFAO-Grec Unicode"/>
          <w:rtl w:val="0"/>
        </w:rPr>
        <w:t>scriptura interior</w:t>
      </w:r>
      <w:r>
        <w:rPr>
          <w:rFonts w:ascii="IFAO-Grec Unicode" w:hAnsi="IFAO-Grec Unicode"/>
          <w:rtl w:val="0"/>
          <w:lang w:val="en-US"/>
        </w:rPr>
        <w:t>, and in the bottom margin the contracting party confirms the deal.</w:t>
      </w:r>
      <w:r>
        <w:rPr>
          <w:rFonts w:ascii="IFAO-Grec Unicode" w:cs="IFAO-Grec Unicode" w:hAnsi="IFAO-Grec Unicode" w:eastAsia="IFAO-Grec Unicode"/>
          <w:vertAlign w:val="superscript"/>
        </w:rPr>
        <w:footnoteReference w:id="75"/>
      </w:r>
      <w:r>
        <w:rPr>
          <w:rFonts w:ascii="IFAO-Grec Unicode" w:hAnsi="IFAO-Grec Unicode"/>
          <w:rtl w:val="0"/>
        </w:rPr>
        <w:t xml:space="preserve"> </w:t>
      </w:r>
    </w:p>
    <w:p>
      <w:pPr>
        <w:pStyle w:val="Body"/>
        <w:rPr>
          <w:rFonts w:ascii="IFAO-Grec Unicode" w:cs="IFAO-Grec Unicode" w:hAnsi="IFAO-Grec Unicode" w:eastAsia="IFAO-Grec Unicode"/>
        </w:rPr>
      </w:pPr>
      <w:r>
        <w:rPr>
          <w:rFonts w:ascii="IFAO-Grec Unicode" w:hAnsi="IFAO-Grec Unicode"/>
          <w:rtl w:val="0"/>
          <w:lang w:val="en-US"/>
        </w:rPr>
        <w:t xml:space="preserve">Those were the main rules followed by the scribes who produced </w:t>
      </w:r>
      <w:r>
        <w:rPr>
          <w:rFonts w:ascii="IFAO-Grec Unicode" w:hAnsi="IFAO-Grec Unicode"/>
          <w:rtl w:val="0"/>
          <w:lang w:val="en-US"/>
        </w:rPr>
        <w:t>synchoresis</w:t>
      </w:r>
      <w:r>
        <w:rPr>
          <w:rFonts w:ascii="IFAO-Grec Unicode" w:hAnsi="IFAO-Grec Unicode"/>
          <w:rtl w:val="0"/>
          <w:lang w:val="en-US"/>
        </w:rPr>
        <w:t xml:space="preserve"> contracts. Other features were added on an irregular basis. When the final version of the contract was produced, one copy could be archived and pasted to a roll (</w:t>
      </w:r>
      <w:r>
        <w:rPr>
          <w:rFonts w:ascii="IFAO-Grec Unicode" w:hAnsi="IFAO-Grec Unicode" w:hint="default"/>
          <w:rtl w:val="0"/>
        </w:rPr>
        <w:t>τόμος συγκολλήσιμος</w:t>
      </w:r>
      <w:r>
        <w:rPr>
          <w:rFonts w:ascii="IFAO-Grec Unicode" w:hAnsi="IFAO-Grec Unicode"/>
          <w:rtl w:val="0"/>
          <w:lang w:val="en-US"/>
        </w:rPr>
        <w:t xml:space="preserve">), with a classification number. Therefore, in some of the drafts the scribe anticipated this classification by adding, in the top margin, </w:t>
      </w:r>
      <w:r>
        <w:rPr>
          <w:rFonts w:ascii="IFAO-Grec Unicode" w:hAnsi="IFAO-Grec Unicode" w:hint="default"/>
          <w:rtl w:val="0"/>
        </w:rPr>
        <w:t>κο</w:t>
      </w:r>
      <w:r>
        <w:rPr>
          <w:rFonts w:ascii="IFAO-Grec Unicode" w:hAnsi="IFAO-Grec Unicode" w:hint="default"/>
          <w:vertAlign w:val="superscript"/>
          <w:rtl w:val="0"/>
        </w:rPr>
        <w:t>λ</w:t>
      </w:r>
      <w:r>
        <w:rPr>
          <w:rFonts w:ascii="IFAO-Grec Unicode" w:hAnsi="IFAO-Grec Unicode"/>
          <w:rtl w:val="0"/>
        </w:rPr>
        <w:t xml:space="preserve"> (for </w:t>
      </w:r>
      <w:r>
        <w:rPr>
          <w:rFonts w:ascii="IFAO-Grec Unicode" w:hAnsi="IFAO-Grec Unicode" w:hint="default"/>
          <w:rtl w:val="0"/>
        </w:rPr>
        <w:t>κόλλημα</w:t>
      </w:r>
      <w:r>
        <w:rPr>
          <w:rFonts w:ascii="IFAO-Grec Unicode" w:hAnsi="IFAO-Grec Unicode"/>
          <w:rtl w:val="0"/>
        </w:rPr>
        <w:t>).</w:t>
      </w:r>
      <w:r>
        <w:rPr>
          <w:rFonts w:ascii="IFAO-Grec Unicode" w:cs="IFAO-Grec Unicode" w:hAnsi="IFAO-Grec Unicode" w:eastAsia="IFAO-Grec Unicode"/>
          <w:vertAlign w:val="superscript"/>
        </w:rPr>
        <w:footnoteReference w:id="76"/>
      </w:r>
    </w:p>
    <w:p>
      <w:pPr>
        <w:pStyle w:val="Body"/>
        <w:rPr>
          <w:rFonts w:ascii="IFAO-Grec Unicode" w:cs="IFAO-Grec Unicode" w:hAnsi="IFAO-Grec Unicode" w:eastAsia="IFAO-Grec Unicode"/>
        </w:rPr>
      </w:pPr>
      <w:r>
        <w:rPr>
          <w:rFonts w:ascii="IFAO-Grec Unicode" w:hAnsi="IFAO-Grec Unicode"/>
          <w:rtl w:val="0"/>
          <w:lang w:val="en-US"/>
        </w:rPr>
        <w:t xml:space="preserve">The bottom margin, with its frequently generous dimensions, served another purpose: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"https://papyri.info/hgv/18548"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4 1107</w:t>
      </w:r>
      <w:r>
        <w:rPr>
          <w:rFonts w:ascii="IFAO-Grec Unicode" w:cs="IFAO-Grec Unicode" w:hAnsi="IFAO-Grec Unicode" w:eastAsia="IFAO-Grec Unicode"/>
        </w:rPr>
        <w:fldChar w:fldCharType="end" w:fldLock="0"/>
      </w:r>
      <w:r>
        <w:rPr>
          <w:rFonts w:ascii="IFAO-Grec Unicode" w:hAnsi="IFAO-Grec Unicode"/>
          <w:rtl w:val="0"/>
          <w:lang w:val="en-US"/>
        </w:rPr>
        <w:t>, a contract that was nearly completed, two women wrote their consent (</w:t>
      </w:r>
      <w:r>
        <w:rPr>
          <w:rFonts w:ascii="IFAO-Grec Unicode" w:hAnsi="IFAO-Grec Unicode" w:hint="default"/>
          <w:rtl w:val="0"/>
        </w:rPr>
        <w:t>συνχωρῶ</w:t>
      </w:r>
      <w:r>
        <w:rPr>
          <w:rFonts w:ascii="IFAO-Grec Unicode" w:hAnsi="IFAO-Grec Unicode"/>
          <w:rtl w:val="0"/>
          <w:lang w:val="en-US"/>
        </w:rPr>
        <w:t>) between the main body of text and the date, displaying a mastery of writing far below that of the professional scribe who had prepared the contract.</w:t>
      </w:r>
      <w:r>
        <w:rPr>
          <w:rFonts w:ascii="IFAO-Grec Unicode" w:cs="IFAO-Grec Unicode" w:hAnsi="IFAO-Grec Unicode" w:eastAsia="IFAO-Grec Unicode"/>
          <w:vertAlign w:val="superscript"/>
        </w:rPr>
        <w:footnoteReference w:id="77"/>
      </w:r>
      <w:r>
        <w:rPr>
          <w:rFonts w:ascii="IFAO-Grec Unicode" w:hAnsi="IFAO-Grec Unicode"/>
          <w:rtl w:val="0"/>
          <w:lang w:val="en-US"/>
        </w:rPr>
        <w:t xml:space="preserve"> Thus, the asymmetrical margins, with a bottom margin taller than the top margin, allowed some space for the last stage of the procedure, when the contracting parties gave their approval to the agreement.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The Cleopatra ordinance and other documents from individuals of high standing</w:t>
      </w: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(received Feb. 23, 33 BCE, Alexandria [?]), known to many papyrologists as the </w:t>
      </w:r>
      <w:r>
        <w:rPr>
          <w:rFonts w:ascii="IFAO-Grec Unicode" w:hAnsi="IFAO-Grec Unicode" w:hint="default"/>
          <w:rtl w:val="1"/>
        </w:rPr>
        <w:t>‘</w:t>
      </w:r>
      <w:r>
        <w:rPr>
          <w:rFonts w:ascii="IFAO-Grec Unicode" w:hAnsi="IFAO-Grec Unicode"/>
          <w:rtl w:val="0"/>
        </w:rPr>
        <w:t>Cleopatra papyrus</w:t>
      </w:r>
      <w:r>
        <w:rPr>
          <w:rFonts w:ascii="IFAO-Grec Unicode" w:hAnsi="IFAO-Grec Unicode" w:hint="default"/>
          <w:rtl w:val="1"/>
        </w:rPr>
        <w:t>’</w:t>
      </w:r>
      <w:r>
        <w:rPr>
          <w:rFonts w:ascii="IFAO-Grec Unicode" w:hAnsi="IFAO-Grec Unicode"/>
          <w:rtl w:val="0"/>
          <w:lang w:val="en-US"/>
        </w:rPr>
        <w:t xml:space="preserve">, provides an interesting point of comparison with </w:t>
      </w:r>
      <w:r>
        <w:rPr>
          <w:rFonts w:ascii="IFAO-Grec Unicode" w:hAnsi="IFAO-Grec Unicode"/>
          <w:rtl w:val="0"/>
          <w:lang w:val="en-US"/>
        </w:rPr>
        <w:t>synchoresis</w:t>
      </w:r>
      <w:r>
        <w:rPr>
          <w:rFonts w:ascii="IFAO-Grec Unicode" w:hAnsi="IFAO-Grec Unicode"/>
          <w:rtl w:val="0"/>
          <w:lang w:val="en-US"/>
        </w:rPr>
        <w:t xml:space="preserve"> contracts from Alexandria, precisely because of the potential for confusion, and also because the rules followed by the scribe in writing this document, although not identical, nonetheless bear some resemblance to </w:t>
      </w:r>
      <w:r>
        <w:rPr>
          <w:rFonts w:ascii="IFAO-Grec Unicode" w:hAnsi="IFAO-Grec Unicode"/>
          <w:rtl w:val="0"/>
          <w:lang w:val="en-US"/>
        </w:rPr>
        <w:t>synchoresis</w:t>
      </w:r>
      <w:r>
        <w:rPr>
          <w:rFonts w:ascii="IFAO-Grec Unicode" w:hAnsi="IFAO-Grec Unicode"/>
          <w:rtl w:val="0"/>
          <w:lang w:val="en-US"/>
        </w:rPr>
        <w:t xml:space="preserve"> contracts on some important aspects. After examining the main typological features of this document, it will be worth comparing it with a few others, in order to better understand the implicit guidelines followed by the scribes in the service of individuals of high standing in Egypt in the reign of Cleopatra and also in the early Augustan period.</w:t>
      </w:r>
    </w:p>
    <w:p>
      <w:pPr>
        <w:pStyle w:val="Body"/>
        <w:rPr>
          <w:rFonts w:ascii="IFAO-Grec Unicode" w:cs="IFAO-Grec Unicode" w:hAnsi="IFAO-Grec Unicode" w:eastAsia="IFAO-Grec Unicode"/>
        </w:rPr>
      </w:pPr>
      <w:r>
        <w:rPr>
          <w:rFonts w:ascii="IFAO-Grec Unicode" w:hAnsi="IFAO-Grec Unicode"/>
          <w:rtl w:val="0"/>
          <w:lang w:val="en-US"/>
        </w:rPr>
        <w:t>This papyrus, which belongs to the Berlin collection, came from the same mummy cartonnage ensemble found in Abusir al-Malaq that also provided several clusters described above.</w:t>
      </w:r>
      <w:r>
        <w:rPr>
          <w:rFonts w:ascii="IFAO-Grec Unicode" w:cs="IFAO-Grec Unicode" w:hAnsi="IFAO-Grec Unicode" w:eastAsia="IFAO-Grec Unicode"/>
          <w:vertAlign w:val="superscript"/>
        </w:rPr>
        <w:footnoteReference w:id="78"/>
      </w:r>
      <w:r>
        <w:rPr>
          <w:rFonts w:ascii="IFAO-Grec Unicode" w:hAnsi="IFAO-Grec Unicode"/>
          <w:rtl w:val="0"/>
          <w:lang w:val="en-US"/>
        </w:rPr>
        <w:t xml:space="preserve"> Yet there is no direct relation to any of those archives. The presence of the verb </w:t>
      </w:r>
      <w:r>
        <w:rPr>
          <w:rFonts w:ascii="IFAO-Grec Unicode" w:hAnsi="IFAO-Grec Unicode" w:hint="default"/>
          <w:rtl w:val="0"/>
        </w:rPr>
        <w:t>σ̣υνκεχωρήκαμ̣</w:t>
      </w:r>
      <w:r>
        <w:rPr>
          <w:rFonts w:ascii="IFAO-Grec Unicode" w:hAnsi="IFAO-Grec Unicode"/>
          <w:rtl w:val="0"/>
          <w:lang w:val="pt-PT"/>
        </w:rPr>
        <w:t>[</w:t>
      </w:r>
      <w:r>
        <w:rPr>
          <w:rFonts w:ascii="IFAO-Grec Unicode" w:hAnsi="IFAO-Grec Unicode" w:hint="default"/>
          <w:rtl w:val="0"/>
        </w:rPr>
        <w:t>εν</w:t>
      </w:r>
      <w:r>
        <w:rPr>
          <w:rFonts w:ascii="IFAO-Grec Unicode" w:hAnsi="IFAO-Grec Unicode"/>
          <w:rtl w:val="0"/>
          <w:lang w:val="en-US"/>
        </w:rPr>
        <w:t xml:space="preserve">] (3) led to its erroneous identification as a </w:t>
      </w:r>
      <w:r>
        <w:rPr>
          <w:rFonts w:ascii="IFAO-Grec Unicode" w:hAnsi="IFAO-Grec Unicode"/>
          <w:rtl w:val="0"/>
          <w:lang w:val="en-US"/>
        </w:rPr>
        <w:t>synchoresis</w:t>
      </w:r>
      <w:r>
        <w:rPr>
          <w:rFonts w:ascii="IFAO-Grec Unicode" w:hAnsi="IFAO-Grec Unicode"/>
          <w:rtl w:val="0"/>
          <w:lang w:val="en-US"/>
        </w:rPr>
        <w:t xml:space="preserve"> contract in the </w:t>
      </w:r>
      <w:r>
        <w:rPr>
          <w:rFonts w:ascii="IFAO-Grec Unicode" w:hAnsi="IFAO-Grec Unicode"/>
          <w:rtl w:val="0"/>
        </w:rPr>
        <w:t>editio princeps</w:t>
      </w:r>
      <w:r>
        <w:rPr>
          <w:rFonts w:ascii="IFAO-Grec Unicode" w:hAnsi="IFAO-Grec Unicode"/>
          <w:rtl w:val="0"/>
          <w:lang w:val="en-US"/>
        </w:rPr>
        <w:t>. It was soon recognized that this document is of a different nature: it is an ordinance granting fiscal privileges to a Roman of high standing, and it was convincingly argued that such an ordinance could originate only from the highest level of authority in the kingdom, namely Cleopatra VII herself.</w:t>
      </w:r>
      <w:r>
        <w:rPr>
          <w:rFonts w:ascii="IFAO-Grec Unicode" w:cs="IFAO-Grec Unicode" w:hAnsi="IFAO-Grec Unicode" w:eastAsia="IFAO-Grec Unicode"/>
          <w:vertAlign w:val="superscript"/>
        </w:rPr>
        <w:footnoteReference w:id="79"/>
      </w:r>
      <w:r>
        <w:rPr>
          <w:rFonts w:ascii="IFAO-Grec Unicode" w:hAnsi="IFAO-Grec Unicode"/>
          <w:rtl w:val="0"/>
          <w:lang w:val="en-US"/>
        </w:rPr>
        <w:t xml:space="preserve"> In the ample bottom margin of the document, a single-word approval (</w:t>
      </w:r>
      <w:r>
        <w:rPr>
          <w:rFonts w:ascii="IFAO-Grec Unicode" w:hAnsi="IFAO-Grec Unicode" w:hint="default"/>
          <w:rtl w:val="0"/>
        </w:rPr>
        <w:t>γινέσθωι “</w:t>
      </w:r>
      <w:r>
        <w:rPr>
          <w:rFonts w:ascii="IFAO-Grec Unicode" w:hAnsi="IFAO-Grec Unicode"/>
          <w:rtl w:val="0"/>
          <w:lang w:val="en-US"/>
        </w:rPr>
        <w:t>let it be so</w:t>
      </w:r>
      <w:r>
        <w:rPr>
          <w:rFonts w:ascii="IFAO-Grec Unicode" w:hAnsi="IFAO-Grec Unicode" w:hint="default"/>
          <w:rtl w:val="0"/>
        </w:rPr>
        <w:t>”</w:t>
      </w:r>
      <w:r>
        <w:rPr>
          <w:rFonts w:ascii="IFAO-Grec Unicode" w:hAnsi="IFAO-Grec Unicode"/>
          <w:rtl w:val="0"/>
          <w:lang w:val="en-US"/>
        </w:rPr>
        <w:t>) was added, possibly in the Queen</w:t>
      </w:r>
      <w:r>
        <w:rPr>
          <w:rFonts w:ascii="IFAO-Grec Unicode" w:hAnsi="IFAO-Grec Unicode" w:hint="default"/>
          <w:rtl w:val="1"/>
        </w:rPr>
        <w:t>’</w:t>
      </w:r>
      <w:r>
        <w:rPr>
          <w:rFonts w:ascii="IFAO-Grec Unicode" w:hAnsi="IFAO-Grec Unicode"/>
          <w:rtl w:val="0"/>
          <w:lang w:val="en-US"/>
        </w:rPr>
        <w:t>s own hand, although this is far from certain.</w:t>
      </w:r>
      <w:r>
        <w:rPr>
          <w:rFonts w:ascii="IFAO-Grec Unicode" w:cs="IFAO-Grec Unicode" w:hAnsi="IFAO-Grec Unicode" w:eastAsia="IFAO-Grec Unicode"/>
          <w:vertAlign w:val="superscript"/>
        </w:rPr>
        <w:footnoteReference w:id="80"/>
      </w:r>
      <w:r>
        <w:rPr>
          <w:rFonts w:ascii="IFAO-Grec Unicode" w:hAnsi="IFAO-Grec Unicode"/>
          <w:rtl w:val="0"/>
          <w:lang w:val="en-US"/>
        </w:rPr>
        <w:t xml:space="preserve"> In the present context, we shall leave aside the </w:t>
      </w:r>
      <w:r>
        <w:rPr>
          <w:rFonts w:ascii="IFAO-Grec Unicode" w:hAnsi="IFAO-Grec Unicode" w:hint="default"/>
          <w:rtl w:val="0"/>
        </w:rPr>
        <w:t xml:space="preserve">– </w:t>
      </w:r>
      <w:r>
        <w:rPr>
          <w:rFonts w:ascii="IFAO-Grec Unicode" w:hAnsi="IFAO-Grec Unicode"/>
          <w:rtl w:val="0"/>
          <w:lang w:val="en-US"/>
        </w:rPr>
        <w:t xml:space="preserve">admittedly important </w:t>
      </w:r>
      <w:r>
        <w:rPr>
          <w:rFonts w:ascii="IFAO-Grec Unicode" w:hAnsi="IFAO-Grec Unicode" w:hint="default"/>
          <w:rtl w:val="0"/>
        </w:rPr>
        <w:t xml:space="preserve">– </w:t>
      </w:r>
      <w:r>
        <w:rPr>
          <w:rFonts w:ascii="IFAO-Grec Unicode" w:hAnsi="IFAO-Grec Unicode"/>
          <w:rtl w:val="0"/>
          <w:lang w:val="en-US"/>
        </w:rPr>
        <w:t>question of the name of the beneficiary of this fiscal privilege.</w:t>
      </w:r>
      <w:r>
        <w:rPr>
          <w:rFonts w:ascii="IFAO-Grec Unicode" w:cs="IFAO-Grec Unicode" w:hAnsi="IFAO-Grec Unicode" w:eastAsia="IFAO-Grec Unicode"/>
          <w:vertAlign w:val="superscript"/>
        </w:rPr>
        <w:footnoteReference w:id="81"/>
      </w:r>
    </w:p>
    <w:p>
      <w:pPr>
        <w:pStyle w:val="Body"/>
        <w:rPr>
          <w:rFonts w:ascii="IFAO-Grec Unicode" w:cs="IFAO-Grec Unicode" w:hAnsi="IFAO-Grec Unicode" w:eastAsia="IFAO-Grec Unicode"/>
        </w:rPr>
      </w:pPr>
      <w:r>
        <w:rPr>
          <w:rFonts w:ascii="IFAO-Grec Unicode" w:hAnsi="IFAO-Grec Unicode"/>
          <w:rtl w:val="0"/>
          <w:lang w:val="en-US"/>
        </w:rPr>
        <w:t>This document corresponds to the first step in the dissemination of a royal ordinance (</w:t>
      </w:r>
      <w:r>
        <w:rPr>
          <w:rFonts w:ascii="IFAO-Grec Unicode" w:hAnsi="IFAO-Grec Unicode" w:hint="default"/>
          <w:rtl w:val="0"/>
        </w:rPr>
        <w:t>πρόσταγμα</w:t>
      </w:r>
      <w:r>
        <w:rPr>
          <w:rFonts w:ascii="IFAO-Grec Unicode" w:hAnsi="IFAO-Grec Unicode"/>
          <w:rtl w:val="0"/>
        </w:rPr>
        <w:t>).</w:t>
      </w:r>
      <w:r>
        <w:rPr>
          <w:rFonts w:ascii="IFAO-Grec Unicode" w:cs="IFAO-Grec Unicode" w:hAnsi="IFAO-Grec Unicode" w:eastAsia="IFAO-Grec Unicode"/>
          <w:vertAlign w:val="superscript"/>
        </w:rPr>
        <w:footnoteReference w:id="82"/>
      </w:r>
      <w:r>
        <w:rPr>
          <w:rFonts w:ascii="IFAO-Grec Unicode" w:hAnsi="IFAO-Grec Unicode"/>
          <w:rtl w:val="0"/>
          <w:lang w:val="en-US"/>
        </w:rPr>
        <w:t xml:space="preserve"> A scribe wrote down the text dictated by the Queen </w:t>
      </w:r>
      <w:r>
        <w:rPr>
          <w:rFonts w:ascii="IFAO-Grec Unicode" w:hAnsi="IFAO-Grec Unicode" w:hint="default"/>
          <w:rtl w:val="0"/>
        </w:rPr>
        <w:t xml:space="preserve">– </w:t>
      </w:r>
      <w:r>
        <w:rPr>
          <w:rFonts w:ascii="IFAO-Grec Unicode" w:hAnsi="IFAO-Grec Unicode"/>
          <w:rtl w:val="0"/>
          <w:lang w:val="en-US"/>
        </w:rPr>
        <w:t xml:space="preserve">presumably with the help of her staff </w:t>
      </w:r>
      <w:r>
        <w:rPr>
          <w:rFonts w:ascii="IFAO-Grec Unicode" w:hAnsi="IFAO-Grec Unicode" w:hint="default"/>
          <w:rtl w:val="0"/>
        </w:rPr>
        <w:t>–</w:t>
      </w:r>
      <w:r>
        <w:rPr>
          <w:rFonts w:ascii="IFAO-Grec Unicode" w:hAnsi="IFAO-Grec Unicode"/>
          <w:rtl w:val="0"/>
          <w:lang w:val="en-US"/>
        </w:rPr>
        <w:t xml:space="preserve">, who then confirmed it in writing, either adding </w:t>
      </w:r>
      <w:r>
        <w:rPr>
          <w:rFonts w:ascii="IFAO-Grec Unicode" w:hAnsi="IFAO-Grec Unicode" w:hint="default"/>
          <w:rtl w:val="0"/>
        </w:rPr>
        <w:t xml:space="preserve">γινέσθωι </w:t>
      </w:r>
      <w:r>
        <w:rPr>
          <w:rFonts w:ascii="IFAO-Grec Unicode" w:hAnsi="IFAO-Grec Unicode"/>
          <w:rtl w:val="0"/>
          <w:lang w:val="en-US"/>
        </w:rPr>
        <w:t xml:space="preserve">in her own hand, or ordering the scribe to write it himself. The document was passed on to an official at the highest level, whose identity remains unknown (2: [  </w:t>
      </w:r>
      <w:r>
        <w:rPr>
          <w:rFonts w:ascii="IFAO-Grec Unicode" w:hAnsi="IFAO-Grec Unicode" w:hint="default"/>
          <w:rtl w:val="0"/>
        </w:rPr>
        <w:t>̣  ̣  ̣  ̣</w:t>
      </w:r>
      <w:r>
        <w:rPr>
          <w:rFonts w:ascii="IFAO-Grec Unicode" w:hAnsi="IFAO-Grec Unicode"/>
          <w:rtl w:val="0"/>
          <w:lang w:val="pt-PT"/>
        </w:rPr>
        <w:t>]</w:t>
      </w:r>
      <w:r>
        <w:rPr>
          <w:rFonts w:ascii="IFAO-Grec Unicode" w:hAnsi="IFAO-Grec Unicode" w:hint="default"/>
          <w:rtl w:val="0"/>
        </w:rPr>
        <w:t>ωι</w:t>
      </w:r>
      <w:r>
        <w:rPr>
          <w:rFonts w:ascii="IFAO-Grec Unicode" w:hAnsi="IFAO-Grec Unicode"/>
          <w:rtl w:val="0"/>
          <w:lang w:val="en-US"/>
        </w:rPr>
        <w:t>); he would himself write to local officials, appending a copy of the ordinance. A close parallel to this procedure is offered by the text of an inscription where the transmission letter was displayed in Ptolemais, followed by the text of an ordinance of Cleopatra dating from 46 BCE.</w:t>
      </w:r>
      <w:r>
        <w:rPr>
          <w:rFonts w:ascii="IFAO-Grec Unicode" w:cs="IFAO-Grec Unicode" w:hAnsi="IFAO-Grec Unicode" w:eastAsia="IFAO-Grec Unicode"/>
          <w:vertAlign w:val="superscript"/>
        </w:rPr>
        <w:footnoteReference w:id="83"/>
      </w:r>
      <w:r>
        <w:rPr>
          <w:rFonts w:ascii="IFAO-Grec Unicode" w:hAnsi="IFAO-Grec Unicode"/>
          <w:rtl w:val="0"/>
          <w:lang w:val="en-US"/>
        </w:rPr>
        <w:t xml:space="preserve"> A similar chain of transmission is also briefly outlined in a letter from a </w:t>
      </w:r>
      <w:r>
        <w:rPr>
          <w:rFonts w:ascii="IFAO-Grec Unicode" w:hAnsi="IFAO-Grec Unicode"/>
          <w:rtl w:val="0"/>
        </w:rPr>
        <w:t>strategos</w:t>
      </w:r>
      <w:r>
        <w:rPr>
          <w:rFonts w:ascii="IFAO-Grec Unicode" w:hAnsi="IFAO-Grec Unicode"/>
          <w:rtl w:val="0"/>
          <w:lang w:val="en-US"/>
        </w:rPr>
        <w:t xml:space="preserve"> to the superintendent of the harbour of Herakleopolis in 146 BCE: (</w:t>
      </w:r>
      <w:r>
        <w:rPr>
          <w:rFonts w:ascii="IFAO-Grec Unicode" w:hAnsi="IFAO-Grec Unicode" w:hint="default"/>
          <w:rtl w:val="0"/>
        </w:rPr>
        <w:t>…</w:t>
      </w:r>
      <w:r>
        <w:rPr>
          <w:rFonts w:ascii="IFAO-Grec Unicode" w:hAnsi="IFAO-Grec Unicode"/>
          <w:rtl w:val="0"/>
        </w:rPr>
        <w:t xml:space="preserve">) </w:t>
      </w:r>
      <w:r>
        <w:rPr>
          <w:rFonts w:ascii="IFAO-Grec Unicode" w:hAnsi="IFAO-Grec Unicode" w:hint="default"/>
          <w:rtl w:val="0"/>
        </w:rPr>
        <w:t>κα̣θ̣ότ̣ι̣ γέγραφεν Δημήτριος τ̣</w:t>
      </w:r>
      <w:r>
        <w:rPr>
          <w:rFonts w:ascii="IFAO-Grec Unicode" w:hAnsi="IFAO-Grec Unicode"/>
          <w:rtl w:val="0"/>
          <w:lang w:val="pt-PT"/>
        </w:rPr>
        <w:t>[</w:t>
      </w:r>
      <w:r>
        <w:rPr>
          <w:rFonts w:ascii="IFAO-Grec Unicode" w:hAnsi="IFAO-Grec Unicode" w:hint="default"/>
          <w:rtl w:val="0"/>
        </w:rPr>
        <w:t>ῶ</w:t>
      </w:r>
      <w:r>
        <w:rPr>
          <w:rFonts w:ascii="IFAO-Grec Unicode" w:hAnsi="IFAO-Grec Unicode"/>
          <w:rtl w:val="0"/>
          <w:lang w:val="pt-PT"/>
        </w:rPr>
        <w:t>]</w:t>
      </w:r>
      <w:r>
        <w:rPr>
          <w:rFonts w:ascii="IFAO-Grec Unicode" w:hAnsi="IFAO-Grec Unicode" w:hint="default"/>
          <w:rtl w:val="0"/>
        </w:rPr>
        <w:t>ν πρώτων φίλων καὶ γραμματεὺς δυνάμεων προστεταχέναι τὸν βασιλέα</w:t>
      </w:r>
      <w:r>
        <w:rPr>
          <w:rFonts w:ascii="IFAO-Grec Unicode" w:hAnsi="IFAO-Grec Unicode"/>
          <w:rtl w:val="0"/>
        </w:rPr>
        <w:t xml:space="preserve">, </w:t>
      </w:r>
      <w:r>
        <w:rPr>
          <w:rFonts w:ascii="IFAO-Grec Unicode" w:hAnsi="IFAO-Grec Unicode" w:hint="default"/>
          <w:rtl w:val="0"/>
        </w:rPr>
        <w:t>παρασταθ̣ή̣τωι πλοῖον παραχρῆμα “</w:t>
      </w:r>
      <w:r>
        <w:rPr>
          <w:rFonts w:ascii="IFAO-Grec Unicode" w:hAnsi="IFAO-Grec Unicode"/>
          <w:rtl w:val="0"/>
        </w:rPr>
        <w:t>(</w:t>
      </w:r>
      <w:r>
        <w:rPr>
          <w:rFonts w:ascii="IFAO-Grec Unicode" w:hAnsi="IFAO-Grec Unicode" w:hint="default"/>
          <w:rtl w:val="0"/>
        </w:rPr>
        <w:t>…</w:t>
      </w:r>
      <w:r>
        <w:rPr>
          <w:rFonts w:ascii="IFAO-Grec Unicode" w:hAnsi="IFAO-Grec Unicode"/>
          <w:rtl w:val="0"/>
          <w:lang w:val="en-US"/>
        </w:rPr>
        <w:t>) in accordance with the letter of Demetrios, (of the rank) of first friends, secretary of the (armed) forces, (stating that) the king issued an ordinance, let a boat be prepared immediately.</w:t>
      </w:r>
      <w:r>
        <w:rPr>
          <w:rFonts w:ascii="IFAO-Grec Unicode" w:hAnsi="IFAO-Grec Unicode" w:hint="default"/>
          <w:rtl w:val="0"/>
        </w:rPr>
        <w:t>”</w:t>
      </w:r>
      <w:r>
        <w:rPr>
          <w:rFonts w:ascii="IFAO-Grec Unicode" w:cs="IFAO-Grec Unicode" w:hAnsi="IFAO-Grec Unicode" w:eastAsia="IFAO-Grec Unicode"/>
          <w:vertAlign w:val="superscript"/>
        </w:rPr>
        <w:footnoteReference w:id="84"/>
      </w:r>
      <w:r>
        <w:rPr>
          <w:rFonts w:ascii="IFAO-Grec Unicode" w:hAnsi="IFAO-Grec Unicode"/>
          <w:rtl w:val="0"/>
          <w:lang w:val="en-US"/>
        </w:rPr>
        <w:t xml:space="preserve"> Within the chain of transmission, Demetrios, who as quartermaster-general was in charge of the logistics of Ptolemy VI</w:t>
      </w:r>
      <w:r>
        <w:rPr>
          <w:rFonts w:ascii="IFAO-Grec Unicode" w:hAnsi="IFAO-Grec Unicode" w:hint="default"/>
          <w:rtl w:val="1"/>
        </w:rPr>
        <w:t>’</w:t>
      </w:r>
      <w:r>
        <w:rPr>
          <w:rFonts w:ascii="IFAO-Grec Unicode" w:hAnsi="IFAO-Grec Unicode"/>
          <w:rtl w:val="0"/>
          <w:lang w:val="en-US"/>
        </w:rPr>
        <w:t xml:space="preserve">s army, held a position comparable to that of the addressee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he was in direct contact with the King and forwarded in writing the ordinance to a nome </w:t>
      </w:r>
      <w:r>
        <w:rPr>
          <w:rFonts w:ascii="IFAO-Grec Unicode" w:hAnsi="IFAO-Grec Unicode"/>
          <w:rtl w:val="0"/>
        </w:rPr>
        <w:t>strategos</w:t>
      </w:r>
      <w:r>
        <w:rPr>
          <w:rFonts w:ascii="IFAO-Grec Unicode" w:hAnsi="IFAO-Grec Unicode"/>
          <w:rtl w:val="0"/>
          <w:lang w:val="en-US"/>
        </w:rPr>
        <w:t>, who himself sent his orders accordingly through a letter.</w:t>
      </w:r>
    </w:p>
    <w:p>
      <w:pPr>
        <w:pStyle w:val="Body"/>
        <w:rPr>
          <w:rFonts w:ascii="IFAO-Grec Unicode" w:cs="IFAO-Grec Unicode" w:hAnsi="IFAO-Grec Unicode" w:eastAsia="IFAO-Grec Unicode"/>
        </w:rPr>
      </w:pPr>
      <w:r>
        <w:rPr>
          <w:rFonts w:ascii="IFAO-Grec Unicode" w:hAnsi="IFAO-Grec Unicode"/>
          <w:rtl w:val="0"/>
          <w:lang w:val="en-US"/>
        </w:rPr>
        <w:t xml:space="preserve">Coming back to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the scribe who prepared the document worked in a fashion that displays similarities with documents found in the Archive of the Alexandrian scribal office, and especially among the letters in the Athenodoros Archive. There is nonetheless a difference in the format of the sheet, which is squarish and was cut from a roll with a height of ca. 24 cm. The scribe allowed for a sizeable top margin; the left margin was presumably narrower, but it is possible that the papyrus in its present state does not preserve its whole width. The name of the addressee was apparently placed in </w:t>
      </w:r>
      <w:r>
        <w:rPr>
          <w:rFonts w:ascii="IFAO-Grec Unicode" w:hAnsi="IFAO-Grec Unicode"/>
          <w:rtl w:val="0"/>
          <w:lang w:val="en-US"/>
        </w:rPr>
        <w:t>ekthesis</w:t>
      </w:r>
      <w:r>
        <w:rPr>
          <w:rFonts w:ascii="IFAO-Grec Unicode" w:hAnsi="IFAO-Grec Unicode"/>
          <w:rtl w:val="0"/>
          <w:lang w:val="en-US"/>
        </w:rPr>
        <w:t xml:space="preserve">, on the same pattern as Alexandrian </w:t>
      </w:r>
      <w:r>
        <w:rPr>
          <w:rFonts w:ascii="IFAO-Grec Unicode" w:hAnsi="IFAO-Grec Unicode"/>
          <w:rtl w:val="0"/>
          <w:lang w:val="en-US"/>
        </w:rPr>
        <w:t>synchoresis</w:t>
      </w:r>
      <w:r>
        <w:rPr>
          <w:rFonts w:ascii="IFAO-Grec Unicode" w:hAnsi="IFAO-Grec Unicode"/>
          <w:rtl w:val="0"/>
          <w:lang w:val="en-US"/>
        </w:rPr>
        <w:t xml:space="preserve"> contracts. The scribe opted for a medium-sized line spacing. The block of text is not centered vertically: when the task was completed, there remained an ample margin below.</w:t>
      </w:r>
      <w:r>
        <w:rPr>
          <w:rFonts w:ascii="IFAO-Grec Unicode" w:hAnsi="IFAO-Grec Unicode"/>
          <w:rtl w:val="0"/>
          <w:lang w:val="de-DE"/>
        </w:rPr>
        <w:t xml:space="preserve"> [[[</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13</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"https://papyri.info/hgv/78025"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P.Bingen 45</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25239.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"https://berlpap.smb.museum/05150/"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https://berlpap.smb.museum/05150/</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top and bottom margins served a purpose in the next stages of completion of the document. The Queen gave her formal approval in the bottom margin, placing </w:t>
      </w:r>
      <w:r>
        <w:rPr>
          <w:rFonts w:ascii="IFAO-Grec Unicode" w:hAnsi="IFAO-Grec Unicode" w:hint="default"/>
          <w:rtl w:val="0"/>
        </w:rPr>
        <w:t xml:space="preserve">γινέσθωι </w:t>
      </w:r>
      <w:r>
        <w:rPr>
          <w:rFonts w:ascii="IFAO-Grec Unicode" w:hAnsi="IFAO-Grec Unicode"/>
          <w:rtl w:val="0"/>
          <w:lang w:val="en-US"/>
        </w:rPr>
        <w:t xml:space="preserve">exactly where, in letters from the Ptolemaic period, the final greeting </w:t>
      </w:r>
      <w:r>
        <w:rPr>
          <w:rFonts w:ascii="IFAO-Grec Unicode" w:hAnsi="IFAO-Grec Unicode" w:hint="default"/>
          <w:rtl w:val="0"/>
        </w:rPr>
        <w:t xml:space="preserve">ἔρρωσο </w:t>
      </w:r>
      <w:r>
        <w:rPr>
          <w:rFonts w:ascii="IFAO-Grec Unicode" w:hAnsi="IFAO-Grec Unicode"/>
          <w:rtl w:val="0"/>
          <w:lang w:val="en-US"/>
        </w:rPr>
        <w:t>was normally written.</w:t>
      </w:r>
      <w:r>
        <w:rPr>
          <w:rFonts w:ascii="IFAO-Grec Unicode" w:cs="IFAO-Grec Unicode" w:hAnsi="IFAO-Grec Unicode" w:eastAsia="IFAO-Grec Unicode"/>
          <w:vertAlign w:val="superscript"/>
        </w:rPr>
        <w:footnoteReference w:id="85"/>
      </w:r>
      <w:r>
        <w:rPr>
          <w:rFonts w:ascii="IFAO-Grec Unicode" w:hAnsi="IFAO-Grec Unicode"/>
          <w:rtl w:val="0"/>
          <w:lang w:val="en-US"/>
        </w:rPr>
        <w:t xml:space="preserve"> Finally, a receipt docket, with a date, was placed in the top margin, following a practice that is also attested in petitions from the Herakleopolite nome (see above), as well as in letters from the same nome.</w:t>
      </w:r>
      <w:r>
        <w:rPr>
          <w:rFonts w:ascii="IFAO-Grec Unicode" w:cs="IFAO-Grec Unicode" w:hAnsi="IFAO-Grec Unicode" w:eastAsia="IFAO-Grec Unicode"/>
          <w:vertAlign w:val="superscript"/>
        </w:rPr>
        <w:footnoteReference w:id="86"/>
      </w:r>
    </w:p>
    <w:p>
      <w:pPr>
        <w:pStyle w:val="Body"/>
        <w:rPr>
          <w:rFonts w:ascii="IFAO-Grec Unicode" w:cs="IFAO-Grec Unicode" w:hAnsi="IFAO-Grec Unicode" w:eastAsia="IFAO-Grec Unicode"/>
        </w:rPr>
      </w:pPr>
      <w:r>
        <w:rPr>
          <w:rFonts w:ascii="IFAO-Grec Unicode" w:hAnsi="IFAO-Grec Unicode"/>
          <w:rtl w:val="0"/>
          <w:lang w:val="en-US"/>
        </w:rPr>
        <w:t xml:space="preserve">This document may now be compared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an official letter dated July 6, 51 BCE.</w:t>
      </w:r>
      <w:r>
        <w:rPr>
          <w:rFonts w:ascii="IFAO-Grec Unicode" w:cs="IFAO-Grec Unicode" w:hAnsi="IFAO-Grec Unicode" w:eastAsia="IFAO-Grec Unicode"/>
          <w:vertAlign w:val="superscript"/>
        </w:rPr>
        <w:footnoteReference w:id="87"/>
      </w:r>
      <w:r>
        <w:rPr>
          <w:rFonts w:ascii="IFAO-Grec Unicode" w:hAnsi="IFAO-Grec Unicode"/>
          <w:rtl w:val="0"/>
          <w:lang w:val="en-US"/>
        </w:rPr>
        <w:t xml:space="preserve"> The provenance is recorded as unknown but the content of the document, together with some prosopographical data, provides clues both to its origin and to the place where it was found. Achilleus writes to Seleukos, introducing Archedemos who is labelled as </w:t>
      </w:r>
      <w:r>
        <w:rPr>
          <w:rFonts w:ascii="IFAO-Grec Unicode" w:hAnsi="IFAO-Grec Unicode" w:hint="default"/>
          <w:rtl w:val="0"/>
        </w:rPr>
        <w:t>τῶν ἰδίων</w:t>
      </w:r>
      <w:r>
        <w:rPr>
          <w:rFonts w:ascii="IFAO-Grec Unicode" w:hAnsi="IFAO-Grec Unicode"/>
          <w:rtl w:val="0"/>
          <w:lang w:val="en-US"/>
        </w:rPr>
        <w:t xml:space="preserve">, i.e. a person closely attached to Achilleus. With the assistance of Diokles, Archedemos is to oversee all matters in an unspecified nome (3-4: </w:t>
      </w:r>
      <w:r>
        <w:rPr>
          <w:rFonts w:ascii="IFAO-Grec Unicode" w:hAnsi="IFAO-Grec Unicode" w:hint="default"/>
          <w:rtl w:val="0"/>
        </w:rPr>
        <w:t xml:space="preserve">πρὸς τῆι προστασίαι τῶν κατὰ </w:t>
      </w:r>
      <w:r>
        <w:rPr>
          <w:rFonts w:ascii="IFAO-Grec Unicode" w:hAnsi="IFAO-Grec Unicode"/>
          <w:rtl w:val="0"/>
          <w:lang w:val="pt-PT"/>
        </w:rPr>
        <w:t>[</w:t>
      </w:r>
      <w:r>
        <w:rPr>
          <w:rFonts w:ascii="IFAO-Grec Unicode" w:hAnsi="IFAO-Grec Unicode" w:hint="default"/>
          <w:rtl w:val="0"/>
        </w:rPr>
        <w:t>τὸ</w:t>
      </w:r>
      <w:r>
        <w:rPr>
          <w:rFonts w:ascii="IFAO-Grec Unicode" w:hAnsi="IFAO-Grec Unicode"/>
          <w:rtl w:val="0"/>
          <w:lang w:val="pt-PT"/>
        </w:rPr>
        <w:t>]</w:t>
      </w:r>
      <w:r>
        <w:rPr>
          <w:rFonts w:ascii="IFAO-Grec Unicode" w:hAnsi="IFAO-Grec Unicode" w:hint="default"/>
          <w:rtl w:val="0"/>
        </w:rPr>
        <w:t>ν ν</w:t>
      </w:r>
      <w:r>
        <w:rPr>
          <w:rFonts w:ascii="IFAO-Grec Unicode" w:hAnsi="IFAO-Grec Unicode"/>
          <w:rtl w:val="0"/>
          <w:lang w:val="pt-PT"/>
        </w:rPr>
        <w:t>[</w:t>
      </w:r>
      <w:r>
        <w:rPr>
          <w:rFonts w:ascii="IFAO-Grec Unicode" w:hAnsi="IFAO-Grec Unicode" w:hint="default"/>
          <w:rtl w:val="0"/>
        </w:rPr>
        <w:t>ο</w:t>
      </w:r>
      <w:r>
        <w:rPr>
          <w:rFonts w:ascii="IFAO-Grec Unicode" w:hAnsi="IFAO-Grec Unicode"/>
          <w:rtl w:val="0"/>
          <w:lang w:val="pt-PT"/>
        </w:rPr>
        <w:t>]</w:t>
      </w:r>
      <w:r>
        <w:rPr>
          <w:rFonts w:ascii="IFAO-Grec Unicode" w:hAnsi="IFAO-Grec Unicode" w:hint="default"/>
          <w:rtl w:val="0"/>
        </w:rPr>
        <w:t>μὸν πάντων</w:t>
      </w:r>
      <w:r>
        <w:rPr>
          <w:rFonts w:ascii="IFAO-Grec Unicode" w:hAnsi="IFAO-Grec Unicode"/>
          <w:rtl w:val="0"/>
          <w:lang w:val="en-US"/>
        </w:rPr>
        <w:t xml:space="preserve">). This must be the Herakleopolite nome, where a </w:t>
      </w:r>
      <w:r>
        <w:rPr>
          <w:rFonts w:ascii="IFAO-Grec Unicode" w:hAnsi="IFAO-Grec Unicode"/>
          <w:rtl w:val="0"/>
        </w:rPr>
        <w:t>strategos</w:t>
      </w:r>
      <w:r>
        <w:rPr>
          <w:rFonts w:ascii="IFAO-Grec Unicode" w:hAnsi="IFAO-Grec Unicode"/>
          <w:rtl w:val="0"/>
          <w:lang w:val="en-US"/>
        </w:rPr>
        <w:t xml:space="preserve"> named Seleukos is in office precisely at that time.</w:t>
      </w:r>
      <w:r>
        <w:rPr>
          <w:rFonts w:ascii="IFAO-Grec Unicode" w:cs="IFAO-Grec Unicode" w:hAnsi="IFAO-Grec Unicode" w:eastAsia="IFAO-Grec Unicode"/>
          <w:vertAlign w:val="superscript"/>
        </w:rPr>
        <w:footnoteReference w:id="88"/>
      </w:r>
      <w:r>
        <w:rPr>
          <w:rFonts w:ascii="IFAO-Grec Unicode" w:hAnsi="IFAO-Grec Unicode"/>
          <w:rtl w:val="0"/>
          <w:lang w:val="en-US"/>
        </w:rPr>
        <w:t xml:space="preserve"> Seleukos apparently remains in office since he is attested as </w:t>
      </w:r>
      <w:r>
        <w:rPr>
          <w:rFonts w:ascii="IFAO-Grec Unicode" w:hAnsi="IFAO-Grec Unicode"/>
          <w:rtl w:val="0"/>
        </w:rPr>
        <w:t>strategos</w:t>
      </w:r>
      <w:r>
        <w:rPr>
          <w:rFonts w:ascii="IFAO-Grec Unicode" w:hAnsi="IFAO-Grec Unicode"/>
          <w:rtl w:val="0"/>
          <w:lang w:val="en-US"/>
        </w:rPr>
        <w:t xml:space="preserve"> both before and after July 6.</w:t>
      </w:r>
      <w:r>
        <w:rPr>
          <w:rFonts w:ascii="IFAO-Grec Unicode" w:cs="IFAO-Grec Unicode" w:hAnsi="IFAO-Grec Unicode" w:eastAsia="IFAO-Grec Unicode"/>
          <w:vertAlign w:val="superscript"/>
        </w:rPr>
        <w:footnoteReference w:id="89"/>
      </w:r>
      <w:r>
        <w:rPr>
          <w:rFonts w:ascii="IFAO-Grec Unicode" w:hAnsi="IFAO-Grec Unicode"/>
          <w:rtl w:val="0"/>
          <w:lang w:val="en-US"/>
        </w:rPr>
        <w:t xml:space="preserve"> For a reason that is not provided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a higher authority temporarily imposed on the Herakleopolite nome a direct form of control through two envoys.</w:t>
      </w:r>
      <w:r>
        <w:rPr>
          <w:rFonts w:ascii="IFAO-Grec Unicode" w:cs="IFAO-Grec Unicode" w:hAnsi="IFAO-Grec Unicode" w:eastAsia="IFAO-Grec Unicode"/>
          <w:vertAlign w:val="superscript"/>
        </w:rPr>
        <w:footnoteReference w:id="90"/>
      </w:r>
      <w:r>
        <w:rPr>
          <w:rFonts w:ascii="IFAO-Grec Unicode" w:hAnsi="IFAO-Grec Unicode"/>
          <w:rtl w:val="0"/>
          <w:lang w:val="en-US"/>
        </w:rPr>
        <w:t xml:space="preserve"> The head of this delegation, Archedemos, is under the close orders of Achilleus, who must be a high official in Alexandria.</w:t>
      </w:r>
      <w:r>
        <w:rPr>
          <w:rFonts w:ascii="IFAO-Grec Unicode" w:cs="IFAO-Grec Unicode" w:hAnsi="IFAO-Grec Unicode" w:eastAsia="IFAO-Grec Unicode"/>
          <w:vertAlign w:val="superscript"/>
        </w:rPr>
        <w:footnoteReference w:id="91"/>
      </w:r>
      <w:r>
        <w:rPr>
          <w:rFonts w:ascii="IFAO-Grec Unicode" w:hAnsi="IFAO-Grec Unicode"/>
          <w:rtl w:val="0"/>
          <w:lang w:val="en-US"/>
        </w:rPr>
        <w:t xml:space="preserve"> Therefore, it seems justified to consider that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xml:space="preserve"> was written in Alexandria, in an office comparable to the one which issued Cleopatra</w:t>
      </w:r>
      <w:r>
        <w:rPr>
          <w:rFonts w:ascii="IFAO-Grec Unicode" w:hAnsi="IFAO-Grec Unicode" w:hint="default"/>
          <w:rtl w:val="1"/>
        </w:rPr>
        <w:t>’</w:t>
      </w:r>
      <w:r>
        <w:rPr>
          <w:rFonts w:ascii="IFAO-Grec Unicode" w:hAnsi="IFAO-Grec Unicode"/>
          <w:rtl w:val="0"/>
          <w:lang w:val="it-IT"/>
        </w:rPr>
        <w:t>s ordinance.</w:t>
      </w:r>
      <w:r>
        <w:rPr>
          <w:rFonts w:ascii="IFAO-Grec Unicode" w:hAnsi="IFAO-Grec Unicode"/>
          <w:rtl w:val="0"/>
          <w:lang w:val="de-DE"/>
        </w:rPr>
        <w:t xml:space="preserve"> [[[</w:t>
      </w:r>
      <w:r>
        <w:rPr>
          <w:rFonts w:ascii="IFAO-Grec Unicode" w:hAnsi="IFAO-Grec Unicode"/>
          <w:b w:val="1"/>
          <w:bCs w:val="1"/>
          <w:rtl w:val="0"/>
        </w:rPr>
        <w:t>Fig. 14</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image and structural display (Firenze, Biblioteca Medicea Laurenziana. With kind permission by the Ministry of Culture. Any further reproduction, by any means, is prohibited).</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Whereas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xml:space="preserve"> Achilleus, writing a letter to the </w:t>
      </w:r>
      <w:r>
        <w:rPr>
          <w:rFonts w:ascii="IFAO-Grec Unicode" w:hAnsi="IFAO-Grec Unicode"/>
          <w:rtl w:val="0"/>
        </w:rPr>
        <w:t>strategos</w:t>
      </w:r>
      <w:r>
        <w:rPr>
          <w:rFonts w:ascii="IFAO-Grec Unicode" w:hAnsi="IFAO-Grec Unicode"/>
          <w:rtl w:val="0"/>
          <w:lang w:val="en-US"/>
        </w:rPr>
        <w:t xml:space="preserve"> Seleukos, started with </w:t>
      </w:r>
      <w:r>
        <w:rPr>
          <w:rFonts w:ascii="IFAO-Grec Unicode" w:hAnsi="IFAO-Grec Unicode" w:hint="default"/>
          <w:rtl w:val="0"/>
        </w:rPr>
        <w:t>Ἀ̣χ̣ιλλε̣ὺ</w:t>
      </w:r>
      <w:r>
        <w:rPr>
          <w:rFonts w:ascii="IFAO-Grec Unicode" w:hAnsi="IFAO-Grec Unicode"/>
          <w:rtl w:val="0"/>
          <w:lang w:val="pt-PT"/>
        </w:rPr>
        <w:t>[</w:t>
      </w:r>
      <w:r>
        <w:rPr>
          <w:rFonts w:ascii="IFAO-Grec Unicode" w:hAnsi="IFAO-Grec Unicode" w:hint="default"/>
          <w:rtl w:val="0"/>
        </w:rPr>
        <w:t>ς</w:t>
      </w:r>
      <w:r>
        <w:rPr>
          <w:rFonts w:ascii="IFAO-Grec Unicode" w:hAnsi="IFAO-Grec Unicode"/>
          <w:rtl w:val="0"/>
          <w:lang w:val="pt-PT"/>
        </w:rPr>
        <w:t xml:space="preserve">] </w:t>
      </w:r>
      <w:r>
        <w:rPr>
          <w:rFonts w:ascii="IFAO-Grec Unicode" w:hAnsi="IFAO-Grec Unicode" w:hint="default"/>
          <w:rtl w:val="0"/>
        </w:rPr>
        <w:t>Σελεύκωι χαίρειν καὶ ἐρρῶσθαι</w:t>
      </w:r>
      <w:r>
        <w:rPr>
          <w:rFonts w:ascii="IFAO-Grec Unicode" w:hAnsi="IFAO-Grec Unicode"/>
          <w:rtl w:val="0"/>
          <w:lang w:val="it-IT"/>
        </w:rPr>
        <w:t xml:space="preserve">,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Queen Cleopatra would address her high official only by his name ([  </w:t>
      </w:r>
      <w:r>
        <w:rPr>
          <w:rFonts w:ascii="IFAO-Grec Unicode" w:hAnsi="IFAO-Grec Unicode" w:hint="default"/>
          <w:rtl w:val="0"/>
        </w:rPr>
        <w:t>̣  ̣  ̣  ̣</w:t>
      </w:r>
      <w:r>
        <w:rPr>
          <w:rFonts w:ascii="IFAO-Grec Unicode" w:hAnsi="IFAO-Grec Unicode"/>
          <w:rtl w:val="0"/>
          <w:lang w:val="pt-PT"/>
        </w:rPr>
        <w:t>]</w:t>
      </w:r>
      <w:r>
        <w:rPr>
          <w:rFonts w:ascii="IFAO-Grec Unicode" w:hAnsi="IFAO-Grec Unicode" w:hint="default"/>
          <w:rtl w:val="0"/>
        </w:rPr>
        <w:t>ωι</w:t>
      </w:r>
      <w:r>
        <w:rPr>
          <w:rFonts w:ascii="IFAO-Grec Unicode" w:hAnsi="IFAO-Grec Unicode"/>
          <w:rtl w:val="0"/>
          <w:lang w:val="en-US"/>
        </w:rPr>
        <w:t>), precisely because this was not a letter, but an order (</w:t>
      </w:r>
      <w:r>
        <w:rPr>
          <w:rFonts w:ascii="IFAO-Grec Unicode" w:hAnsi="IFAO-Grec Unicode" w:hint="default"/>
          <w:rtl w:val="0"/>
        </w:rPr>
        <w:t>πρόσταγμα</w:t>
      </w:r>
      <w:r>
        <w:rPr>
          <w:rFonts w:ascii="IFAO-Grec Unicode" w:hAnsi="IFAO-Grec Unicode"/>
          <w:rtl w:val="0"/>
          <w:lang w:val="en-US"/>
        </w:rPr>
        <w:t>) from the sovereign. This is the usual form of address in interdepartmental correspondence, to borrow from Peter van Minnen</w:t>
      </w:r>
      <w:r>
        <w:rPr>
          <w:rFonts w:ascii="IFAO-Grec Unicode" w:hAnsi="IFAO-Grec Unicode" w:hint="default"/>
          <w:rtl w:val="1"/>
        </w:rPr>
        <w:t>’</w:t>
      </w:r>
      <w:r>
        <w:rPr>
          <w:rFonts w:ascii="IFAO-Grec Unicode" w:hAnsi="IFAO-Grec Unicode"/>
          <w:rtl w:val="0"/>
          <w:lang w:val="nl-NL"/>
        </w:rPr>
        <w:t>s wording.</w:t>
      </w:r>
      <w:r>
        <w:rPr>
          <w:rFonts w:ascii="IFAO-Grec Unicode" w:cs="IFAO-Grec Unicode" w:hAnsi="IFAO-Grec Unicode" w:eastAsia="IFAO-Grec Unicode"/>
          <w:vertAlign w:val="superscript"/>
        </w:rPr>
        <w:footnoteReference w:id="92"/>
      </w:r>
      <w:r>
        <w:rPr>
          <w:rFonts w:ascii="IFAO-Grec Unicode" w:hAnsi="IFAO-Grec Unicode"/>
          <w:rtl w:val="0"/>
          <w:lang w:val="en-US"/>
        </w:rPr>
        <w:t xml:space="preserve"> Likewise, the Queen would not sign her order with final greetings, which would imply a kind of reciprocity: instead, she would simply express her will that her order be accomplished (</w:t>
      </w:r>
      <w:r>
        <w:rPr>
          <w:rFonts w:ascii="IFAO-Grec Unicode" w:hAnsi="IFAO-Grec Unicode" w:hint="default"/>
          <w:rtl w:val="0"/>
        </w:rPr>
        <w:t>γινέσθωι</w:t>
      </w:r>
      <w:r>
        <w:rPr>
          <w:rFonts w:ascii="IFAO-Grec Unicode" w:hAnsi="IFAO-Grec Unicode"/>
          <w:rtl w:val="0"/>
          <w:lang w:val="en-US"/>
        </w:rPr>
        <w:t xml:space="preserve">), and she wrote this single word </w:t>
      </w:r>
      <w:r>
        <w:rPr>
          <w:rFonts w:ascii="IFAO-Grec Unicode" w:hAnsi="IFAO-Grec Unicode" w:hint="default"/>
          <w:rtl w:val="0"/>
        </w:rPr>
        <w:t xml:space="preserve">– </w:t>
      </w:r>
      <w:r>
        <w:rPr>
          <w:rFonts w:ascii="IFAO-Grec Unicode" w:hAnsi="IFAO-Grec Unicode"/>
          <w:rtl w:val="0"/>
          <w:lang w:val="en-US"/>
        </w:rPr>
        <w:t xml:space="preserve">or had it written </w:t>
      </w:r>
      <w:r>
        <w:rPr>
          <w:rFonts w:ascii="IFAO-Grec Unicode" w:hAnsi="IFAO-Grec Unicode" w:hint="default"/>
          <w:rtl w:val="0"/>
        </w:rPr>
        <w:t xml:space="preserve">– </w:t>
      </w:r>
      <w:r>
        <w:rPr>
          <w:rFonts w:ascii="IFAO-Grec Unicode" w:hAnsi="IFAO-Grec Unicode"/>
          <w:rtl w:val="0"/>
          <w:lang w:val="en-US"/>
        </w:rPr>
        <w:t xml:space="preserve">in place of the usual </w:t>
      </w:r>
      <w:r>
        <w:rPr>
          <w:rFonts w:ascii="IFAO-Grec Unicode" w:hAnsi="IFAO-Grec Unicode" w:hint="default"/>
          <w:rtl w:val="0"/>
        </w:rPr>
        <w:t>ἔρρωσο</w:t>
      </w:r>
      <w:r>
        <w:rPr>
          <w:rFonts w:ascii="IFAO-Grec Unicode" w:hAnsi="IFAO-Grec Unicode"/>
          <w:rtl w:val="0"/>
          <w:lang w:val="en-US"/>
        </w:rPr>
        <w:t>. Thus, in spite of some differences, the basic rules were quite similar, but the scribes adapted them to the purpose of the document they were preparing, as well as to the position of the person issuing the text.</w:t>
      </w:r>
    </w:p>
    <w:p>
      <w:pPr>
        <w:pStyle w:val="Body"/>
        <w:rPr>
          <w:rFonts w:ascii="IFAO-Grec Unicode" w:cs="IFAO-Grec Unicode" w:hAnsi="IFAO-Grec Unicode" w:eastAsia="IFAO-Grec Unicode"/>
        </w:rPr>
      </w:pPr>
      <w:r>
        <w:rPr>
          <w:rFonts w:ascii="IFAO-Grec Unicode" w:hAnsi="IFAO-Grec Unicode"/>
          <w:rtl w:val="0"/>
          <w:lang w:val="en-US"/>
        </w:rPr>
        <w:t xml:space="preserve">We shall come back to the </w:t>
      </w:r>
      <w:r>
        <w:rPr>
          <w:rFonts w:ascii="IFAO-Grec Unicode" w:hAnsi="IFAO-Grec Unicode"/>
          <w:rtl w:val="0"/>
        </w:rPr>
        <w:t>strategos</w:t>
      </w:r>
      <w:r>
        <w:rPr>
          <w:rFonts w:ascii="IFAO-Grec Unicode" w:hAnsi="IFAO-Grec Unicode"/>
          <w:rtl w:val="0"/>
          <w:lang w:val="en-US"/>
        </w:rPr>
        <w:t xml:space="preserve"> Seleukos further down, from another perspective (section on </w:t>
      </w:r>
      <w:r>
        <w:rPr>
          <w:rFonts w:ascii="IFAO-Grec Unicode" w:hAnsi="IFAO-Grec Unicode" w:hint="default"/>
          <w:rtl w:val="0"/>
        </w:rPr>
        <w:t>πίστις</w:t>
      </w:r>
      <w:r>
        <w:rPr>
          <w:rFonts w:ascii="IFAO-Grec Unicode" w:hAnsi="IFAO-Grec Unicode"/>
          <w:rtl w:val="0"/>
          <w:lang w:val="en-US"/>
        </w:rPr>
        <w:t xml:space="preserve">). </w:t>
      </w:r>
      <w:r>
        <w:rPr>
          <w:rFonts w:ascii="IFAO-Grec Unicode" w:hAnsi="IFAO-Grec Unicode"/>
          <w:rtl w:val="0"/>
          <w:lang w:val="en-US"/>
        </w:rPr>
        <w:t xml:space="preserve">At this point, we have already encountered several instances where scribes rely on a basic set of rules, but adapt them to their specific purpose: such was the case with some letters belonging to the Athenodoros Archive, and a comparison between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(the Cleopatra ordinance)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fr-FR"/>
        </w:rPr>
        <w:t xml:space="preserve"> (Achilleus</w:t>
      </w:r>
      <w:r>
        <w:rPr>
          <w:rFonts w:ascii="IFAO-Grec Unicode" w:hAnsi="IFAO-Grec Unicode" w:hint="default"/>
          <w:rtl w:val="1"/>
        </w:rPr>
        <w:t xml:space="preserve">’ </w:t>
      </w:r>
      <w:r>
        <w:rPr>
          <w:rFonts w:ascii="IFAO-Grec Unicode" w:hAnsi="IFAO-Grec Unicode"/>
          <w:rtl w:val="0"/>
          <w:lang w:val="en-US"/>
        </w:rPr>
        <w:t>letter to Seleukos) also illustrates the case. This malleability, however, is not limited to documents from the reigns of Cleopatra and Augustus: on a broader scale, it can be observed in the production of tax receipts from the Roman period written on ostraca (more on ostraca below). Wilcken</w:t>
      </w:r>
      <w:r>
        <w:rPr>
          <w:rFonts w:ascii="IFAO-Grec Unicode" w:hAnsi="IFAO-Grec Unicode" w:hint="default"/>
          <w:rtl w:val="1"/>
        </w:rPr>
        <w:t>’</w:t>
      </w:r>
      <w:r>
        <w:rPr>
          <w:rFonts w:ascii="IFAO-Grec Unicode" w:hAnsi="IFAO-Grec Unicode"/>
          <w:rtl w:val="0"/>
          <w:lang w:val="en-US"/>
        </w:rPr>
        <w:t xml:space="preserve">s careful listing of various formularies for tax receipts in letter form highlights a similar malleability and he notes an increasing tendency to drop the salutation </w:t>
      </w:r>
      <w:r>
        <w:rPr>
          <w:rFonts w:ascii="IFAO-Grec Unicode" w:hAnsi="IFAO-Grec Unicode" w:hint="default"/>
          <w:rtl w:val="0"/>
        </w:rPr>
        <w:t>χαίρειν</w:t>
      </w:r>
      <w:r>
        <w:rPr>
          <w:rFonts w:ascii="IFAO-Grec Unicode" w:hAnsi="IFAO-Grec Unicode"/>
          <w:rtl w:val="0"/>
        </w:rPr>
        <w:t>.</w:t>
      </w:r>
      <w:r>
        <w:rPr>
          <w:rFonts w:ascii="IFAO-Grec Unicode" w:cs="IFAO-Grec Unicode" w:hAnsi="IFAO-Grec Unicode" w:eastAsia="IFAO-Grec Unicode"/>
          <w:vertAlign w:val="superscript"/>
        </w:rPr>
        <w:footnoteReference w:id="93"/>
      </w:r>
      <w:r>
        <w:rPr>
          <w:rFonts w:ascii="IFAO-Grec Unicode" w:hAnsi="IFAO-Grec Unicode"/>
          <w:rtl w:val="0"/>
          <w:lang w:val="en-US"/>
        </w:rPr>
        <w:t xml:space="preserve"> This happens exceptionally in the Ptolemaic period, and he points out only two cases under the rule of Augustus, but in the second century CE the phenomenon becomes more frequent overall, and it occurs also in the Byzantine period. There is a similar tendency to drop the final </w:t>
      </w:r>
      <w:r>
        <w:rPr>
          <w:rFonts w:ascii="IFAO-Grec Unicode" w:hAnsi="IFAO-Grec Unicode" w:hint="default"/>
          <w:rtl w:val="0"/>
        </w:rPr>
        <w:t>ἔρρωσο</w:t>
      </w:r>
      <w:r>
        <w:rPr>
          <w:rFonts w:ascii="IFAO-Grec Unicode" w:hAnsi="IFAO-Grec Unicode"/>
          <w:rtl w:val="0"/>
        </w:rPr>
        <w:t>.</w:t>
      </w:r>
      <w:r>
        <w:rPr>
          <w:rFonts w:ascii="IFAO-Grec Unicode" w:cs="IFAO-Grec Unicode" w:hAnsi="IFAO-Grec Unicode" w:eastAsia="IFAO-Grec Unicode"/>
          <w:vertAlign w:val="superscript"/>
        </w:rPr>
        <w:footnoteReference w:id="94"/>
      </w:r>
      <w:r>
        <w:rPr>
          <w:rFonts w:ascii="IFAO-Grec Unicode" w:hAnsi="IFAO-Grec Unicode"/>
          <w:rtl w:val="0"/>
          <w:lang w:val="en-US"/>
        </w:rPr>
        <w:t xml:space="preserve"> Besides a possible desire on the part of the scribes to simplify the formulation, omitting </w:t>
      </w:r>
      <w:r>
        <w:rPr>
          <w:rFonts w:ascii="IFAO-Grec Unicode" w:hAnsi="IFAO-Grec Unicode" w:hint="default"/>
          <w:rtl w:val="0"/>
        </w:rPr>
        <w:t xml:space="preserve">χαίρειν </w:t>
      </w:r>
      <w:r>
        <w:rPr>
          <w:rFonts w:ascii="IFAO-Grec Unicode" w:hAnsi="IFAO-Grec Unicode"/>
          <w:rtl w:val="0"/>
          <w:lang w:val="en-US"/>
        </w:rPr>
        <w:t xml:space="preserve">was also understood as a way for the sender to mark his higher social standing. Wilcken notes that in Elephantine and Syene, in the Roman period, the only receipt in letter form where </w:t>
      </w:r>
      <w:r>
        <w:rPr>
          <w:rFonts w:ascii="IFAO-Grec Unicode" w:hAnsi="IFAO-Grec Unicode" w:hint="default"/>
          <w:rtl w:val="0"/>
        </w:rPr>
        <w:t>χαίρειν</w:t>
      </w:r>
      <w:r>
        <w:rPr>
          <w:rFonts w:ascii="IFAO-Grec Unicode" w:hAnsi="IFAO-Grec Unicode"/>
          <w:rtl w:val="0"/>
          <w:lang w:val="en-US"/>
        </w:rPr>
        <w:t xml:space="preserve"> is missing is addressed to a slave.</w:t>
      </w:r>
      <w:r>
        <w:rPr>
          <w:rFonts w:ascii="IFAO-Grec Unicode" w:cs="IFAO-Grec Unicode" w:hAnsi="IFAO-Grec Unicode" w:eastAsia="IFAO-Grec Unicode"/>
          <w:vertAlign w:val="superscript"/>
          <w:lang w:val="en-US"/>
        </w:rPr>
        <w:footnoteReference w:id="95"/>
      </w:r>
      <w:r>
        <w:rPr>
          <w:rFonts w:ascii="IFAO-Grec Unicode" w:hAnsi="IFAO-Grec Unicode"/>
          <w:rtl w:val="0"/>
          <w:lang w:val="en-US"/>
        </w:rPr>
        <w:t xml:space="preserve"> He also recalls an anecdote from Plutarch</w:t>
      </w:r>
      <w:r>
        <w:rPr>
          <w:rFonts w:ascii="IFAO-Grec Unicode" w:hAnsi="IFAO-Grec Unicode" w:hint="default"/>
          <w:rtl w:val="1"/>
        </w:rPr>
        <w:t>’</w:t>
      </w:r>
      <w:r>
        <w:rPr>
          <w:rFonts w:ascii="IFAO-Grec Unicode" w:hAnsi="IFAO-Grec Unicode"/>
          <w:rtl w:val="0"/>
        </w:rPr>
        <w:t xml:space="preserve">s </w:t>
      </w:r>
      <w:r>
        <w:rPr>
          <w:rFonts w:ascii="IFAO-Grec Unicode" w:hAnsi="IFAO-Grec Unicode"/>
          <w:rtl w:val="0"/>
          <w:lang w:val="en-US"/>
        </w:rPr>
        <w:t>Life of Phokion</w:t>
      </w:r>
      <w:r>
        <w:rPr>
          <w:rFonts w:ascii="IFAO-Grec Unicode" w:hAnsi="IFAO-Grec Unicode"/>
          <w:rtl w:val="0"/>
          <w:lang w:val="en-US"/>
        </w:rPr>
        <w:t xml:space="preserve"> 17.9-10 that stresses a similar point, from the opposite perspective: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sz w:val="20"/>
          <w:szCs w:val="20"/>
        </w:rPr>
      </w:pPr>
      <w:r>
        <w:rPr>
          <w:rFonts w:ascii="IFAO-Grec Unicode" w:hAnsi="IFAO-Grec Unicode" w:hint="default"/>
          <w:sz w:val="20"/>
          <w:szCs w:val="20"/>
          <w:rtl w:val="0"/>
        </w:rPr>
        <w:t>ἰδίᾳ δὲ τὸν Φωκίωνα ποιησάμενος αὑτοῦ φίλον καὶ ξένον</w:t>
      </w:r>
      <w:r>
        <w:rPr>
          <w:rFonts w:ascii="IFAO-Grec Unicode" w:hAnsi="IFAO-Grec Unicode"/>
          <w:sz w:val="20"/>
          <w:szCs w:val="20"/>
          <w:rtl w:val="0"/>
        </w:rPr>
        <w:t xml:space="preserve">, </w:t>
      </w:r>
      <w:r>
        <w:rPr>
          <w:rFonts w:ascii="IFAO-Grec Unicode" w:hAnsi="IFAO-Grec Unicode" w:hint="default"/>
          <w:sz w:val="20"/>
          <w:szCs w:val="20"/>
          <w:rtl w:val="0"/>
        </w:rPr>
        <w:t>εἰς τοσαύτην ἔθετο τιμὴν ὅσην εἶχον ὀλίγοι τῶν ἀεὶ συνόντων</w:t>
      </w:r>
      <w:r>
        <w:rPr>
          <w:rFonts w:ascii="IFAO-Grec Unicode" w:hAnsi="IFAO-Grec Unicode"/>
          <w:sz w:val="20"/>
          <w:szCs w:val="20"/>
          <w:rtl w:val="0"/>
        </w:rPr>
        <w:t xml:space="preserve">. </w:t>
      </w:r>
      <w:r>
        <w:rPr>
          <w:rFonts w:ascii="IFAO-Grec Unicode" w:hAnsi="IFAO-Grec Unicode" w:hint="default"/>
          <w:sz w:val="20"/>
          <w:szCs w:val="20"/>
          <w:rtl w:val="0"/>
        </w:rPr>
        <w:t>ὁ γοῦν Δοῦρις εἴρηκεν</w:t>
      </w:r>
      <w:r>
        <w:rPr>
          <w:rFonts w:ascii="IFAO-Grec Unicode" w:hAnsi="IFAO-Grec Unicode"/>
          <w:sz w:val="20"/>
          <w:szCs w:val="20"/>
          <w:rtl w:val="0"/>
        </w:rPr>
        <w:t xml:space="preserve">, </w:t>
      </w:r>
      <w:r>
        <w:rPr>
          <w:rFonts w:ascii="IFAO-Grec Unicode" w:hAnsi="IFAO-Grec Unicode" w:hint="default"/>
          <w:sz w:val="20"/>
          <w:szCs w:val="20"/>
          <w:rtl w:val="0"/>
        </w:rPr>
        <w:t>ὡς μέγας γενόμενος καὶ Δαρείου κρατήσας ἀφεῖλε τῶν ἐπιστολῶν τὸ χαίρειν</w:t>
      </w:r>
      <w:r>
        <w:rPr>
          <w:rFonts w:ascii="IFAO-Grec Unicode" w:hAnsi="IFAO-Grec Unicode"/>
          <w:sz w:val="20"/>
          <w:szCs w:val="20"/>
          <w:rtl w:val="0"/>
        </w:rPr>
        <w:t xml:space="preserve">, </w:t>
      </w:r>
      <w:r>
        <w:rPr>
          <w:rFonts w:ascii="IFAO-Grec Unicode" w:hAnsi="IFAO-Grec Unicode" w:hint="default"/>
          <w:sz w:val="20"/>
          <w:szCs w:val="20"/>
          <w:rtl w:val="0"/>
        </w:rPr>
        <w:t>πλὴν ἐν ὅσαις ἔγραφε Φωκίωνι· τοῦτον δὲ μόνον ὥσπερ Ἀντίπατρον μετὰ τοῦ χαίρειν προσηγόρευε</w:t>
      </w:r>
      <w:r>
        <w:rPr>
          <w:rFonts w:ascii="IFAO-Grec Unicode" w:hAnsi="IFAO-Grec Unicode"/>
          <w:sz w:val="20"/>
          <w:szCs w:val="20"/>
          <w:rtl w:val="0"/>
        </w:rPr>
        <w:t>.</w:t>
      </w:r>
    </w:p>
    <w:p>
      <w:pPr>
        <w:pStyle w:val="Body"/>
        <w:rPr>
          <w:rFonts w:ascii="IFAO-Grec Unicode" w:cs="IFAO-Grec Unicode" w:hAnsi="IFAO-Grec Unicode" w:eastAsia="IFAO-Grec Unicode"/>
          <w:sz w:val="20"/>
          <w:szCs w:val="20"/>
        </w:rPr>
      </w:pPr>
    </w:p>
    <w:p>
      <w:pPr>
        <w:pStyle w:val="Body"/>
        <w:rPr>
          <w:rFonts w:ascii="IFAO-Grec Unicode" w:cs="IFAO-Grec Unicode" w:hAnsi="IFAO-Grec Unicode" w:eastAsia="IFAO-Grec Unicode"/>
          <w:sz w:val="20"/>
          <w:szCs w:val="20"/>
        </w:rPr>
      </w:pPr>
      <w:r>
        <w:rPr>
          <w:rFonts w:ascii="IFAO-Grec Unicode" w:hAnsi="IFAO-Grec Unicode"/>
          <w:sz w:val="20"/>
          <w:szCs w:val="20"/>
          <w:rtl w:val="0"/>
          <w:lang w:val="en-US"/>
        </w:rPr>
        <w:t xml:space="preserve">On a private level, [Alexander the Great] entertained with Phokion a relation of friendship and hospitality, and he honoured him in a way that only a few of his close companions enjoyed. This is confirmed by Douris, who says that, after Alexander had acquired great power and had defeated Darius, he gave up writing </w:t>
      </w:r>
      <w:r>
        <w:rPr>
          <w:rFonts w:ascii="IFAO-Grec Unicode" w:hAnsi="IFAO-Grec Unicode"/>
          <w:sz w:val="20"/>
          <w:szCs w:val="20"/>
          <w:rtl w:val="0"/>
          <w:lang w:val="fr-FR"/>
        </w:rPr>
        <w:t>chairein</w:t>
      </w:r>
      <w:r>
        <w:rPr>
          <w:rFonts w:ascii="IFAO-Grec Unicode" w:hAnsi="IFAO-Grec Unicode"/>
          <w:sz w:val="20"/>
          <w:szCs w:val="20"/>
          <w:rtl w:val="0"/>
          <w:lang w:val="en-US"/>
        </w:rPr>
        <w:t xml:space="preserve"> in his letters, except for all those he wrote to Phokion. To him only </w:t>
      </w:r>
      <w:r>
        <w:rPr>
          <w:rFonts w:ascii="IFAO-Grec Unicode" w:hAnsi="IFAO-Grec Unicode" w:hint="default"/>
          <w:sz w:val="20"/>
          <w:szCs w:val="20"/>
          <w:rtl w:val="0"/>
        </w:rPr>
        <w:t xml:space="preserve">– </w:t>
      </w:r>
      <w:r>
        <w:rPr>
          <w:rFonts w:ascii="IFAO-Grec Unicode" w:hAnsi="IFAO-Grec Unicode"/>
          <w:sz w:val="20"/>
          <w:szCs w:val="20"/>
          <w:rtl w:val="0"/>
          <w:lang w:val="en-US"/>
        </w:rPr>
        <w:t xml:space="preserve">as to Antipater </w:t>
      </w:r>
      <w:r>
        <w:rPr>
          <w:rFonts w:ascii="IFAO-Grec Unicode" w:hAnsi="IFAO-Grec Unicode" w:hint="default"/>
          <w:sz w:val="20"/>
          <w:szCs w:val="20"/>
          <w:rtl w:val="0"/>
        </w:rPr>
        <w:t xml:space="preserve">– </w:t>
      </w:r>
      <w:r>
        <w:rPr>
          <w:rFonts w:ascii="IFAO-Grec Unicode" w:hAnsi="IFAO-Grec Unicode"/>
          <w:sz w:val="20"/>
          <w:szCs w:val="20"/>
          <w:rtl w:val="0"/>
          <w:lang w:val="en-US"/>
        </w:rPr>
        <w:t xml:space="preserve">he sent greetings with </w:t>
      </w:r>
      <w:r>
        <w:rPr>
          <w:rFonts w:ascii="IFAO-Grec Unicode" w:hAnsi="IFAO-Grec Unicode"/>
          <w:sz w:val="20"/>
          <w:szCs w:val="20"/>
          <w:rtl w:val="0"/>
          <w:lang w:val="fr-FR"/>
        </w:rPr>
        <w:t>chairein</w:t>
      </w:r>
      <w:r>
        <w:rPr>
          <w:rFonts w:ascii="IFAO-Grec Unicode" w:hAnsi="IFAO-Grec Unicode"/>
          <w:sz w:val="20"/>
          <w:szCs w:val="20"/>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Thus, a sovereign may drop </w:t>
      </w:r>
      <w:r>
        <w:rPr>
          <w:rFonts w:ascii="IFAO-Grec Unicode" w:hAnsi="IFAO-Grec Unicode" w:hint="default"/>
          <w:rtl w:val="0"/>
        </w:rPr>
        <w:t>χαίρειν</w:t>
      </w:r>
      <w:r>
        <w:rPr>
          <w:rFonts w:ascii="IFAO-Grec Unicode" w:hAnsi="IFAO-Grec Unicode"/>
          <w:rtl w:val="0"/>
          <w:lang w:val="en-US"/>
        </w:rPr>
        <w:t xml:space="preserve"> while addressing a subject, but conversely a subject may not dispense with </w:t>
      </w:r>
      <w:r>
        <w:rPr>
          <w:rFonts w:ascii="IFAO-Grec Unicode" w:hAnsi="IFAO-Grec Unicode" w:hint="default"/>
          <w:rtl w:val="0"/>
        </w:rPr>
        <w:t>χαίρειν</w:t>
      </w:r>
      <w:r>
        <w:rPr>
          <w:rFonts w:ascii="IFAO-Grec Unicode" w:hAnsi="IFAO-Grec Unicode"/>
          <w:rtl w:val="0"/>
          <w:lang w:val="en-US"/>
        </w:rPr>
        <w:t xml:space="preserve"> when addressing the sovereign. In a possible exception to this rule,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"https://papyri.info/hgv/5721"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SB 6 9065</w:t>
      </w:r>
      <w:r>
        <w:rPr>
          <w:rFonts w:ascii="IFAO-Grec Unicode" w:cs="IFAO-Grec Unicode" w:hAnsi="IFAO-Grec Unicode" w:eastAsia="IFAO-Grec Unicode"/>
        </w:rPr>
        <w:fldChar w:fldCharType="end" w:fldLock="0"/>
      </w:r>
      <w:r>
        <w:rPr>
          <w:rFonts w:ascii="IFAO-Grec Unicode" w:hAnsi="IFAO-Grec Unicode"/>
          <w:rtl w:val="0"/>
          <w:lang w:val="en-US"/>
        </w:rPr>
        <w:t xml:space="preserve">.1-2 (50-49 BCE, Herakleopolite nome [?]), the opening </w:t>
      </w:r>
      <w:r>
        <w:rPr>
          <w:rFonts w:ascii="IFAO-Grec Unicode" w:hAnsi="IFAO-Grec Unicode" w:hint="default"/>
          <w:rtl w:val="0"/>
          <w:lang w:val="en-US"/>
        </w:rPr>
        <w:t xml:space="preserve">βα̣σιλίσσῃ Κλεοπάτραι καὶ̣ </w:t>
      </w:r>
      <w:r>
        <w:rPr>
          <w:rFonts w:ascii="IFAO-Grec Unicode" w:hAnsi="IFAO-Grec Unicode"/>
          <w:rtl w:val="0"/>
          <w:lang w:val="en-US"/>
        </w:rPr>
        <w:t xml:space="preserve">[  </w:t>
      </w:r>
      <w:r>
        <w:rPr>
          <w:rFonts w:ascii="IFAO-Grec Unicode" w:hAnsi="IFAO-Grec Unicode" w:hint="default"/>
          <w:rtl w:val="0"/>
          <w:lang w:val="en-US"/>
        </w:rPr>
        <w:t>̣  ̣  ̣  ̣  ̣  ̣  ̣  ̣</w:t>
      </w:r>
      <w:r>
        <w:rPr>
          <w:rFonts w:ascii="IFAO-Grec Unicode" w:hAnsi="IFAO-Grec Unicode"/>
          <w:rtl w:val="0"/>
          <w:lang w:val="en-US"/>
        </w:rPr>
        <w:t xml:space="preserve">] | </w:t>
      </w:r>
      <w:r>
        <w:rPr>
          <w:rFonts w:ascii="IFAO-Grec Unicode" w:hAnsi="IFAO-Grec Unicode" w:hint="default"/>
          <w:rtl w:val="0"/>
          <w:lang w:val="en-US"/>
        </w:rPr>
        <w:t>Ἡρακλεία Ἀπολ̣λ̣ω̣νίου̣ “</w:t>
      </w:r>
      <w:r>
        <w:rPr>
          <w:rFonts w:ascii="IFAO-Grec Unicode" w:hAnsi="IFAO-Grec Unicode"/>
          <w:rtl w:val="0"/>
          <w:lang w:val="en-US"/>
        </w:rPr>
        <w:t>To Queen Kelopatra and (</w:t>
      </w:r>
      <w:r>
        <w:rPr>
          <w:rFonts w:ascii="IFAO-Grec Unicode" w:hAnsi="IFAO-Grec Unicode" w:hint="default"/>
          <w:rtl w:val="0"/>
          <w:lang w:val="en-US"/>
        </w:rPr>
        <w:t>…</w:t>
      </w:r>
      <w:r>
        <w:rPr>
          <w:rFonts w:ascii="IFAO-Grec Unicode" w:hAnsi="IFAO-Grec Unicode"/>
          <w:rtl w:val="0"/>
          <w:lang w:val="en-US"/>
        </w:rPr>
        <w:t>, from) Herakleia daughter of Apollonios</w:t>
      </w:r>
      <w:r>
        <w:rPr>
          <w:rFonts w:ascii="IFAO-Grec Unicode" w:hAnsi="IFAO-Grec Unicode" w:hint="default"/>
          <w:rtl w:val="0"/>
          <w:lang w:val="en-US"/>
        </w:rPr>
        <w:t xml:space="preserve">” </w:t>
      </w:r>
      <w:r>
        <w:rPr>
          <w:rFonts w:ascii="IFAO-Grec Unicode" w:hAnsi="IFAO-Grec Unicode"/>
          <w:rtl w:val="0"/>
          <w:lang w:val="en-US"/>
        </w:rPr>
        <w:t xml:space="preserve">should be corrected </w:t>
      </w:r>
      <w:r>
        <w:rPr>
          <w:rFonts w:ascii="IFAO-Grec Unicode" w:hAnsi="IFAO-Grec Unicode"/>
          <w:rtl w:val="0"/>
          <w:lang w:val="en-US"/>
        </w:rPr>
        <w:t xml:space="preserve">to </w:t>
      </w:r>
      <w:r>
        <w:rPr>
          <w:rFonts w:ascii="IFAO-Grec Unicode" w:hAnsi="IFAO-Grec Unicode" w:hint="default"/>
          <w:rtl w:val="0"/>
          <w:lang w:val="en-US"/>
        </w:rPr>
        <w:t xml:space="preserve">βα̣σιλίσσῃ Κλεοπάτραι </w:t>
      </w:r>
      <w:r>
        <w:rPr>
          <w:rFonts w:ascii="IFAO-Grec Unicode" w:hAnsi="IFAO-Grec Unicode" w:hint="default"/>
          <w:rtl w:val="0"/>
        </w:rPr>
        <w:t>χαί</w:t>
      </w:r>
      <w:r>
        <w:rPr>
          <w:rFonts w:ascii="IFAO-Grec Unicode" w:hAnsi="IFAO-Grec Unicode"/>
          <w:rtl w:val="0"/>
          <w:lang w:val="en-US"/>
        </w:rPr>
        <w:t>[</w:t>
      </w:r>
      <w:r>
        <w:rPr>
          <w:rFonts w:ascii="IFAO-Grec Unicode" w:hAnsi="IFAO-Grec Unicode" w:hint="default"/>
          <w:rtl w:val="0"/>
        </w:rPr>
        <w:t>ρειν</w:t>
      </w:r>
      <w:r>
        <w:rPr>
          <w:rFonts w:ascii="IFAO-Grec Unicode" w:hAnsi="IFAO-Grec Unicode"/>
          <w:rtl w:val="0"/>
          <w:lang w:val="en-US"/>
        </w:rPr>
        <w:t xml:space="preserve">] | </w:t>
      </w:r>
      <w:r>
        <w:rPr>
          <w:rFonts w:ascii="IFAO-Grec Unicode" w:hAnsi="IFAO-Grec Unicode" w:hint="default"/>
          <w:rtl w:val="0"/>
          <w:lang w:val="en-US"/>
        </w:rPr>
        <w:t>Ἡρακλεία Ἀπολ̣λ̣ω̣νίου̣</w:t>
      </w:r>
      <w:r>
        <w:rPr>
          <w:rFonts w:ascii="IFAO-Grec Unicode" w:hAnsi="IFAO-Grec Unicode" w:hint="default"/>
          <w:rtl w:val="1"/>
          <w:lang w:val="ar-SA" w:bidi="ar-SA"/>
        </w:rPr>
        <w:t xml:space="preserve"> “</w:t>
      </w:r>
      <w:r>
        <w:rPr>
          <w:rFonts w:ascii="IFAO-Grec Unicode" w:hAnsi="IFAO-Grec Unicode"/>
          <w:rtl w:val="0"/>
          <w:lang w:val="en-US"/>
        </w:rPr>
        <w:t>To Queen Kleopatra, greetings, (from) Herakleia daughter of Apollonios</w:t>
      </w:r>
      <w:r>
        <w:rPr>
          <w:rFonts w:ascii="IFAO-Grec Unicode" w:hAnsi="IFAO-Grec Unicode" w:hint="default"/>
          <w:rtl w:val="0"/>
        </w:rPr>
        <w:t>”</w:t>
      </w:r>
      <w:r>
        <w:rPr>
          <w:rFonts w:ascii="IFAO-Grec Unicode" w:hAnsi="IFAO-Grec Unicode"/>
          <w:rtl w:val="0"/>
        </w:rPr>
        <w:t>.</w:t>
      </w:r>
      <w:r>
        <w:rPr>
          <w:rFonts w:ascii="IFAO-Grec Unicode" w:cs="IFAO-Grec Unicode" w:hAnsi="IFAO-Grec Unicode" w:eastAsia="IFAO-Grec Unicode"/>
          <w:vertAlign w:val="superscript"/>
        </w:rPr>
        <w:footnoteReference w:id="96"/>
      </w:r>
      <w:r>
        <w:rPr>
          <w:rFonts w:ascii="IFAO-Grec Unicode" w:hAnsi="IFAO-Grec Unicode"/>
          <w:rtl w:val="0"/>
          <w:lang w:val="en-US"/>
        </w:rPr>
        <w:t xml:space="preserve"> It</w:t>
      </w:r>
      <w:r>
        <w:rPr>
          <w:rFonts w:ascii="IFAO-Grec Unicode" w:hAnsi="IFAO-Grec Unicode"/>
          <w:rtl w:val="0"/>
          <w:lang w:val="en-US"/>
        </w:rPr>
        <w:t xml:space="preserve"> should also be noted that the scribe who prepared this </w:t>
      </w:r>
      <w:r>
        <w:rPr>
          <w:rFonts w:ascii="IFAO-Grec Unicode" w:hAnsi="IFAO-Grec Unicode"/>
          <w:rtl w:val="0"/>
          <w:lang w:val="en-US"/>
        </w:rPr>
        <w:t>enteuxis</w:t>
      </w:r>
      <w:r>
        <w:rPr>
          <w:rFonts w:ascii="IFAO-Grec Unicode" w:hAnsi="IFAO-Grec Unicode"/>
          <w:rtl w:val="0"/>
          <w:lang w:val="en-US"/>
        </w:rPr>
        <w:t xml:space="preserve"> followed the general pattern that prevailed for the writing of Cleopatra</w:t>
      </w:r>
      <w:r>
        <w:rPr>
          <w:rFonts w:ascii="IFAO-Grec Unicode" w:hAnsi="IFAO-Grec Unicode" w:hint="default"/>
          <w:rtl w:val="0"/>
          <w:lang w:val="en-US"/>
        </w:rPr>
        <w:t>’</w:t>
      </w:r>
      <w:r>
        <w:rPr>
          <w:rFonts w:ascii="IFAO-Grec Unicode" w:hAnsi="IFAO-Grec Unicode"/>
          <w:rtl w:val="0"/>
          <w:lang w:val="en-US"/>
        </w:rPr>
        <w:t>s ordinance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and Achilleus</w:t>
      </w:r>
      <w:r>
        <w:rPr>
          <w:rFonts w:ascii="IFAO-Grec Unicode" w:hAnsi="IFAO-Grec Unicode" w:hint="default"/>
          <w:rtl w:val="0"/>
          <w:lang w:val="en-US"/>
        </w:rPr>
        <w:t xml:space="preserve">’ </w:t>
      </w:r>
      <w:r>
        <w:rPr>
          <w:rFonts w:ascii="IFAO-Grec Unicode" w:hAnsi="IFAO-Grec Unicode"/>
          <w:rtl w:val="0"/>
          <w:lang w:val="en-US"/>
        </w:rPr>
        <w:t xml:space="preserve">letter to the </w:t>
      </w:r>
      <w:r>
        <w:rPr>
          <w:rFonts w:ascii="IFAO-Grec Unicode" w:hAnsi="IFAO-Grec Unicode"/>
          <w:rtl w:val="0"/>
          <w:lang w:val="en-US"/>
        </w:rPr>
        <w:t>strategos</w:t>
      </w:r>
      <w:r>
        <w:rPr>
          <w:rFonts w:ascii="IFAO-Grec Unicode" w:hAnsi="IFAO-Grec Unicode"/>
          <w:rtl w:val="0"/>
          <w:lang w:val="en-US"/>
        </w:rPr>
        <w:t xml:space="preserve"> Seleukos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minimal right margin, sizeable top and left margin; the bottom margin seems less generous, but the bottom of the sheet is damaged. Because the scribe could presumably anticipate the length of the text, he opted for a large format (H 32 cm x W 25 cm) and for a fairly dense interlinear spacing. Cleopatra</w:t>
      </w:r>
      <w:r>
        <w:rPr>
          <w:rFonts w:ascii="IFAO-Grec Unicode" w:hAnsi="IFAO-Grec Unicode" w:hint="default"/>
          <w:rtl w:val="0"/>
          <w:lang w:val="en-US"/>
        </w:rPr>
        <w:t>’</w:t>
      </w:r>
      <w:r>
        <w:rPr>
          <w:rFonts w:ascii="IFAO-Grec Unicode" w:hAnsi="IFAO-Grec Unicode"/>
          <w:rtl w:val="0"/>
          <w:lang w:val="en-US"/>
        </w:rPr>
        <w:t xml:space="preserve">s title and name are placed in </w:t>
      </w:r>
      <w:r>
        <w:rPr>
          <w:rFonts w:ascii="IFAO-Grec Unicode" w:hAnsi="IFAO-Grec Unicode"/>
          <w:rtl w:val="0"/>
          <w:lang w:val="en-US"/>
        </w:rPr>
        <w:t>ekthesis</w:t>
      </w:r>
      <w:r>
        <w:rPr>
          <w:rFonts w:ascii="IFAO-Grec Unicode" w:hAnsi="IFAO-Grec Unicode"/>
          <w:rtl w:val="0"/>
          <w:lang w:val="en-US"/>
        </w:rPr>
        <w:t xml:space="preserve"> to the left, to be compared with the official</w:t>
      </w:r>
      <w:r>
        <w:rPr>
          <w:rFonts w:ascii="IFAO-Grec Unicode" w:hAnsi="IFAO-Grec Unicode" w:hint="default"/>
          <w:rtl w:val="0"/>
          <w:lang w:val="en-US"/>
        </w:rPr>
        <w:t>’</w:t>
      </w:r>
      <w:r>
        <w:rPr>
          <w:rFonts w:ascii="IFAO-Grec Unicode" w:hAnsi="IFAO-Grec Unicode"/>
          <w:rtl w:val="0"/>
          <w:lang w:val="en-US"/>
        </w:rPr>
        <w:t>s name in Cleopatra</w:t>
      </w:r>
      <w:r>
        <w:rPr>
          <w:rFonts w:ascii="IFAO-Grec Unicode" w:hAnsi="IFAO-Grec Unicode" w:hint="default"/>
          <w:rtl w:val="0"/>
          <w:lang w:val="en-US"/>
        </w:rPr>
        <w:t>’</w:t>
      </w:r>
      <w:r>
        <w:rPr>
          <w:rFonts w:ascii="IFAO-Grec Unicode" w:hAnsi="IFAO-Grec Unicode"/>
          <w:rtl w:val="0"/>
          <w:lang w:val="en-US"/>
        </w:rPr>
        <w:t xml:space="preserve">s ordinance and with the name of the addressee at the top of </w:t>
      </w:r>
      <w:r>
        <w:rPr>
          <w:rFonts w:ascii="IFAO-Grec Unicode" w:hAnsi="IFAO-Grec Unicode"/>
          <w:rtl w:val="0"/>
          <w:lang w:val="en-US"/>
        </w:rPr>
        <w:t>synchoresis</w:t>
      </w:r>
      <w:r>
        <w:rPr>
          <w:rFonts w:ascii="IFAO-Grec Unicode" w:hAnsi="IFAO-Grec Unicode"/>
          <w:rtl w:val="0"/>
          <w:lang w:val="en-US"/>
        </w:rPr>
        <w:t xml:space="preserve"> contracts </w:t>
      </w:r>
      <w:r>
        <w:rPr>
          <w:rFonts w:ascii="IFAO-Grec Unicode" w:hAnsi="IFAO-Grec Unicode" w:hint="default"/>
          <w:rtl w:val="0"/>
          <w:lang w:val="en-US"/>
        </w:rPr>
        <w:t xml:space="preserve">– </w:t>
      </w:r>
      <w:r>
        <w:rPr>
          <w:rFonts w:ascii="IFAO-Grec Unicode" w:hAnsi="IFAO-Grec Unicode"/>
          <w:rtl w:val="0"/>
          <w:lang w:val="en-US"/>
        </w:rPr>
        <w:t xml:space="preserve">as well as of all </w:t>
      </w:r>
      <w:r>
        <w:rPr>
          <w:rFonts w:ascii="IFAO-Grec Unicode" w:hAnsi="IFAO-Grec Unicode"/>
          <w:rtl w:val="0"/>
          <w:lang w:val="en-US"/>
        </w:rPr>
        <w:t>hypomnemata</w:t>
      </w:r>
      <w:r>
        <w:rPr>
          <w:rFonts w:ascii="IFAO-Grec Unicode" w:hAnsi="IFAO-Grec Unicode"/>
          <w:rtl w:val="0"/>
          <w:lang w:val="en-US"/>
        </w:rPr>
        <w:t xml:space="preserve"> in the first century BCE.</w:t>
      </w:r>
      <w:r>
        <w:rPr>
          <w:rFonts w:ascii="IFAO-Grec Unicode" w:cs="IFAO-Grec Unicode" w:hAnsi="IFAO-Grec Unicode" w:eastAsia="IFAO-Grec Unicode"/>
          <w:vertAlign w:val="superscript"/>
          <w:lang w:val="en-US"/>
        </w:rPr>
        <w:footnoteReference w:id="97"/>
      </w:r>
      <w:r>
        <w:rPr>
          <w:rFonts w:ascii="IFAO-Grec Unicode" w:hAnsi="IFAO-Grec Unicode"/>
          <w:rtl w:val="0"/>
          <w:lang w:val="en-US"/>
        </w:rPr>
        <w:t xml:space="preserve"> The final </w:t>
      </w:r>
      <w:r>
        <w:rPr>
          <w:rFonts w:ascii="IFAO-Grec Unicode" w:hAnsi="IFAO-Grec Unicode" w:hint="default"/>
          <w:rtl w:val="0"/>
        </w:rPr>
        <w:t>εὐτυχεῖτε</w:t>
      </w:r>
      <w:r>
        <w:rPr>
          <w:rFonts w:ascii="IFAO-Grec Unicode" w:hAnsi="IFAO-Grec Unicode"/>
          <w:rtl w:val="0"/>
          <w:lang w:val="en-US"/>
        </w:rPr>
        <w:t xml:space="preserve"> is placed where, in a letter, one would expect </w:t>
      </w:r>
      <w:r>
        <w:rPr>
          <w:rFonts w:ascii="IFAO-Grec Unicode" w:hAnsi="IFAO-Grec Unicode" w:hint="default"/>
          <w:rtl w:val="0"/>
        </w:rPr>
        <w:t>ἔρρωσο</w:t>
      </w:r>
      <w:r>
        <w:rPr>
          <w:rFonts w:ascii="IFAO-Grec Unicode" w:hAnsi="IFAO-Grec Unicode"/>
          <w:rtl w:val="0"/>
          <w:lang w:val="en-US"/>
        </w:rPr>
        <w:t xml:space="preserve"> (and where Cleopatra, in her ordinance, placed </w:t>
      </w:r>
      <w:r>
        <w:rPr>
          <w:rFonts w:ascii="IFAO-Grec Unicode" w:hAnsi="IFAO-Grec Unicode" w:hint="default"/>
          <w:rtl w:val="0"/>
        </w:rPr>
        <w:t>γινέσθωι</w:t>
      </w:r>
      <w:r>
        <w:rPr>
          <w:rFonts w:ascii="IFAO-Grec Unicode" w:hAnsi="IFAO-Grec Unicode"/>
          <w:rtl w:val="0"/>
          <w:lang w:val="en-US"/>
        </w:rPr>
        <w:t>).</w:t>
      </w:r>
    </w:p>
    <w:p>
      <w:pPr>
        <w:pStyle w:val="Body"/>
        <w:rPr>
          <w:rFonts w:ascii="IFAO-Grec Unicode" w:cs="IFAO-Grec Unicode" w:hAnsi="IFAO-Grec Unicode" w:eastAsia="IFAO-Grec Unicode"/>
        </w:rPr>
      </w:pPr>
      <w:r>
        <w:rPr>
          <w:rFonts w:ascii="IFAO-Grec Unicode" w:hAnsi="IFAO-Grec Unicode"/>
          <w:rtl w:val="0"/>
          <w:lang w:val="en-US"/>
        </w:rPr>
        <w:t xml:space="preserve">To come back to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it is a unique testimony in the sense that we do not have any exact parallel, in its original form, to the writing down of a </w:t>
      </w:r>
      <w:r>
        <w:rPr>
          <w:rFonts w:ascii="IFAO-Grec Unicode" w:hAnsi="IFAO-Grec Unicode"/>
          <w:rtl w:val="0"/>
        </w:rPr>
        <w:t>prostagma</w:t>
      </w:r>
      <w:r>
        <w:rPr>
          <w:rFonts w:ascii="IFAO-Grec Unicode" w:hAnsi="IFAO-Grec Unicode"/>
          <w:rtl w:val="0"/>
          <w:lang w:val="en-US"/>
        </w:rPr>
        <w:t xml:space="preserve"> under the direct supervision of the sovereign. This brief typological analysis shows that the scribe </w:t>
      </w:r>
      <w:r>
        <w:rPr>
          <w:rFonts w:ascii="IFAO-Grec Unicode" w:hAnsi="IFAO-Grec Unicode" w:hint="default"/>
          <w:rtl w:val="0"/>
        </w:rPr>
        <w:t xml:space="preserve">– </w:t>
      </w:r>
      <w:r>
        <w:rPr>
          <w:rFonts w:ascii="IFAO-Grec Unicode" w:hAnsi="IFAO-Grec Unicode"/>
          <w:rtl w:val="0"/>
          <w:lang w:val="en-US"/>
        </w:rPr>
        <w:t xml:space="preserve">presumably well-trained, being under the direct orders of Cleopatra </w:t>
      </w:r>
      <w:r>
        <w:rPr>
          <w:rFonts w:ascii="IFAO-Grec Unicode" w:hAnsi="IFAO-Grec Unicode" w:hint="default"/>
          <w:rtl w:val="0"/>
        </w:rPr>
        <w:t xml:space="preserve">– </w:t>
      </w:r>
      <w:r>
        <w:rPr>
          <w:rFonts w:ascii="IFAO-Grec Unicode" w:hAnsi="IFAO-Grec Unicode"/>
          <w:rtl w:val="0"/>
          <w:lang w:val="en-US"/>
        </w:rPr>
        <w:t xml:space="preserve">adapted some standard scribal methods to the specific purpose of the document he was producing. His handling of the margins is paralleled in letters, petitions, as well as in </w:t>
      </w:r>
      <w:r>
        <w:rPr>
          <w:rFonts w:ascii="IFAO-Grec Unicode" w:hAnsi="IFAO-Grec Unicode"/>
          <w:rtl w:val="0"/>
          <w:lang w:val="en-US"/>
        </w:rPr>
        <w:t>synchoresis</w:t>
      </w:r>
      <w:r>
        <w:rPr>
          <w:rFonts w:ascii="IFAO-Grec Unicode" w:hAnsi="IFAO-Grec Unicode"/>
          <w:rtl w:val="0"/>
          <w:lang w:val="en-US"/>
        </w:rPr>
        <w:t xml:space="preserve"> contracts from Alexandria, the opening is an adaptation of a letter heading, Cleopatra</w:t>
      </w:r>
      <w:r>
        <w:rPr>
          <w:rFonts w:ascii="IFAO-Grec Unicode" w:hAnsi="IFAO-Grec Unicode" w:hint="default"/>
          <w:rtl w:val="1"/>
        </w:rPr>
        <w:t>’</w:t>
      </w:r>
      <w:r>
        <w:rPr>
          <w:rFonts w:ascii="IFAO-Grec Unicode" w:hAnsi="IFAO-Grec Unicode"/>
          <w:rtl w:val="0"/>
          <w:lang w:val="en-US"/>
        </w:rPr>
        <w:t xml:space="preserve">s confirmation is placed where the greetings normally appear in a letter, and the registration docket placed at the top follows the practice of petitions and letters too. The general rules followed in all those types of documents prevail also in the writing of an </w:t>
      </w:r>
      <w:r>
        <w:rPr>
          <w:rFonts w:ascii="IFAO-Grec Unicode" w:hAnsi="IFAO-Grec Unicode"/>
          <w:rtl w:val="0"/>
          <w:lang w:val="fr-FR"/>
        </w:rPr>
        <w:t>enteuxis</w:t>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lang w:val="en-US"/>
        </w:rPr>
        <w:t xml:space="preserve">A few parallels to the Cleopatra ordinance will take us to the Augustan period, where the rules followed by the scribes in the highest strata of power seem to be identical.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2558</w:t>
      </w:r>
      <w:r>
        <w:rPr>
          <w:rFonts w:ascii="IFAO-Grec Unicode" w:cs="IFAO-Grec Unicode" w:hAnsi="IFAO-Grec Unicode" w:eastAsia="IFAO-Grec Unicode"/>
        </w:rPr>
        <w:fldChar w:fldCharType="end" w:fldLock="0"/>
      </w:r>
      <w:r>
        <w:rPr>
          <w:rFonts w:ascii="IFAO-Grec Unicode" w:hAnsi="IFAO-Grec Unicode"/>
          <w:rtl w:val="0"/>
          <w:lang w:val="en-US"/>
        </w:rPr>
        <w:t xml:space="preserve"> (12 BCE, Herakleopolite nome) preserves the text of an edict issued by an individual named Proculus who, according to the revised edition of this papyrus, must have been in a very high position in the hierarchy of the Roman administration, either in Egypt or at the level of the Empire.</w:t>
      </w:r>
      <w:r>
        <w:rPr>
          <w:rFonts w:ascii="IFAO-Grec Unicode" w:cs="IFAO-Grec Unicode" w:hAnsi="IFAO-Grec Unicode" w:eastAsia="IFAO-Grec Unicode"/>
          <w:vertAlign w:val="superscript"/>
        </w:rPr>
        <w:footnoteReference w:id="98"/>
      </w:r>
      <w:r>
        <w:rPr>
          <w:rFonts w:ascii="IFAO-Grec Unicode" w:hAnsi="IFAO-Grec Unicode"/>
          <w:rtl w:val="0"/>
          <w:lang w:val="en-US"/>
        </w:rPr>
        <w:t xml:space="preserve"> He was recently identified as C. Calpurnius Proculus and was most probably the Prefect of Egypt at this time.</w:t>
      </w:r>
      <w:r>
        <w:rPr>
          <w:rFonts w:ascii="IFAO-Grec Unicode" w:cs="IFAO-Grec Unicode" w:hAnsi="IFAO-Grec Unicode" w:eastAsia="IFAO-Grec Unicode"/>
          <w:vertAlign w:val="superscript"/>
        </w:rPr>
        <w:footnoteReference w:id="99"/>
      </w:r>
      <w:r>
        <w:rPr>
          <w:rFonts w:ascii="IFAO-Grec Unicode" w:hAnsi="IFAO-Grec Unicode"/>
          <w:rtl w:val="0"/>
          <w:lang w:val="en-US"/>
        </w:rPr>
        <w:t xml:space="preserve"> The edict, which is related to illegal requisitions, forbids the inappropriate wearing of a </w:t>
      </w:r>
      <w:r>
        <w:rPr>
          <w:rFonts w:ascii="IFAO-Grec Unicode" w:hAnsi="IFAO-Grec Unicode"/>
          <w:rtl w:val="0"/>
          <w:lang w:val="it-IT"/>
        </w:rPr>
        <w:t>paenula</w:t>
      </w:r>
      <w:r>
        <w:rPr>
          <w:rFonts w:ascii="IFAO-Grec Unicode" w:hAnsi="IFAO-Grec Unicode"/>
          <w:rtl w:val="0"/>
          <w:lang w:val="en-US"/>
        </w:rPr>
        <w:t xml:space="preserve"> (with the probable exception of soldiers). The text is shorter than that of the Cleopatra ordinance, which explains both the more generous line spacing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2558</w:t>
      </w:r>
      <w:r>
        <w:rPr>
          <w:rFonts w:ascii="IFAO-Grec Unicode" w:cs="IFAO-Grec Unicode" w:hAnsi="IFAO-Grec Unicode" w:eastAsia="IFAO-Grec Unicode"/>
        </w:rPr>
        <w:fldChar w:fldCharType="end" w:fldLock="0"/>
      </w:r>
      <w:r>
        <w:rPr>
          <w:rFonts w:ascii="IFAO-Grec Unicode" w:hAnsi="IFAO-Grec Unicode"/>
          <w:rtl w:val="0"/>
          <w:lang w:val="en-US"/>
        </w:rPr>
        <w:t xml:space="preserve"> and the reduced size of the sheet.</w:t>
      </w:r>
      <w:r>
        <w:rPr>
          <w:rFonts w:ascii="IFAO-Grec Unicode" w:cs="IFAO-Grec Unicode" w:hAnsi="IFAO-Grec Unicode" w:eastAsia="IFAO-Grec Unicode"/>
          <w:vertAlign w:val="superscript"/>
        </w:rPr>
        <w:footnoteReference w:id="100"/>
      </w:r>
      <w:r>
        <w:rPr>
          <w:rFonts w:ascii="IFAO-Grec Unicode" w:hAnsi="IFAO-Grec Unicode"/>
          <w:rtl w:val="0"/>
          <w:lang w:val="en-US"/>
        </w:rPr>
        <w:t xml:space="preserve"> The proportions, however, as well as the general layout of the document, are strikingly similar; a comparative table will be provided below. Both texts end with a curved </w:t>
      </w:r>
      <w:r>
        <w:rPr>
          <w:rFonts w:ascii="IFAO-Grec Unicode" w:hAnsi="IFAO-Grec Unicode"/>
          <w:rtl w:val="0"/>
          <w:lang w:val="fr-FR"/>
        </w:rPr>
        <w:t>paragraphos</w:t>
      </w:r>
      <w:r>
        <w:rPr>
          <w:rFonts w:ascii="IFAO-Grec Unicode" w:hAnsi="IFAO-Grec Unicode"/>
          <w:rtl w:val="0"/>
          <w:lang w:val="en-US"/>
        </w:rPr>
        <w:t xml:space="preserve"> protruding from the left of the last line of text. Where Cleopatra</w:t>
      </w:r>
      <w:r>
        <w:rPr>
          <w:rFonts w:ascii="IFAO-Grec Unicode" w:hAnsi="IFAO-Grec Unicode" w:hint="default"/>
          <w:rtl w:val="1"/>
        </w:rPr>
        <w:t>’</w:t>
      </w:r>
      <w:r>
        <w:rPr>
          <w:rFonts w:ascii="IFAO-Grec Unicode" w:hAnsi="IFAO-Grec Unicode"/>
          <w:rtl w:val="0"/>
          <w:lang w:val="en-US"/>
        </w:rPr>
        <w:t xml:space="preserve">s scribe had placed </w:t>
      </w:r>
      <w:r>
        <w:rPr>
          <w:rFonts w:ascii="IFAO-Grec Unicode" w:hAnsi="IFAO-Grec Unicode" w:hint="default"/>
          <w:rtl w:val="0"/>
        </w:rPr>
        <w:t>γινέσθωι</w:t>
      </w:r>
      <w:r>
        <w:rPr>
          <w:rFonts w:ascii="IFAO-Grec Unicode" w:hAnsi="IFAO-Grec Unicode"/>
          <w:rtl w:val="0"/>
        </w:rPr>
        <w:t>, Proculus</w:t>
      </w:r>
      <w:r>
        <w:rPr>
          <w:rFonts w:ascii="IFAO-Grec Unicode" w:hAnsi="IFAO-Grec Unicode" w:hint="default"/>
          <w:rtl w:val="1"/>
        </w:rPr>
        <w:t xml:space="preserve">’ </w:t>
      </w:r>
      <w:r>
        <w:rPr>
          <w:rFonts w:ascii="IFAO-Grec Unicode" w:hAnsi="IFAO-Grec Unicode"/>
          <w:rtl w:val="0"/>
          <w:lang w:val="en-US"/>
        </w:rPr>
        <w:t>scribe wrote a date; an edict required neither a sovereign</w:t>
      </w:r>
      <w:r>
        <w:rPr>
          <w:rFonts w:ascii="IFAO-Grec Unicode" w:hAnsi="IFAO-Grec Unicode" w:hint="default"/>
          <w:rtl w:val="1"/>
        </w:rPr>
        <w:t>’</w:t>
      </w:r>
      <w:r>
        <w:rPr>
          <w:rFonts w:ascii="IFAO-Grec Unicode" w:hAnsi="IFAO-Grec Unicode"/>
          <w:rtl w:val="0"/>
          <w:lang w:val="en-US"/>
        </w:rPr>
        <w:t xml:space="preserve">s approval, nor a closing salutation. From a typological perspective, the scribe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2558</w:t>
      </w:r>
      <w:r>
        <w:rPr>
          <w:rFonts w:ascii="IFAO-Grec Unicode" w:cs="IFAO-Grec Unicode" w:hAnsi="IFAO-Grec Unicode" w:eastAsia="IFAO-Grec Unicode"/>
        </w:rPr>
        <w:fldChar w:fldCharType="end" w:fldLock="0"/>
      </w:r>
      <w:r>
        <w:rPr>
          <w:rFonts w:ascii="IFAO-Grec Unicode" w:hAnsi="IFAO-Grec Unicode"/>
          <w:rtl w:val="0"/>
          <w:lang w:val="en-US"/>
        </w:rPr>
        <w:t xml:space="preserve"> produced under the reign of Augustus a miniature version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as it were, borrowing the same codes that prevailed towards the end of the Ptolemaic era. Given the content of both documents, it seems likely that they were produced in a similar scribal environment.</w:t>
      </w:r>
    </w:p>
    <w:p>
      <w:pPr>
        <w:pStyle w:val="Body"/>
        <w:rPr>
          <w:rFonts w:ascii="IFAO-Grec Unicode" w:cs="IFAO-Grec Unicode" w:hAnsi="IFAO-Grec Unicode" w:eastAsia="IFAO-Grec Unicode"/>
        </w:rPr>
      </w:pPr>
      <w:r>
        <w:rPr>
          <w:rFonts w:ascii="IFAO-Grec Unicode" w:hAnsi="IFAO-Grec Unicode"/>
          <w:rtl w:val="0"/>
          <w:lang w:val="en-US"/>
        </w:rPr>
        <w:t xml:space="preserve">The same applies to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"https://papyri.info/hgv/23347"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2623</w:t>
      </w:r>
      <w:r>
        <w:rPr>
          <w:rFonts w:ascii="IFAO-Grec Unicode" w:cs="IFAO-Grec Unicode" w:hAnsi="IFAO-Grec Unicode" w:eastAsia="IFAO-Grec Unicode"/>
        </w:rPr>
        <w:fldChar w:fldCharType="end" w:fldLock="0"/>
      </w:r>
      <w:r>
        <w:rPr>
          <w:rFonts w:ascii="IFAO-Grec Unicode" w:hAnsi="IFAO-Grec Unicode"/>
          <w:rtl w:val="0"/>
          <w:lang w:val="en-US"/>
        </w:rPr>
        <w:t>, a letter of recommendation dated 10 BCE that belongs to the Athenodoros Archive (discussed above). In its revised version, this letter offers a striking example of correspondence at the highest level of society in Egypt.</w:t>
      </w:r>
      <w:r>
        <w:rPr>
          <w:rFonts w:ascii="IFAO-Grec Unicode" w:cs="IFAO-Grec Unicode" w:hAnsi="IFAO-Grec Unicode" w:eastAsia="IFAO-Grec Unicode"/>
          <w:vertAlign w:val="superscript"/>
        </w:rPr>
        <w:footnoteReference w:id="101"/>
      </w:r>
      <w:r>
        <w:rPr>
          <w:rFonts w:ascii="IFAO-Grec Unicode" w:hAnsi="IFAO-Grec Unicode"/>
          <w:rtl w:val="0"/>
          <w:lang w:val="en-US"/>
        </w:rPr>
        <w:t xml:space="preserve"> The sender, Phaidros, writes on behalf of a man presented as </w:t>
      </w:r>
      <w:r>
        <w:rPr>
          <w:rFonts w:ascii="IFAO-Grec Unicode" w:hAnsi="IFAO-Grec Unicode" w:hint="default"/>
          <w:rtl w:val="0"/>
        </w:rPr>
        <w:t>Λεύκιος ἀνὴρ ἀγαθός “</w:t>
      </w:r>
      <w:r>
        <w:rPr>
          <w:rFonts w:ascii="IFAO-Grec Unicode" w:hAnsi="IFAO-Grec Unicode"/>
          <w:rtl w:val="0"/>
          <w:lang w:val="it-IT"/>
        </w:rPr>
        <w:t>Lucius, a gentleman</w:t>
      </w:r>
      <w:r>
        <w:rPr>
          <w:rFonts w:ascii="IFAO-Grec Unicode" w:hAnsi="IFAO-Grec Unicode" w:hint="default"/>
          <w:rtl w:val="0"/>
        </w:rPr>
        <w:t>”</w:t>
      </w:r>
      <w:r>
        <w:rPr>
          <w:rFonts w:ascii="IFAO-Grec Unicode" w:hAnsi="IFAO-Grec Unicode"/>
          <w:rtl w:val="0"/>
          <w:lang w:val="en-US"/>
        </w:rPr>
        <w:t>, presumably a Roman who intends to sail upriver to the Herakleopolite nome in order to collect the income from his property.</w:t>
      </w:r>
      <w:r>
        <w:rPr>
          <w:rFonts w:ascii="IFAO-Grec Unicode" w:cs="IFAO-Grec Unicode" w:hAnsi="IFAO-Grec Unicode" w:eastAsia="IFAO-Grec Unicode"/>
          <w:vertAlign w:val="superscript"/>
        </w:rPr>
        <w:footnoteReference w:id="102"/>
      </w:r>
      <w:r>
        <w:rPr>
          <w:rFonts w:ascii="IFAO-Grec Unicode" w:hAnsi="IFAO-Grec Unicode"/>
          <w:rtl w:val="0"/>
          <w:lang w:val="en-US"/>
        </w:rPr>
        <w:t xml:space="preserve"> Phaidros flatters Athenodoros by describing him as the person of the highest standing he could presently find to look after Lucius in the Herakleopolite nome.</w:t>
      </w:r>
      <w:r>
        <w:rPr>
          <w:rFonts w:ascii="IFAO-Grec Unicode" w:cs="IFAO-Grec Unicode" w:hAnsi="IFAO-Grec Unicode" w:eastAsia="IFAO-Grec Unicode"/>
          <w:vertAlign w:val="superscript"/>
        </w:rPr>
        <w:footnoteReference w:id="103"/>
      </w:r>
      <w:r>
        <w:rPr>
          <w:rFonts w:ascii="IFAO-Grec Unicode" w:hAnsi="IFAO-Grec Unicode"/>
          <w:rtl w:val="0"/>
          <w:lang w:val="en-US"/>
        </w:rPr>
        <w:t xml:space="preserve"> It seems likely that Phaidros is writing from Alexandria, where Lucius normally resides. The opening salutation (1-2) is unusually elaborate: </w:t>
      </w:r>
      <w:r>
        <w:rPr>
          <w:rFonts w:ascii="IFAO-Grec Unicode" w:hAnsi="IFAO-Grec Unicode" w:hint="default"/>
          <w:rtl w:val="0"/>
        </w:rPr>
        <w:t>χαίρειν κα</w:t>
      </w:r>
      <w:r>
        <w:rPr>
          <w:rFonts w:ascii="IFAO-Grec Unicode" w:hAnsi="IFAO-Grec Unicode"/>
          <w:rtl w:val="0"/>
          <w:lang w:val="pt-PT"/>
        </w:rPr>
        <w:t>[</w:t>
      </w:r>
      <w:r>
        <w:rPr>
          <w:rFonts w:ascii="IFAO-Grec Unicode" w:hAnsi="IFAO-Grec Unicode" w:hint="default"/>
          <w:rtl w:val="0"/>
        </w:rPr>
        <w:t>ὶ</w:t>
      </w:r>
      <w:r>
        <w:rPr>
          <w:rFonts w:ascii="IFAO-Grec Unicode" w:hAnsi="IFAO-Grec Unicode"/>
          <w:rtl w:val="0"/>
          <w:lang w:val="pt-PT"/>
        </w:rPr>
        <w:t xml:space="preserve">] </w:t>
      </w:r>
      <w:r>
        <w:rPr>
          <w:rFonts w:ascii="IFAO-Grec Unicode" w:hAnsi="IFAO-Grec Unicode" w:hint="default"/>
          <w:rtl w:val="0"/>
        </w:rPr>
        <w:t>ἐρρωμένωι ἄριστʼ ἐπανάγειν ὡς βούλομαι</w:t>
      </w:r>
      <w:r>
        <w:rPr>
          <w:rFonts w:ascii="IFAO-Grec Unicode" w:hAnsi="IFAO-Grec Unicode"/>
          <w:rtl w:val="0"/>
          <w:lang w:val="en-US"/>
        </w:rPr>
        <w:t xml:space="preserve">. In anticipation of the comparison with another document discussed below, it should also be noted that Phaidros politely reminds Athenodoros of their acquaintance, in case Athenodoros had forgotten about it (7-8): </w:t>
      </w:r>
      <w:r>
        <w:rPr>
          <w:rFonts w:ascii="IFAO-Grec Unicode" w:hAnsi="IFAO-Grec Unicode" w:hint="default"/>
          <w:rtl w:val="0"/>
        </w:rPr>
        <w:t xml:space="preserve">εἰ ἄρα ἔτι ἔστιν τίς σοι μνήμη </w:t>
      </w:r>
      <w:r>
        <w:rPr>
          <w:rFonts w:ascii="IFAO-Grec Unicode" w:hAnsi="IFAO-Grec Unicode"/>
          <w:rtl w:val="0"/>
          <w:lang w:val="pt-PT"/>
        </w:rPr>
        <w:t>[</w:t>
      </w:r>
      <w:r>
        <w:rPr>
          <w:rFonts w:ascii="IFAO-Grec Unicode" w:hAnsi="IFAO-Grec Unicode" w:hint="default"/>
          <w:rtl w:val="0"/>
        </w:rPr>
        <w:t>ἡ</w:t>
      </w:r>
      <w:r>
        <w:rPr>
          <w:rFonts w:ascii="IFAO-Grec Unicode" w:hAnsi="IFAO-Grec Unicode"/>
          <w:rtl w:val="0"/>
          <w:lang w:val="pt-PT"/>
        </w:rPr>
        <w:t>]</w:t>
      </w:r>
      <w:r>
        <w:rPr>
          <w:rFonts w:ascii="IFAO-Grec Unicode" w:hAnsi="IFAO-Grec Unicode" w:hint="default"/>
          <w:rtl w:val="0"/>
        </w:rPr>
        <w:t>μῶν</w:t>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lang w:val="en-US"/>
        </w:rPr>
        <w:t xml:space="preserve">The rare wording </w:t>
      </w:r>
      <w:r>
        <w:rPr>
          <w:rFonts w:ascii="IFAO-Grec Unicode" w:hAnsi="IFAO-Grec Unicode" w:hint="default"/>
          <w:rtl w:val="0"/>
        </w:rPr>
        <w:t xml:space="preserve">ὡς βούλομαι </w:t>
      </w:r>
      <w:r>
        <w:rPr>
          <w:rFonts w:ascii="IFAO-Grec Unicode" w:hAnsi="IFAO-Grec Unicode"/>
          <w:rtl w:val="0"/>
          <w:lang w:val="en-US"/>
        </w:rPr>
        <w:t xml:space="preserve">deserves particular attention because, one century later, the use of </w:t>
      </w:r>
      <w:r>
        <w:rPr>
          <w:rFonts w:ascii="IFAO-Grec Unicode" w:hAnsi="IFAO-Grec Unicode" w:hint="default"/>
          <w:rtl w:val="0"/>
        </w:rPr>
        <w:t xml:space="preserve">βούλομαι </w:t>
      </w:r>
      <w:r>
        <w:rPr>
          <w:rFonts w:ascii="IFAO-Grec Unicode" w:hAnsi="IFAO-Grec Unicode"/>
          <w:rtl w:val="0"/>
          <w:lang w:val="en-US"/>
        </w:rPr>
        <w:t xml:space="preserve">instead of </w:t>
      </w:r>
      <w:r>
        <w:rPr>
          <w:rFonts w:ascii="IFAO-Grec Unicode" w:hAnsi="IFAO-Grec Unicode" w:hint="default"/>
          <w:rtl w:val="0"/>
        </w:rPr>
        <w:t>εὔχομαι</w:t>
      </w:r>
      <w:r>
        <w:rPr>
          <w:rFonts w:ascii="IFAO-Grec Unicode" w:hAnsi="IFAO-Grec Unicode"/>
          <w:rtl w:val="0"/>
          <w:lang w:val="en-US"/>
        </w:rPr>
        <w:t xml:space="preserve"> will become a marker used by officials of the highest standing (for the most part, the Prefect of Egypt) who underline the fact that they do not merely </w:t>
      </w:r>
      <w:r>
        <w:rPr>
          <w:rFonts w:ascii="IFAO-Grec Unicode" w:hAnsi="IFAO-Grec Unicode" w:hint="default"/>
          <w:rtl w:val="0"/>
          <w:lang w:val="en-US"/>
        </w:rPr>
        <w:t>‘</w:t>
      </w:r>
      <w:r>
        <w:rPr>
          <w:rFonts w:ascii="IFAO-Grec Unicode" w:hAnsi="IFAO-Grec Unicode"/>
          <w:rtl w:val="0"/>
          <w:lang w:val="en-US"/>
        </w:rPr>
        <w:t>wish</w:t>
      </w:r>
      <w:r>
        <w:rPr>
          <w:rFonts w:ascii="IFAO-Grec Unicode" w:hAnsi="IFAO-Grec Unicode" w:hint="default"/>
          <w:rtl w:val="0"/>
          <w:lang w:val="en-US"/>
        </w:rPr>
        <w:t>’</w:t>
      </w:r>
      <w:r>
        <w:rPr>
          <w:rFonts w:ascii="IFAO-Grec Unicode" w:hAnsi="IFAO-Grec Unicode"/>
          <w:rtl w:val="0"/>
          <w:lang w:val="en-US"/>
        </w:rPr>
        <w:t xml:space="preserve">, they </w:t>
      </w:r>
      <w:r>
        <w:rPr>
          <w:rFonts w:ascii="IFAO-Grec Unicode" w:hAnsi="IFAO-Grec Unicode" w:hint="default"/>
          <w:rtl w:val="0"/>
          <w:lang w:val="en-US"/>
        </w:rPr>
        <w:t>‘</w:t>
      </w:r>
      <w:r>
        <w:rPr>
          <w:rFonts w:ascii="IFAO-Grec Unicode" w:hAnsi="IFAO-Grec Unicode"/>
          <w:rtl w:val="0"/>
          <w:lang w:val="en-US"/>
        </w:rPr>
        <w:t>want</w:t>
      </w:r>
      <w:r>
        <w:rPr>
          <w:rFonts w:ascii="IFAO-Grec Unicode" w:hAnsi="IFAO-Grec Unicode" w:hint="default"/>
          <w:rtl w:val="0"/>
          <w:lang w:val="en-US"/>
        </w:rPr>
        <w:t>’</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04"/>
      </w:r>
      <w:r>
        <w:rPr>
          <w:rFonts w:ascii="IFAO-Grec Unicode" w:hAnsi="IFAO-Grec Unicode"/>
          <w:rtl w:val="0"/>
          <w:lang w:val="en-US"/>
        </w:rPr>
        <w:t xml:space="preserve"> It was recently shown that, contrary to a common assumption, the use of </w:t>
      </w:r>
      <w:r>
        <w:rPr>
          <w:rFonts w:ascii="IFAO-Grec Unicode" w:hAnsi="IFAO-Grec Unicode" w:hint="default"/>
          <w:rtl w:val="0"/>
        </w:rPr>
        <w:t>βούλομαι</w:t>
      </w:r>
      <w:r>
        <w:rPr>
          <w:rFonts w:ascii="IFAO-Grec Unicode" w:hAnsi="IFAO-Grec Unicode"/>
          <w:rtl w:val="0"/>
          <w:lang w:val="en-US"/>
        </w:rPr>
        <w:t xml:space="preserve"> by the highest officials in Egypt does not occur throughout the Roman period: a list of attestations indicates that the phenomenon appears in the second century CE, whereas in the first century high officials still follow the common practice of the Ptolemaic era, ending their letters with </w:t>
      </w:r>
      <w:r>
        <w:rPr>
          <w:rFonts w:ascii="IFAO-Grec Unicode" w:hAnsi="IFAO-Grec Unicode" w:hint="default"/>
          <w:rtl w:val="0"/>
        </w:rPr>
        <w:t>ἔρρωσο</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05"/>
      </w:r>
      <w:r>
        <w:rPr>
          <w:rFonts w:ascii="IFAO-Grec Unicode" w:hAnsi="IFAO-Grec Unicode"/>
          <w:rtl w:val="0"/>
          <w:lang w:val="en-US"/>
        </w:rPr>
        <w:t xml:space="preserve"> It may thus be inferred that the wording used by Phaidros (</w:t>
      </w:r>
      <w:r>
        <w:rPr>
          <w:rFonts w:ascii="IFAO-Grec Unicode" w:hAnsi="IFAO-Grec Unicode" w:hint="default"/>
          <w:rtl w:val="0"/>
        </w:rPr>
        <w:t>ὡς</w:t>
      </w:r>
      <w:r>
        <w:rPr>
          <w:rFonts w:ascii="IFAO-Grec Unicode" w:hAnsi="IFAO-Grec Unicode"/>
          <w:rtl w:val="0"/>
          <w:lang w:val="en-US"/>
        </w:rPr>
        <w:t xml:space="preserve"> </w:t>
      </w:r>
      <w:r>
        <w:rPr>
          <w:rFonts w:ascii="IFAO-Grec Unicode" w:hAnsi="IFAO-Grec Unicode" w:hint="default"/>
          <w:rtl w:val="0"/>
        </w:rPr>
        <w:t>βούλομαι</w:t>
      </w:r>
      <w:r>
        <w:rPr>
          <w:rFonts w:ascii="IFAO-Grec Unicode" w:hAnsi="IFAO-Grec Unicode"/>
          <w:rtl w:val="0"/>
          <w:lang w:val="en-US"/>
        </w:rPr>
        <w:t>) does not mark him as the Prefect of Egypt or as another high official, but rather that high officials took over a specific expression that may have been in current use in the Augustan period among individuals of very high standing in Egypt.</w:t>
      </w:r>
      <w:r>
        <w:rPr>
          <w:rFonts w:ascii="IFAO-Grec Unicode" w:cs="IFAO-Grec Unicode" w:hAnsi="IFAO-Grec Unicode" w:eastAsia="IFAO-Grec Unicode"/>
          <w:vertAlign w:val="superscript"/>
          <w:lang w:val="en-US"/>
        </w:rPr>
        <w:footnoteReference w:id="106"/>
      </w:r>
      <w:r>
        <w:rPr>
          <w:rFonts w:ascii="IFAO-Grec Unicode" w:hAnsi="IFAO-Grec Unicode"/>
          <w:rtl w:val="0"/>
          <w:lang w:val="en-US"/>
        </w:rPr>
        <w:t xml:space="preserve"> Unsurprisingly, the proportions relating to format (size of sheet, margins) and the layout (placing of basic elements) of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"https://papyri.info/hgv/23347"</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2623</w:t>
      </w:r>
      <w:r>
        <w:rPr>
          <w:rFonts w:ascii="IFAO-Grec Unicode" w:cs="IFAO-Grec Unicode" w:hAnsi="IFAO-Grec Unicode" w:eastAsia="IFAO-Grec Unicode"/>
        </w:rPr>
        <w:fldChar w:fldCharType="end" w:fldLock="0"/>
      </w:r>
      <w:r>
        <w:rPr>
          <w:rFonts w:ascii="IFAO-Grec Unicode" w:hAnsi="IFAO-Grec Unicode"/>
          <w:rtl w:val="0"/>
          <w:lang w:val="en-US"/>
        </w:rPr>
        <w:t xml:space="preserve"> are similar to that of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"https://papyri.info/hgv/78025"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"https://papyri.info/hgv/23280"</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2558</w:t>
      </w:r>
      <w:r>
        <w:rPr>
          <w:rFonts w:ascii="IFAO-Grec Unicode" w:cs="IFAO-Grec Unicode" w:hAnsi="IFAO-Grec Unicode" w:eastAsia="IFAO-Grec Unicode"/>
        </w:rPr>
        <w:fldChar w:fldCharType="end" w:fldLock="0"/>
      </w:r>
      <w:r>
        <w:rPr>
          <w:rFonts w:ascii="IFAO-Grec Unicode" w:hAnsi="IFAO-Grec Unicode"/>
          <w:rtl w:val="0"/>
          <w:lang w:val="en-US"/>
        </w:rPr>
        <w:t>, and reflect the rules followed by the scribes employed in the highest offices in the country.</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b w:val="1"/>
          <w:bCs w:val="1"/>
          <w:rtl w:val="0"/>
          <w:lang w:val="fr-FR"/>
        </w:rPr>
        <w:t>Table 3</w:t>
      </w:r>
      <w:r>
        <w:rPr>
          <w:rFonts w:ascii="IFAO-Grec Unicode" w:hAnsi="IFAO-Grec Unicode"/>
          <w:rtl w:val="0"/>
          <w:lang w:val="en-US"/>
        </w:rPr>
        <w:t xml:space="preserve"> Dimensions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2558</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"https://papyri.info/hgv/23347"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2623</w:t>
      </w:r>
      <w:r>
        <w:rPr>
          <w:rFonts w:ascii="IFAO-Grec Unicode" w:cs="IFAO-Grec Unicode" w:hAnsi="IFAO-Grec Unicode" w:eastAsia="IFAO-Grec Unicode"/>
        </w:rPr>
        <w:fldChar w:fldCharType="end" w:fldLock="0"/>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512"/>
        <w:gridCol w:w="898"/>
        <w:gridCol w:w="992"/>
        <w:gridCol w:w="2673"/>
        <w:gridCol w:w="533"/>
        <w:gridCol w:w="884"/>
        <w:gridCol w:w="546"/>
        <w:gridCol w:w="1034"/>
      </w:tblGrid>
      <w:tr>
        <w:tblPrEx>
          <w:shd w:val="clear" w:color="auto" w:fill="cad1d7"/>
        </w:tblPrEx>
        <w:trPr>
          <w:trHeight w:val="232" w:hRule="atLeast"/>
        </w:trPr>
        <w:tc>
          <w:tcPr>
            <w:tcW w:type="dxa" w:w="1512"/>
            <w:tcBorders>
              <w:top w:val="nil"/>
              <w:left w:val="nil"/>
              <w:bottom w:val="nil"/>
              <w:right w:val="single" w:color="000000" w:sz="4" w:space="0" w:shadow="0" w:frame="0"/>
            </w:tcBorders>
            <w:shd w:val="clear" w:color="auto" w:fill="auto"/>
            <w:tcMar>
              <w:top w:type="dxa" w:w="80"/>
              <w:left w:type="dxa" w:w="80"/>
              <w:bottom w:type="dxa" w:w="80"/>
              <w:right w:type="dxa" w:w="80"/>
            </w:tcMar>
            <w:vAlign w:val="top"/>
          </w:tcPr>
          <w:p/>
        </w:tc>
        <w:tc>
          <w:tcPr>
            <w:tcW w:type="dxa" w:w="898"/>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height</w:t>
            </w:r>
          </w:p>
        </w:tc>
        <w:tc>
          <w:tcPr>
            <w:tcW w:type="dxa" w:w="992"/>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width</w:t>
            </w:r>
          </w:p>
        </w:tc>
        <w:tc>
          <w:tcPr>
            <w:tcW w:type="dxa" w:w="2673"/>
            <w:tcBorders>
              <w:top w:val="nil"/>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Proportion height / width</w:t>
            </w:r>
          </w:p>
        </w:tc>
        <w:tc>
          <w:tcPr>
            <w:tcW w:type="dxa" w:w="2997"/>
            <w:gridSpan w:val="4"/>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margins</w:t>
            </w:r>
          </w:p>
        </w:tc>
      </w:tr>
      <w:tr>
        <w:tblPrEx>
          <w:shd w:val="clear" w:color="auto" w:fill="cad1d7"/>
        </w:tblPrEx>
        <w:trPr>
          <w:trHeight w:val="227" w:hRule="atLeast"/>
        </w:trPr>
        <w:tc>
          <w:tcPr>
            <w:tcW w:type="dxa" w:w="1512"/>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98"/>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92"/>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67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top</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bottom</w:t>
            </w:r>
          </w:p>
        </w:tc>
        <w:tc>
          <w:tcPr>
            <w:tcW w:type="dxa" w:w="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left</w:t>
            </w:r>
          </w:p>
        </w:tc>
        <w:tc>
          <w:tcPr>
            <w:tcW w:type="dxa" w:w="1034"/>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right</w:t>
            </w:r>
          </w:p>
        </w:tc>
      </w:tr>
      <w:tr>
        <w:tblPrEx>
          <w:shd w:val="clear" w:color="auto" w:fill="cad1d7"/>
        </w:tblPrEx>
        <w:trPr>
          <w:trHeight w:val="222" w:hRule="atLeast"/>
        </w:trPr>
        <w:tc>
          <w:tcPr>
            <w:tcW w:type="dxa" w:w="1512"/>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rStyle w:val="Hyperlink.5"/>
                <w:sz w:val="20"/>
                <w:szCs w:val="20"/>
              </w:rPr>
              <w:fldChar w:fldCharType="begin" w:fldLock="0"/>
            </w:r>
            <w:r>
              <w:rPr>
                <w:rStyle w:val="Hyperlink.5"/>
                <w:sz w:val="20"/>
                <w:szCs w:val="20"/>
              </w:rPr>
              <w:instrText xml:space="preserve"> HYPERLINK "https://papyri.info/hgv/78025"</w:instrText>
            </w:r>
            <w:r>
              <w:rPr>
                <w:rStyle w:val="Hyperlink.5"/>
                <w:sz w:val="20"/>
                <w:szCs w:val="20"/>
              </w:rPr>
              <w:fldChar w:fldCharType="separate" w:fldLock="0"/>
            </w:r>
            <w:r>
              <w:rPr>
                <w:rStyle w:val="Hyperlink.5"/>
                <w:sz w:val="20"/>
                <w:szCs w:val="20"/>
                <w:rtl w:val="0"/>
                <w:lang w:val="en-US"/>
              </w:rPr>
              <w:t>P.Bingen 45</w:t>
            </w:r>
            <w:r>
              <w:rPr>
                <w:sz w:val="20"/>
                <w:szCs w:val="20"/>
              </w:rPr>
              <w:fldChar w:fldCharType="end" w:fldLock="0"/>
            </w:r>
          </w:p>
        </w:tc>
        <w:tc>
          <w:tcPr>
            <w:tcW w:type="dxa" w:w="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23.3</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20.2</w:t>
            </w:r>
          </w:p>
        </w:tc>
        <w:tc>
          <w:tcPr>
            <w:tcW w:type="dxa" w:w="2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1.15</w:t>
            </w:r>
          </w:p>
        </w:tc>
        <w:tc>
          <w:tcPr>
            <w:tcW w:type="dxa" w:w="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4.8</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7.4</w:t>
            </w:r>
          </w:p>
        </w:tc>
        <w:tc>
          <w:tcPr>
            <w:tcW w:type="dxa" w:w="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4.5</w:t>
            </w:r>
          </w:p>
        </w:tc>
        <w:tc>
          <w:tcPr>
            <w:tcW w:type="dxa" w:w="1034"/>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ca. 0</w:t>
            </w:r>
          </w:p>
        </w:tc>
      </w:tr>
      <w:tr>
        <w:tblPrEx>
          <w:shd w:val="clear" w:color="auto" w:fill="cad1d7"/>
        </w:tblPrEx>
        <w:trPr>
          <w:trHeight w:val="222" w:hRule="atLeast"/>
        </w:trPr>
        <w:tc>
          <w:tcPr>
            <w:tcW w:type="dxa" w:w="1512"/>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left"/>
            </w:pPr>
            <w:r>
              <w:rPr>
                <w:rStyle w:val="Hyperlink.5"/>
                <w:sz w:val="20"/>
                <w:szCs w:val="20"/>
              </w:rPr>
              <w:fldChar w:fldCharType="begin" w:fldLock="0"/>
            </w:r>
            <w:r>
              <w:rPr>
                <w:rStyle w:val="Hyperlink.5"/>
                <w:sz w:val="20"/>
                <w:szCs w:val="20"/>
              </w:rPr>
              <w:instrText xml:space="preserve"> HYPERLINK "https://papyri.info/hgv/23280"</w:instrText>
            </w:r>
            <w:r>
              <w:rPr>
                <w:rStyle w:val="Hyperlink.5"/>
                <w:sz w:val="20"/>
                <w:szCs w:val="20"/>
              </w:rPr>
              <w:fldChar w:fldCharType="separate" w:fldLock="0"/>
            </w:r>
            <w:r>
              <w:rPr>
                <w:rStyle w:val="Hyperlink.5"/>
                <w:sz w:val="20"/>
                <w:szCs w:val="20"/>
                <w:rtl w:val="0"/>
                <w:lang w:val="en-US"/>
              </w:rPr>
              <w:t>BGU 16 2558</w:t>
            </w:r>
            <w:r>
              <w:rPr>
                <w:sz w:val="20"/>
                <w:szCs w:val="20"/>
              </w:rPr>
              <w:fldChar w:fldCharType="end" w:fldLock="0"/>
            </w:r>
          </w:p>
        </w:tc>
        <w:tc>
          <w:tcPr>
            <w:tcW w:type="dxa" w:w="8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15</w:t>
            </w:r>
          </w:p>
        </w:tc>
        <w:tc>
          <w:tcPr>
            <w:tcW w:type="dxa" w:w="9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14.7</w:t>
            </w:r>
          </w:p>
        </w:tc>
        <w:tc>
          <w:tcPr>
            <w:tcW w:type="dxa" w:w="26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1.02</w:t>
            </w:r>
          </w:p>
        </w:tc>
        <w:tc>
          <w:tcPr>
            <w:tcW w:type="dxa" w:w="5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2.2</w:t>
            </w:r>
          </w:p>
        </w:tc>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2.5</w:t>
            </w:r>
          </w:p>
        </w:tc>
        <w:tc>
          <w:tcPr>
            <w:tcW w:type="dxa" w:w="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1.8</w:t>
            </w:r>
          </w:p>
        </w:tc>
        <w:tc>
          <w:tcPr>
            <w:tcW w:type="dxa" w:w="1034"/>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keepNext w:val="1"/>
              <w:jc w:val="center"/>
            </w:pPr>
            <w:r>
              <w:rPr>
                <w:sz w:val="20"/>
                <w:szCs w:val="20"/>
                <w:shd w:val="nil" w:color="auto" w:fill="auto"/>
                <w:rtl w:val="0"/>
                <w:lang w:val="en-US"/>
              </w:rPr>
              <w:t xml:space="preserve">0.5 </w:t>
            </w:r>
            <w:r>
              <w:rPr>
                <w:sz w:val="20"/>
                <w:szCs w:val="20"/>
                <w:shd w:val="nil" w:color="auto" w:fill="auto"/>
                <w:rtl w:val="0"/>
                <w:lang w:val="en-US"/>
              </w:rPr>
              <w:t xml:space="preserve">– </w:t>
            </w:r>
            <w:r>
              <w:rPr>
                <w:sz w:val="20"/>
                <w:szCs w:val="20"/>
                <w:shd w:val="nil" w:color="auto" w:fill="auto"/>
                <w:rtl w:val="0"/>
                <w:lang w:val="en-US"/>
              </w:rPr>
              <w:t>3.4</w:t>
            </w:r>
          </w:p>
        </w:tc>
      </w:tr>
      <w:tr>
        <w:tblPrEx>
          <w:shd w:val="clear" w:color="auto" w:fill="cad1d7"/>
        </w:tblPrEx>
        <w:trPr>
          <w:trHeight w:val="227" w:hRule="atLeast"/>
        </w:trPr>
        <w:tc>
          <w:tcPr>
            <w:tcW w:type="dxa" w:w="1512"/>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"https://papyri.info/hgv/23347"</w:instrText>
            </w:r>
            <w:r>
              <w:rPr>
                <w:rStyle w:val="Hyperlink.5"/>
                <w:sz w:val="20"/>
                <w:szCs w:val="20"/>
              </w:rPr>
              <w:fldChar w:fldCharType="separate" w:fldLock="0"/>
            </w:r>
            <w:r>
              <w:rPr>
                <w:rStyle w:val="Hyperlink.5"/>
                <w:sz w:val="20"/>
                <w:szCs w:val="20"/>
                <w:rtl w:val="0"/>
                <w:lang w:val="en-US"/>
              </w:rPr>
              <w:t>BGU 16 2623</w:t>
            </w:r>
            <w:r>
              <w:rPr>
                <w:sz w:val="20"/>
                <w:szCs w:val="20"/>
              </w:rPr>
              <w:fldChar w:fldCharType="end" w:fldLock="0"/>
            </w:r>
          </w:p>
        </w:tc>
        <w:tc>
          <w:tcPr>
            <w:tcW w:type="dxa" w:w="898"/>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19.6</w:t>
            </w:r>
          </w:p>
        </w:tc>
        <w:tc>
          <w:tcPr>
            <w:tcW w:type="dxa" w:w="992"/>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16</w:t>
            </w:r>
          </w:p>
        </w:tc>
        <w:tc>
          <w:tcPr>
            <w:tcW w:type="dxa" w:w="267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1.22</w:t>
            </w:r>
          </w:p>
        </w:tc>
        <w:tc>
          <w:tcPr>
            <w:tcW w:type="dxa" w:w="53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w:t>
            </w:r>
          </w:p>
        </w:tc>
        <w:tc>
          <w:tcPr>
            <w:tcW w:type="dxa" w:w="884"/>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5.5</w:t>
            </w:r>
          </w:p>
        </w:tc>
        <w:tc>
          <w:tcPr>
            <w:tcW w:type="dxa" w:w="546"/>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3</w:t>
            </w:r>
          </w:p>
        </w:tc>
        <w:tc>
          <w:tcPr>
            <w:tcW w:type="dxa" w:w="1034"/>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ca. 0</w:t>
            </w:r>
          </w:p>
        </w:tc>
      </w:tr>
    </w:tbl>
    <w:p>
      <w:pPr>
        <w:pStyle w:val="Body"/>
        <w:widowControl w:val="0"/>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wording </w:t>
      </w:r>
      <w:r>
        <w:rPr>
          <w:rFonts w:ascii="IFAO-Grec Unicode" w:hAnsi="IFAO-Grec Unicode" w:hint="default"/>
          <w:rtl w:val="0"/>
        </w:rPr>
        <w:t>ὡς</w:t>
      </w:r>
      <w:r>
        <w:rPr>
          <w:rFonts w:ascii="IFAO-Grec Unicode" w:hAnsi="IFAO-Grec Unicode"/>
          <w:rtl w:val="0"/>
          <w:lang w:val="en-US"/>
        </w:rPr>
        <w:t xml:space="preserve"> </w:t>
      </w:r>
      <w:r>
        <w:rPr>
          <w:rFonts w:ascii="IFAO-Grec Unicode" w:hAnsi="IFAO-Grec Unicode" w:hint="default"/>
          <w:rtl w:val="0"/>
        </w:rPr>
        <w:t>βούλομαι</w:t>
      </w:r>
      <w:r>
        <w:rPr>
          <w:rFonts w:ascii="IFAO-Grec Unicode" w:hAnsi="IFAO-Grec Unicode"/>
          <w:rtl w:val="0"/>
          <w:lang w:val="en-US"/>
        </w:rPr>
        <w:t xml:space="preserve"> deserves one last mention. The only other occurrence in the period under consideration is to be found in a letter belonging also to the Athenodoros Archive,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"https://papyri.info/hgv/23366"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2642</w:t>
      </w:r>
      <w:r>
        <w:rPr>
          <w:rFonts w:ascii="IFAO-Grec Unicode" w:cs="IFAO-Grec Unicode" w:hAnsi="IFAO-Grec Unicode" w:eastAsia="IFAO-Grec Unicode"/>
        </w:rPr>
        <w:fldChar w:fldCharType="end" w:fldLock="0"/>
      </w:r>
      <w:r>
        <w:rPr>
          <w:rFonts w:ascii="IFAO-Grec Unicode" w:hAnsi="IFAO-Grec Unicode"/>
          <w:rtl w:val="0"/>
          <w:lang w:val="en-US"/>
        </w:rPr>
        <w:t xml:space="preserve"> (ca. 21-5 BCE, Herakleopolite nome). In this case, however, it is a letter sent by Athenodoros, with the heading (2-3) </w:t>
      </w:r>
      <w:r>
        <w:rPr>
          <w:rFonts w:ascii="IFAO-Grec Unicode" w:hAnsi="IFAO-Grec Unicode" w:hint="default"/>
          <w:rtl w:val="0"/>
          <w:lang w:val="en-US"/>
        </w:rPr>
        <w:t>πλεῖστα χαίρειν καὶ διὰ παντὸς ἐρρωμένῳ ἄριστα ἐπανάγειν ὡς βούλομ</w:t>
      </w:r>
      <w:r>
        <w:rPr>
          <w:rFonts w:ascii="IFAO-Grec Unicode" w:hAnsi="IFAO-Grec Unicode"/>
          <w:rtl w:val="0"/>
          <w:lang w:val="en-US"/>
        </w:rPr>
        <w:t>(</w:t>
      </w:r>
      <w:r>
        <w:rPr>
          <w:rFonts w:ascii="IFAO-Grec Unicode" w:hAnsi="IFAO-Grec Unicode" w:hint="default"/>
          <w:rtl w:val="0"/>
          <w:lang w:val="en-US"/>
        </w:rPr>
        <w:t>αι</w:t>
      </w:r>
      <w:r>
        <w:rPr>
          <w:rFonts w:ascii="IFAO-Grec Unicode" w:hAnsi="IFAO-Grec Unicode"/>
          <w:rtl w:val="0"/>
          <w:lang w:val="en-US"/>
        </w:rPr>
        <w:t>), which closely mirrors Phaidros</w:t>
      </w:r>
      <w:r>
        <w:rPr>
          <w:rFonts w:ascii="IFAO-Grec Unicode" w:hAnsi="IFAO-Grec Unicode" w:hint="default"/>
          <w:rtl w:val="0"/>
          <w:lang w:val="en-US"/>
        </w:rPr>
        <w:t xml:space="preserve">’ </w:t>
      </w:r>
      <w:r>
        <w:rPr>
          <w:rFonts w:ascii="IFAO-Grec Unicode" w:hAnsi="IFAO-Grec Unicode"/>
          <w:rtl w:val="0"/>
          <w:lang w:val="en-US"/>
        </w:rPr>
        <w:t xml:space="preserve">opening salutation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"https://papyri.info/hgv/23347"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2623</w:t>
      </w:r>
      <w:r>
        <w:rPr>
          <w:rFonts w:ascii="IFAO-Grec Unicode" w:cs="IFAO-Grec Unicode" w:hAnsi="IFAO-Grec Unicode" w:eastAsia="IFAO-Grec Unicode"/>
        </w:rPr>
        <w:fldChar w:fldCharType="end" w:fldLock="0"/>
      </w:r>
      <w:r>
        <w:rPr>
          <w:rFonts w:ascii="IFAO-Grec Unicode" w:hAnsi="IFAO-Grec Unicode"/>
          <w:rtl w:val="0"/>
          <w:lang w:val="en-US"/>
        </w:rPr>
        <w:t xml:space="preserve">. Athenodoros apologizes to his addressee </w:t>
      </w:r>
      <w:r>
        <w:rPr>
          <w:rFonts w:ascii="IFAO-Grec Unicode" w:hAnsi="IFAO-Grec Unicode" w:hint="default"/>
          <w:rtl w:val="0"/>
          <w:lang w:val="en-US"/>
        </w:rPr>
        <w:t xml:space="preserve">– </w:t>
      </w:r>
      <w:r>
        <w:rPr>
          <w:rFonts w:ascii="IFAO-Grec Unicode" w:hAnsi="IFAO-Grec Unicode"/>
          <w:rtl w:val="0"/>
          <w:lang w:val="en-US"/>
        </w:rPr>
        <w:t xml:space="preserve">whose name is lost </w:t>
      </w:r>
      <w:r>
        <w:rPr>
          <w:rFonts w:ascii="IFAO-Grec Unicode" w:hAnsi="IFAO-Grec Unicode" w:hint="default"/>
          <w:rtl w:val="0"/>
          <w:lang w:val="en-US"/>
        </w:rPr>
        <w:t xml:space="preserve">– </w:t>
      </w:r>
      <w:r>
        <w:rPr>
          <w:rFonts w:ascii="IFAO-Grec Unicode" w:hAnsi="IFAO-Grec Unicode"/>
          <w:rtl w:val="0"/>
          <w:lang w:val="en-US"/>
        </w:rPr>
        <w:t>for not having written more often because he was burdened with some tasks. The text is badly mutilated but is seems likely that this is Athenodoros</w:t>
      </w:r>
      <w:r>
        <w:rPr>
          <w:rFonts w:ascii="IFAO-Grec Unicode" w:hAnsi="IFAO-Grec Unicode" w:hint="default"/>
          <w:rtl w:val="0"/>
          <w:lang w:val="en-US"/>
        </w:rPr>
        <w:t xml:space="preserve">’ </w:t>
      </w:r>
      <w:r>
        <w:rPr>
          <w:rFonts w:ascii="IFAO-Grec Unicode" w:hAnsi="IFAO-Grec Unicode"/>
          <w:rtl w:val="0"/>
          <w:lang w:val="en-US"/>
        </w:rPr>
        <w:t xml:space="preserve">reply to Phaidros, in which he would be mirroring a wording that earmarks individuals of very high standing (notably </w:t>
      </w:r>
      <w:r>
        <w:rPr>
          <w:rFonts w:ascii="IFAO-Grec Unicode" w:hAnsi="IFAO-Grec Unicode" w:hint="default"/>
          <w:rtl w:val="0"/>
        </w:rPr>
        <w:t>ὡς</w:t>
      </w:r>
      <w:r>
        <w:rPr>
          <w:rFonts w:ascii="IFAO-Grec Unicode" w:hAnsi="IFAO-Grec Unicode"/>
          <w:rtl w:val="0"/>
          <w:lang w:val="en-US"/>
        </w:rPr>
        <w:t xml:space="preserve"> </w:t>
      </w:r>
      <w:r>
        <w:rPr>
          <w:rFonts w:ascii="IFAO-Grec Unicode" w:hAnsi="IFAO-Grec Unicode" w:hint="default"/>
          <w:rtl w:val="0"/>
        </w:rPr>
        <w:t>βούλομαι</w:t>
      </w:r>
      <w:r>
        <w:rPr>
          <w:rFonts w:ascii="IFAO-Grec Unicode" w:hAnsi="IFAO-Grec Unicode"/>
          <w:rtl w:val="0"/>
          <w:lang w:val="en-US"/>
        </w:rPr>
        <w:t>). The main perceptible difference between the two documents lies in the format, layout, and quality of writing: Athenodoros</w:t>
      </w:r>
      <w:r>
        <w:rPr>
          <w:rFonts w:ascii="IFAO-Grec Unicode" w:hAnsi="IFAO-Grec Unicode" w:hint="default"/>
          <w:rtl w:val="0"/>
          <w:lang w:val="en-US"/>
        </w:rPr>
        <w:t xml:space="preserve">’ </w:t>
      </w:r>
      <w:r>
        <w:rPr>
          <w:rFonts w:ascii="IFAO-Grec Unicode" w:hAnsi="IFAO-Grec Unicode"/>
          <w:rtl w:val="0"/>
          <w:lang w:val="en-US"/>
        </w:rPr>
        <w:t>letter was written by a fast and irregular hand, and the document displays no structured layout as in the other documents discussed above. There is hardly any doubt that this is a draft used by Athenodoros</w:t>
      </w:r>
      <w:r>
        <w:rPr>
          <w:rFonts w:ascii="IFAO-Grec Unicode" w:hAnsi="IFAO-Grec Unicode" w:hint="default"/>
          <w:rtl w:val="0"/>
          <w:lang w:val="en-US"/>
        </w:rPr>
        <w:t xml:space="preserve">’ </w:t>
      </w:r>
      <w:r>
        <w:rPr>
          <w:rFonts w:ascii="IFAO-Grec Unicode" w:hAnsi="IFAO-Grec Unicode"/>
          <w:rtl w:val="0"/>
          <w:lang w:val="en-US"/>
        </w:rPr>
        <w:t xml:space="preserve">scribe </w:t>
      </w:r>
      <w:r>
        <w:rPr>
          <w:rFonts w:ascii="IFAO-Grec Unicode" w:hAnsi="IFAO-Grec Unicode" w:hint="default"/>
          <w:rtl w:val="0"/>
          <w:lang w:val="en-US"/>
        </w:rPr>
        <w:t xml:space="preserve">– </w:t>
      </w:r>
      <w:r>
        <w:rPr>
          <w:rFonts w:ascii="IFAO-Grec Unicode" w:hAnsi="IFAO-Grec Unicode"/>
          <w:rtl w:val="0"/>
          <w:lang w:val="en-US"/>
        </w:rPr>
        <w:t xml:space="preserve">presumably dictated to him. It would explain why a letter by Athenodoros was preserved in his own papers (the final version was sent off to the addressee). This is also a useful element in the reconstruction of the process followed by those scribes of high standing: they first wrote down a fast, preliminary version of the document that was dictated to them by the official; only then did they make a clean copy for sending. In the case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this clean copy was the one which Cleopatra confirmed with </w:t>
      </w:r>
      <w:r>
        <w:rPr>
          <w:rFonts w:ascii="IFAO-Grec Unicode" w:hAnsi="IFAO-Grec Unicode" w:hint="default"/>
          <w:rtl w:val="0"/>
        </w:rPr>
        <w:t>γινέσθωι</w:t>
      </w:r>
      <w:r>
        <w:rPr>
          <w:rFonts w:ascii="IFAO-Grec Unicode" w:hAnsi="IFAO-Grec Unicode"/>
          <w:rtl w:val="0"/>
          <w:lang w:val="en-US"/>
        </w:rPr>
        <w:t>.</w:t>
      </w:r>
    </w:p>
    <w:p>
      <w:pPr>
        <w:pStyle w:val="Body"/>
        <w:rPr>
          <w:rFonts w:ascii="IFAO-Grec Unicode" w:cs="IFAO-Grec Unicode" w:hAnsi="IFAO-Grec Unicode" w:eastAsia="IFAO-Grec Unicode"/>
        </w:rPr>
      </w:pPr>
      <w:r>
        <w:rPr>
          <w:rFonts w:ascii="IFAO-Grec Unicode" w:hAnsi="IFAO-Grec Unicode"/>
          <w:rtl w:val="0"/>
          <w:lang w:val="en-US"/>
        </w:rPr>
        <w:t xml:space="preserve">Finally, a pair of documents,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"https://papyri.info/hgv/14651"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SB 16 12713</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"https://papyri.info/hgv/14652"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12714</w:t>
      </w:r>
      <w:r>
        <w:rPr>
          <w:rFonts w:ascii="IFAO-Grec Unicode" w:cs="IFAO-Grec Unicode" w:hAnsi="IFAO-Grec Unicode" w:eastAsia="IFAO-Grec Unicode"/>
        </w:rPr>
        <w:fldChar w:fldCharType="end" w:fldLock="0"/>
      </w:r>
      <w:r>
        <w:rPr>
          <w:rFonts w:ascii="IFAO-Grec Unicode" w:hAnsi="IFAO-Grec Unicode"/>
          <w:rtl w:val="0"/>
          <w:lang w:val="en-US"/>
        </w:rPr>
        <w:t xml:space="preserve"> (ca. 5 CE, Philadelphia), that preserve a petition to the Prefect of Egypt, raises the possibility that there may have been not two, but three stages of preparation: a first, fast writing down of the intended text (if such were the case, we do not have it anymore); then a first attempt at producing the petition, in a careful hand and already with the layout typical of scribes of high standing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"https://papyri.info/hgv/14651"</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SB 16 12713</w:t>
      </w:r>
      <w:r>
        <w:rPr>
          <w:rFonts w:ascii="IFAO-Grec Unicode" w:cs="IFAO-Grec Unicode" w:hAnsi="IFAO-Grec Unicode" w:eastAsia="IFAO-Grec Unicode"/>
        </w:rPr>
        <w:fldChar w:fldCharType="end" w:fldLock="0"/>
      </w:r>
      <w:r>
        <w:rPr>
          <w:rFonts w:ascii="IFAO-Grec Unicode" w:hAnsi="IFAO-Grec Unicode"/>
          <w:rtl w:val="0"/>
          <w:lang w:val="en-US"/>
        </w:rPr>
        <w:t>), which was heavily corrected; and eventually a clean copy, with a similar layout and no more corrections to the text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"https://papyri.info/hgv/14652"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SB 16 12714</w:t>
      </w:r>
      <w:r>
        <w:rPr>
          <w:rFonts w:ascii="IFAO-Grec Unicode" w:cs="IFAO-Grec Unicode" w:hAnsi="IFAO-Grec Unicode" w:eastAsia="IFAO-Grec Unicode"/>
        </w:rPr>
        <w:fldChar w:fldCharType="end" w:fldLock="0"/>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07"/>
      </w:r>
    </w:p>
    <w:p>
      <w:pPr>
        <w:pStyle w:val="Body"/>
        <w:rPr>
          <w:rFonts w:ascii="IFAO-Grec Unicode" w:cs="IFAO-Grec Unicode" w:hAnsi="IFAO-Grec Unicode" w:eastAsia="IFAO-Grec Unicode"/>
        </w:rPr>
      </w:pPr>
      <w:r>
        <w:rPr>
          <w:rFonts w:ascii="IFAO-Grec Unicode" w:hAnsi="IFAO-Grec Unicode"/>
          <w:rtl w:val="0"/>
          <w:lang w:val="en-US"/>
        </w:rPr>
        <w:t xml:space="preserve">The ordinance prepared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was then ready to be circulated, as we have seen above. In a similar procedure,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"https://papyri.info/hgv/4813"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8 1730</w:t>
      </w:r>
      <w:r>
        <w:rPr>
          <w:rFonts w:ascii="IFAO-Grec Unicode" w:cs="IFAO-Grec Unicode" w:hAnsi="IFAO-Grec Unicode" w:eastAsia="IFAO-Grec Unicode"/>
        </w:rPr>
        <w:fldChar w:fldCharType="end" w:fldLock="0"/>
      </w:r>
      <w:r>
        <w:rPr>
          <w:rFonts w:ascii="IFAO-Grec Unicode" w:hAnsi="IFAO-Grec Unicode"/>
          <w:rtl w:val="0"/>
          <w:lang w:val="en-US"/>
        </w:rPr>
        <w:t xml:space="preserve"> (= SB 4.7419 = Sel. Pap. II 209 = C.Ord.Ptol. 73; 79 or 50 BCE, Herakleopolite nome) is presumably a copy, received and registered by a local secretary (</w:t>
      </w:r>
      <w:r>
        <w:rPr>
          <w:rFonts w:ascii="IFAO-Grec Unicode" w:hAnsi="IFAO-Grec Unicode" w:hint="default"/>
          <w:rtl w:val="0"/>
        </w:rPr>
        <w:t>τοπογραμματεύς</w:t>
      </w:r>
      <w:r>
        <w:rPr>
          <w:rFonts w:ascii="IFAO-Grec Unicode" w:hAnsi="IFAO-Grec Unicode"/>
          <w:rtl w:val="0"/>
          <w:lang w:val="en-US"/>
        </w:rPr>
        <w:t xml:space="preserve">), of an original sent by the chancery in Alexandria to the </w:t>
      </w:r>
      <w:r>
        <w:rPr>
          <w:rFonts w:ascii="IFAO-Grec Unicode" w:hAnsi="IFAO-Grec Unicode"/>
          <w:rtl w:val="0"/>
          <w:lang w:val="en-US"/>
        </w:rPr>
        <w:t>strategos</w:t>
      </w:r>
      <w:r>
        <w:rPr>
          <w:rFonts w:ascii="IFAO-Grec Unicode" w:hAnsi="IFAO-Grec Unicode"/>
          <w:rtl w:val="0"/>
          <w:lang w:val="en-US"/>
        </w:rPr>
        <w:t xml:space="preserve"> of the Herakleopolite nome. The first editors indicate that, in the top margin, they can barely read </w:t>
      </w:r>
      <w:r>
        <w:rPr>
          <w:rFonts w:ascii="IFAO-Grec Unicode" w:hAnsi="IFAO-Grec Unicode" w:hint="default"/>
          <w:rtl w:val="0"/>
        </w:rPr>
        <w:t xml:space="preserve">συγγενεῖ καὶ στρατηγῶι Ἡλιοδώρωι </w:t>
      </w:r>
      <w:r>
        <w:rPr>
          <w:rFonts w:ascii="IFAO-Grec Unicode" w:hAnsi="IFAO-Grec Unicode"/>
          <w:rtl w:val="0"/>
        </w:rPr>
        <w:t xml:space="preserve">in </w:t>
      </w:r>
      <w:r>
        <w:rPr>
          <w:rFonts w:ascii="IFAO-Grec Unicode" w:hAnsi="IFAO-Grec Unicode"/>
          <w:rtl w:val="0"/>
          <w:lang w:val="en-US"/>
        </w:rPr>
        <w:t>ekthesis</w:t>
      </w:r>
      <w:r>
        <w:rPr>
          <w:rFonts w:ascii="IFAO-Grec Unicode" w:hAnsi="IFAO-Grec Unicode"/>
          <w:rtl w:val="0"/>
          <w:lang w:val="en-US"/>
        </w:rPr>
        <w:t xml:space="preserve">. They also identify the traces of a squarish red stamp in the middle of the sheet, applied for registration purposes. Below the text of the ordinance, the </w:t>
      </w:r>
      <w:r>
        <w:rPr>
          <w:rFonts w:ascii="IFAO-Grec Unicode" w:hAnsi="IFAO-Grec Unicode" w:hint="default"/>
          <w:rtl w:val="0"/>
        </w:rPr>
        <w:t xml:space="preserve">τοπογραμματεύς </w:t>
      </w:r>
      <w:r>
        <w:rPr>
          <w:rFonts w:ascii="IFAO-Grec Unicode" w:hAnsi="IFAO-Grec Unicode"/>
          <w:rtl w:val="0"/>
          <w:lang w:val="en-US"/>
        </w:rPr>
        <w:t>added a note, stating that he had made a public posting of a copy.</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Temporary grant of protection against prosecution (</w:t>
      </w:r>
      <w:r>
        <w:rPr>
          <w:rFonts w:ascii="IFAO-Grec Unicode" w:hAnsi="IFAO-Grec Unicode" w:hint="default"/>
          <w:rtl w:val="0"/>
        </w:rPr>
        <w:t>πίστις</w:t>
      </w:r>
      <w:r>
        <w:rPr>
          <w:rFonts w:ascii="IFAO-Grec Unicode" w:hAnsi="IFAO-Grec Unicode"/>
          <w:rtl w:val="0"/>
        </w:rPr>
        <w:t>)</w:t>
      </w:r>
    </w:p>
    <w:p>
      <w:pPr>
        <w:pStyle w:val="Body"/>
        <w:rPr>
          <w:rFonts w:ascii="IFAO-Grec Unicode" w:cs="IFAO-Grec Unicode" w:hAnsi="IFAO-Grec Unicode" w:eastAsia="IFAO-Grec Unicode"/>
        </w:rPr>
      </w:pPr>
      <w:r>
        <w:rPr>
          <w:rFonts w:ascii="IFAO-Grec Unicode" w:hAnsi="IFAO-Grec Unicode"/>
          <w:rtl w:val="0"/>
          <w:lang w:val="en-US"/>
        </w:rPr>
        <w:t xml:space="preserve">The typological observations we can make at the level of scribes working together with the Queen and her close officials also apply to a lower level. We saw above that Seleukos, </w:t>
      </w:r>
      <w:r>
        <w:rPr>
          <w:rFonts w:ascii="IFAO-Grec Unicode" w:hAnsi="IFAO-Grec Unicode"/>
          <w:rtl w:val="0"/>
          <w:lang w:val="es-ES_tradnl"/>
        </w:rPr>
        <w:t xml:space="preserve">strategos </w:t>
      </w:r>
      <w:r>
        <w:rPr>
          <w:rFonts w:ascii="IFAO-Grec Unicode" w:hAnsi="IFAO-Grec Unicode"/>
          <w:rtl w:val="0"/>
          <w:lang w:val="en-US"/>
        </w:rPr>
        <w:t>of the Herakleopolite nome, received a letter from the higher authorities, ordering him to collaborate with Achilleus</w:t>
      </w:r>
      <w:r>
        <w:rPr>
          <w:rFonts w:ascii="IFAO-Grec Unicode" w:hAnsi="IFAO-Grec Unicode" w:hint="default"/>
          <w:rtl w:val="1"/>
        </w:rPr>
        <w:t xml:space="preserve">’ </w:t>
      </w:r>
      <w:r>
        <w:rPr>
          <w:rFonts w:ascii="IFAO-Grec Unicode" w:hAnsi="IFAO-Grec Unicode"/>
          <w:rtl w:val="0"/>
          <w:lang w:val="fr-FR"/>
        </w:rPr>
        <w:t>envoys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xml:space="preserve">).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"https://papyri.info/hgv/4890"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BGU 8 1810</w:t>
      </w:r>
      <w:r>
        <w:rPr>
          <w:rFonts w:ascii="IFAO-Grec Unicode" w:cs="IFAO-Grec Unicode" w:hAnsi="IFAO-Grec Unicode" w:eastAsia="IFAO-Grec Unicode"/>
        </w:rPr>
        <w:fldChar w:fldCharType="end" w:fldLock="0"/>
      </w:r>
      <w:r>
        <w:rPr>
          <w:rFonts w:ascii="IFAO-Grec Unicode" w:hAnsi="IFAO-Grec Unicode"/>
          <w:rtl w:val="0"/>
          <w:lang w:val="en-US"/>
        </w:rPr>
        <w:t xml:space="preserve"> (51/48 BCE, Herakleopolite nome), the same </w:t>
      </w:r>
      <w:r>
        <w:rPr>
          <w:rFonts w:ascii="IFAO-Grec Unicode" w:hAnsi="IFAO-Grec Unicode"/>
          <w:rtl w:val="0"/>
        </w:rPr>
        <w:t>strategos</w:t>
      </w:r>
      <w:r>
        <w:rPr>
          <w:rFonts w:ascii="IFAO-Grec Unicode" w:hAnsi="IFAO-Grec Unicode"/>
          <w:rtl w:val="0"/>
          <w:lang w:val="en-US"/>
        </w:rPr>
        <w:t xml:space="preserve"> issued a </w:t>
      </w:r>
      <w:r>
        <w:rPr>
          <w:rFonts w:ascii="IFAO-Grec Unicode" w:hAnsi="IFAO-Grec Unicode" w:hint="default"/>
          <w:rtl w:val="0"/>
        </w:rPr>
        <w:t>πίστις</w:t>
      </w:r>
      <w:r>
        <w:rPr>
          <w:rFonts w:ascii="IFAO-Grec Unicode" w:hAnsi="IFAO-Grec Unicode"/>
          <w:rtl w:val="0"/>
          <w:lang w:val="en-US"/>
        </w:rPr>
        <w:t xml:space="preserve">, i.e. a temporary grant of protection against prosecution on behalf of an individual under his authority, and his scribe worked in a fashion similar to what has been described previously. Before we can examine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"https://papyri.info/hgv/4890"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BGU 8 1810</w:t>
      </w:r>
      <w:r>
        <w:rPr>
          <w:rFonts w:ascii="IFAO-Grec Unicode" w:cs="IFAO-Grec Unicode" w:hAnsi="IFAO-Grec Unicode" w:eastAsia="IFAO-Grec Unicode"/>
        </w:rPr>
        <w:fldChar w:fldCharType="end" w:fldLock="0"/>
      </w:r>
      <w:r>
        <w:rPr>
          <w:rFonts w:ascii="IFAO-Grec Unicode" w:hAnsi="IFAO-Grec Unicode"/>
          <w:rtl w:val="0"/>
          <w:lang w:val="en-US"/>
        </w:rPr>
        <w:t xml:space="preserve">, a short word of explanation on the concept of </w:t>
      </w:r>
      <w:r>
        <w:rPr>
          <w:rFonts w:ascii="IFAO-Grec Unicode" w:hAnsi="IFAO-Grec Unicode"/>
          <w:rtl w:val="0"/>
        </w:rPr>
        <w:t>pistis</w:t>
      </w:r>
      <w:r>
        <w:rPr>
          <w:rFonts w:ascii="IFAO-Grec Unicode" w:hAnsi="IFAO-Grec Unicode"/>
          <w:rtl w:val="0"/>
          <w:lang w:val="en-US"/>
        </w:rPr>
        <w:t xml:space="preserve"> is necessary.</w:t>
      </w:r>
    </w:p>
    <w:p>
      <w:pPr>
        <w:pStyle w:val="Body"/>
        <w:rPr>
          <w:rFonts w:ascii="IFAO-Grec Unicode" w:cs="IFAO-Grec Unicode" w:hAnsi="IFAO-Grec Unicode" w:eastAsia="IFAO-Grec Unicode"/>
        </w:rPr>
      </w:pPr>
      <w:r>
        <w:rPr>
          <w:rFonts w:ascii="IFAO-Grec Unicode" w:hAnsi="IFAO-Grec Unicode"/>
          <w:rtl w:val="0"/>
          <w:lang w:val="pt-PT"/>
        </w:rPr>
        <w:t xml:space="preserve">A </w:t>
      </w:r>
      <w:r>
        <w:rPr>
          <w:rFonts w:ascii="IFAO-Grec Unicode" w:hAnsi="IFAO-Grec Unicode"/>
          <w:rtl w:val="0"/>
        </w:rPr>
        <w:t>pistis</w:t>
      </w:r>
      <w:r>
        <w:rPr>
          <w:rFonts w:ascii="IFAO-Grec Unicode" w:hAnsi="IFAO-Grec Unicode"/>
          <w:rtl w:val="0"/>
          <w:lang w:val="en-US"/>
        </w:rPr>
        <w:t xml:space="preserve"> could be issued for the benefit of an individual who, in order to avoid arrest, had sought asylum, for instance in a sanctuary.</w:t>
      </w:r>
      <w:r>
        <w:rPr>
          <w:rFonts w:ascii="IFAO-Grec Unicode" w:cs="IFAO-Grec Unicode" w:hAnsi="IFAO-Grec Unicode" w:eastAsia="IFAO-Grec Unicode"/>
          <w:vertAlign w:val="superscript"/>
        </w:rPr>
        <w:footnoteReference w:id="108"/>
      </w:r>
      <w:r>
        <w:rPr>
          <w:rFonts w:ascii="IFAO-Grec Unicode" w:hAnsi="IFAO-Grec Unicode"/>
          <w:rtl w:val="0"/>
          <w:lang w:val="en-US"/>
        </w:rPr>
        <w:t xml:space="preserve"> A temporary refuge from prosecution offered immediate protection, but it could indirectly cause discomfort to the individual, and also some damage to public interest, for instance if the person was prevented from fulfilling an obligation such as taking part in the harvest. There was therefore a mutual interest in suspending prosecution until the individual had accomplished his duties, and a </w:t>
      </w:r>
      <w:r>
        <w:rPr>
          <w:rFonts w:ascii="IFAO-Grec Unicode" w:hAnsi="IFAO-Grec Unicode"/>
          <w:rtl w:val="0"/>
        </w:rPr>
        <w:t>pistis</w:t>
      </w:r>
      <w:r>
        <w:rPr>
          <w:rFonts w:ascii="IFAO-Grec Unicode" w:hAnsi="IFAO-Grec Unicode"/>
          <w:rtl w:val="0"/>
          <w:lang w:val="en-US"/>
        </w:rPr>
        <w:t xml:space="preserve"> worked as a safe-conduct. The juridical concept was supported by a royal ordinance; the nome </w:t>
      </w:r>
      <w:r>
        <w:rPr>
          <w:rFonts w:ascii="IFAO-Grec Unicode" w:hAnsi="IFAO-Grec Unicode"/>
          <w:rtl w:val="0"/>
        </w:rPr>
        <w:t>strategos</w:t>
      </w:r>
      <w:r>
        <w:rPr>
          <w:rFonts w:ascii="IFAO-Grec Unicode" w:hAnsi="IFAO-Grec Unicode"/>
          <w:rtl w:val="0"/>
          <w:lang w:val="en-US"/>
        </w:rPr>
        <w:t xml:space="preserve"> was in charge of issuing the document on behalf of the ruler and of implementing the measure.</w:t>
      </w:r>
      <w:r>
        <w:rPr>
          <w:rFonts w:ascii="IFAO-Grec Unicode" w:cs="IFAO-Grec Unicode" w:hAnsi="IFAO-Grec Unicode" w:eastAsia="IFAO-Grec Unicode"/>
          <w:vertAlign w:val="superscript"/>
        </w:rPr>
        <w:footnoteReference w:id="109"/>
      </w:r>
      <w:r>
        <w:rPr>
          <w:rFonts w:ascii="IFAO-Grec Unicode" w:hAnsi="IFAO-Grec Unicode"/>
          <w:rtl w:val="0"/>
          <w:lang w:val="en-US"/>
        </w:rPr>
        <w:t xml:space="preserve"> From the farmers</w:t>
      </w:r>
      <w:r>
        <w:rPr>
          <w:rFonts w:ascii="IFAO-Grec Unicode" w:hAnsi="IFAO-Grec Unicode" w:hint="default"/>
          <w:rtl w:val="1"/>
        </w:rPr>
        <w:t xml:space="preserve">’ </w:t>
      </w:r>
      <w:r>
        <w:rPr>
          <w:rFonts w:ascii="IFAO-Grec Unicode" w:hAnsi="IFAO-Grec Unicode"/>
          <w:rtl w:val="0"/>
          <w:lang w:val="en-US"/>
        </w:rPr>
        <w:t>perspective, some were molested without justification.</w:t>
      </w:r>
      <w:r>
        <w:rPr>
          <w:rFonts w:ascii="IFAO-Grec Unicode" w:cs="IFAO-Grec Unicode" w:hAnsi="IFAO-Grec Unicode" w:eastAsia="IFAO-Grec Unicode"/>
          <w:vertAlign w:val="superscript"/>
        </w:rPr>
        <w:footnoteReference w:id="110"/>
      </w:r>
      <w:r>
        <w:rPr>
          <w:rFonts w:ascii="IFAO-Grec Unicode" w:hAnsi="IFAO-Grec Unicode"/>
          <w:rtl w:val="0"/>
          <w:lang w:val="en-US"/>
        </w:rPr>
        <w:t xml:space="preserve"> Before a </w:t>
      </w:r>
      <w:r>
        <w:rPr>
          <w:rFonts w:ascii="IFAO-Grec Unicode" w:hAnsi="IFAO-Grec Unicode"/>
          <w:rtl w:val="0"/>
        </w:rPr>
        <w:t>pistis</w:t>
      </w:r>
      <w:r>
        <w:rPr>
          <w:rFonts w:ascii="IFAO-Grec Unicode" w:hAnsi="IFAO-Grec Unicode"/>
          <w:rtl w:val="0"/>
          <w:lang w:val="en-US"/>
        </w:rPr>
        <w:t xml:space="preserve"> became a distinct type of document, the broader concept of temporary protection was already in informal use since the late third century BCE, if not earlier.</w:t>
      </w:r>
      <w:r>
        <w:rPr>
          <w:rFonts w:ascii="IFAO-Grec Unicode" w:cs="IFAO-Grec Unicode" w:hAnsi="IFAO-Grec Unicode" w:eastAsia="IFAO-Grec Unicode"/>
          <w:vertAlign w:val="superscript"/>
        </w:rPr>
        <w:footnoteReference w:id="111"/>
      </w:r>
    </w:p>
    <w:p>
      <w:pPr>
        <w:pStyle w:val="Body"/>
        <w:rPr>
          <w:rFonts w:ascii="IFAO-Grec Unicode" w:cs="IFAO-Grec Unicode" w:hAnsi="IFAO-Grec Unicode" w:eastAsia="IFAO-Grec Unicode"/>
        </w:rPr>
      </w:pPr>
      <w:r>
        <w:rPr>
          <w:rFonts w:ascii="IFAO-Grec Unicode" w:hAnsi="IFAO-Grec Unicode"/>
          <w:rtl w:val="0"/>
          <w:lang w:val="en-US"/>
        </w:rPr>
        <w:t xml:space="preserve">The </w:t>
      </w:r>
      <w:r>
        <w:rPr>
          <w:rFonts w:ascii="IFAO-Grec Unicode" w:hAnsi="IFAO-Grec Unicode"/>
          <w:rtl w:val="0"/>
        </w:rPr>
        <w:t>pistis</w:t>
      </w:r>
      <w:r>
        <w:rPr>
          <w:rFonts w:ascii="IFAO-Grec Unicode" w:hAnsi="IFAO-Grec Unicode"/>
          <w:rtl w:val="0"/>
          <w:lang w:val="en-US"/>
        </w:rPr>
        <w:t xml:space="preserve"> as a definite type of document came into existence between the late second and early first century BCE. It bears some loose relation to the apostils found in petitions, which eventually were detached from the petitions and became separate documents, i.e. warrants.</w:t>
      </w:r>
      <w:r>
        <w:rPr>
          <w:rFonts w:ascii="IFAO-Grec Unicode" w:cs="IFAO-Grec Unicode" w:hAnsi="IFAO-Grec Unicode" w:eastAsia="IFAO-Grec Unicode"/>
          <w:vertAlign w:val="superscript"/>
        </w:rPr>
        <w:footnoteReference w:id="112"/>
      </w:r>
      <w:r>
        <w:rPr>
          <w:rFonts w:ascii="IFAO-Grec Unicode" w:hAnsi="IFAO-Grec Unicode"/>
          <w:rtl w:val="0"/>
          <w:lang w:val="en-US"/>
        </w:rPr>
        <w:t xml:space="preserve"> The difference, however, lies in the fact that the apostils to petitions are not addressed to the person receiving protection, but to an official in charge of granting protection.</w:t>
      </w:r>
      <w:r>
        <w:rPr>
          <w:rFonts w:ascii="IFAO-Grec Unicode" w:cs="IFAO-Grec Unicode" w:hAnsi="IFAO-Grec Unicode" w:eastAsia="IFAO-Grec Unicode"/>
          <w:vertAlign w:val="superscript"/>
        </w:rPr>
        <w:footnoteReference w:id="113"/>
      </w:r>
    </w:p>
    <w:p>
      <w:pPr>
        <w:pStyle w:val="Body"/>
        <w:rPr>
          <w:rFonts w:ascii="IFAO-Grec Unicode" w:cs="IFAO-Grec Unicode" w:hAnsi="IFAO-Grec Unicode" w:eastAsia="IFAO-Grec Unicode"/>
        </w:rPr>
      </w:pPr>
      <w:r>
        <w:rPr>
          <w:rFonts w:ascii="IFAO-Grec Unicode" w:hAnsi="IFAO-Grec Unicode"/>
          <w:rtl w:val="0"/>
          <w:lang w:val="en-US"/>
        </w:rPr>
        <w:t xml:space="preserve">To come back to the </w:t>
      </w:r>
      <w:r>
        <w:rPr>
          <w:rFonts w:ascii="IFAO-Grec Unicode" w:hAnsi="IFAO-Grec Unicode"/>
          <w:rtl w:val="0"/>
        </w:rPr>
        <w:t>strategos</w:t>
      </w:r>
      <w:r>
        <w:rPr>
          <w:rFonts w:ascii="IFAO-Grec Unicode" w:hAnsi="IFAO-Grec Unicode"/>
          <w:rtl w:val="0"/>
          <w:lang w:val="nl-NL"/>
        </w:rPr>
        <w:t xml:space="preserve"> Seleukos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"https://papyri.info/hgv/4890"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BGU 8 1810</w:t>
      </w:r>
      <w:r>
        <w:rPr>
          <w:rFonts w:ascii="IFAO-Grec Unicode" w:cs="IFAO-Grec Unicode" w:hAnsi="IFAO-Grec Unicode" w:eastAsia="IFAO-Grec Unicode"/>
        </w:rPr>
        <w:fldChar w:fldCharType="end" w:fldLock="0"/>
      </w:r>
      <w:r>
        <w:rPr>
          <w:rFonts w:ascii="IFAO-Grec Unicode" w:hAnsi="IFAO-Grec Unicode"/>
          <w:rtl w:val="0"/>
          <w:lang w:val="en-US"/>
        </w:rPr>
        <w:t xml:space="preserve">, in 51 BCE he issued a </w:t>
      </w:r>
      <w:r>
        <w:rPr>
          <w:rFonts w:ascii="IFAO-Grec Unicode" w:hAnsi="IFAO-Grec Unicode"/>
          <w:rtl w:val="0"/>
        </w:rPr>
        <w:t>pistis</w:t>
      </w:r>
      <w:r>
        <w:rPr>
          <w:rFonts w:ascii="IFAO-Grec Unicode" w:hAnsi="IFAO-Grec Unicode"/>
          <w:rtl w:val="0"/>
          <w:lang w:val="en-US"/>
        </w:rPr>
        <w:t xml:space="preserve"> on behalf of a man called Herakleides and of his daughter, granting them a respite of thirty days. In producing the safe-conduct, his scribe used the same general pattern that is also on display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"https://papyri.info/hgv/5566"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PSI 8 969</w:t>
      </w:r>
      <w:r>
        <w:rPr>
          <w:rFonts w:ascii="IFAO-Grec Unicode" w:cs="IFAO-Grec Unicode" w:hAnsi="IFAO-Grec Unicode" w:eastAsia="IFAO-Grec Unicode"/>
        </w:rPr>
        <w:fldChar w:fldCharType="end" w:fldLock="0"/>
      </w:r>
      <w:r>
        <w:rPr>
          <w:rFonts w:ascii="IFAO-Grec Unicode" w:hAnsi="IFAO-Grec Unicode"/>
          <w:rtl w:val="0"/>
          <w:lang w:val="en-US"/>
        </w:rPr>
        <w:t>, with ample top and bottom margins (the left margin is not preserved), and a generous line spacing. Here again, the scribe had to adapt the pattern to a specific use: in the first two lines, the opening [</w:t>
      </w:r>
      <w:r>
        <w:rPr>
          <w:rFonts w:ascii="IFAO-Grec Unicode" w:hAnsi="IFAO-Grec Unicode" w:hint="default"/>
          <w:rtl w:val="0"/>
        </w:rPr>
        <w:t>Σέλ</w:t>
      </w:r>
      <w:r>
        <w:rPr>
          <w:rFonts w:ascii="IFAO-Grec Unicode" w:hAnsi="IFAO-Grec Unicode"/>
          <w:rtl w:val="0"/>
          <w:lang w:val="pt-PT"/>
        </w:rPr>
        <w:t>]</w:t>
      </w:r>
      <w:r>
        <w:rPr>
          <w:rFonts w:ascii="IFAO-Grec Unicode" w:hAnsi="IFAO-Grec Unicode" w:hint="default"/>
          <w:rtl w:val="0"/>
        </w:rPr>
        <w:t xml:space="preserve">ευκος Ἡρακλείδηι Εὐτυχίδου </w:t>
      </w:r>
      <w:r>
        <w:rPr>
          <w:rFonts w:ascii="IFAO-Grec Unicode" w:hAnsi="IFAO-Grec Unicode"/>
          <w:rtl w:val="0"/>
          <w:lang w:val="pt-PT"/>
        </w:rPr>
        <w:t>[</w:t>
      </w:r>
      <w:r>
        <w:rPr>
          <w:rFonts w:ascii="IFAO-Grec Unicode" w:hAnsi="IFAO-Grec Unicode" w:hint="default"/>
          <w:rtl w:val="0"/>
        </w:rPr>
        <w:t>καὶ τ</w:t>
      </w:r>
      <w:r>
        <w:rPr>
          <w:rFonts w:ascii="IFAO-Grec Unicode" w:hAnsi="IFAO-Grec Unicode"/>
          <w:rtl w:val="0"/>
          <w:lang w:val="pt-PT"/>
        </w:rPr>
        <w:t>]</w:t>
      </w:r>
      <w:r>
        <w:rPr>
          <w:rFonts w:ascii="IFAO-Grec Unicode" w:hAnsi="IFAO-Grec Unicode" w:hint="default"/>
          <w:rtl w:val="0"/>
        </w:rPr>
        <w:t>ῆι τούτου θυγατρὶ Εἰρήνηι “</w:t>
      </w:r>
      <w:r>
        <w:rPr>
          <w:rFonts w:ascii="IFAO-Grec Unicode" w:hAnsi="IFAO-Grec Unicode"/>
          <w:rtl w:val="0"/>
          <w:lang w:val="en-US"/>
        </w:rPr>
        <w:t>Seleukos to Herakleides son of Eutychides and to his daughter Eirene</w:t>
      </w:r>
      <w:r>
        <w:rPr>
          <w:rFonts w:ascii="IFAO-Grec Unicode" w:hAnsi="IFAO-Grec Unicode" w:hint="default"/>
          <w:rtl w:val="0"/>
        </w:rPr>
        <w:t xml:space="preserve">” </w:t>
      </w:r>
      <w:r>
        <w:rPr>
          <w:rFonts w:ascii="IFAO-Grec Unicode" w:hAnsi="IFAO-Grec Unicode"/>
          <w:rtl w:val="0"/>
          <w:lang w:val="en-US"/>
        </w:rPr>
        <w:t xml:space="preserve">is close to that of a letter, but it does not include the customary </w:t>
      </w:r>
      <w:r>
        <w:rPr>
          <w:rFonts w:ascii="IFAO-Grec Unicode" w:hAnsi="IFAO-Grec Unicode" w:hint="default"/>
          <w:rtl w:val="0"/>
        </w:rPr>
        <w:t>χαίρειν</w:t>
      </w:r>
      <w:r>
        <w:rPr>
          <w:rFonts w:ascii="IFAO-Grec Unicode" w:hAnsi="IFAO-Grec Unicode"/>
          <w:rtl w:val="0"/>
          <w:lang w:val="en-US"/>
        </w:rPr>
        <w:t xml:space="preserve">, because the </w:t>
      </w:r>
      <w:r>
        <w:rPr>
          <w:rFonts w:ascii="IFAO-Grec Unicode" w:hAnsi="IFAO-Grec Unicode"/>
          <w:rtl w:val="0"/>
        </w:rPr>
        <w:t>strategos</w:t>
      </w:r>
      <w:r>
        <w:rPr>
          <w:rFonts w:ascii="IFAO-Grec Unicode" w:hAnsi="IFAO-Grec Unicode"/>
          <w:rtl w:val="0"/>
          <w:lang w:val="en-US"/>
        </w:rPr>
        <w:t xml:space="preserve"> does not enter an epistolary relationship with the recipient of the document. Likewise, at the end, only a date is provided, shifted to the right, without the greeting (</w:t>
      </w:r>
      <w:r>
        <w:rPr>
          <w:rFonts w:ascii="IFAO-Grec Unicode" w:hAnsi="IFAO-Grec Unicode" w:hint="default"/>
          <w:rtl w:val="0"/>
        </w:rPr>
        <w:t>ἔρρωσο</w:t>
      </w:r>
      <w:r>
        <w:rPr>
          <w:rFonts w:ascii="IFAO-Grec Unicode" w:hAnsi="IFAO-Grec Unicode"/>
          <w:rtl w:val="0"/>
          <w:lang w:val="en-US"/>
        </w:rPr>
        <w:t xml:space="preserve">) that is customary for a proper letter. The date is indispensable because the </w:t>
      </w:r>
      <w:r>
        <w:rPr>
          <w:rFonts w:ascii="IFAO-Grec Unicode" w:hAnsi="IFAO-Grec Unicode"/>
          <w:rtl w:val="0"/>
        </w:rPr>
        <w:t>pistis</w:t>
      </w:r>
      <w:r>
        <w:rPr>
          <w:rFonts w:ascii="IFAO-Grec Unicode" w:hAnsi="IFAO-Grec Unicode"/>
          <w:rtl w:val="0"/>
          <w:lang w:val="en-US"/>
        </w:rPr>
        <w:t xml:space="preserve"> offers a protection of thirty days from the time it is granted.</w:t>
      </w:r>
    </w:p>
    <w:p>
      <w:pPr>
        <w:pStyle w:val="Body"/>
        <w:rPr>
          <w:rFonts w:ascii="IFAO-Grec Unicode" w:cs="IFAO-Grec Unicode" w:hAnsi="IFAO-Grec Unicode" w:eastAsia="IFAO-Grec Unicode"/>
        </w:rPr>
      </w:pPr>
      <w:r>
        <w:rPr>
          <w:rFonts w:ascii="IFAO-Grec Unicode" w:hAnsi="IFAO-Grec Unicode"/>
          <w:rtl w:val="0"/>
          <w:lang w:val="en-US"/>
        </w:rPr>
        <w:t>Four years later, a successor of Seleukos, Eurylochos, issues a similar safe-conduct for another individual and his scribe makes use of the same layout.</w:t>
      </w:r>
      <w:r>
        <w:rPr>
          <w:rFonts w:ascii="IFAO-Grec Unicode" w:cs="IFAO-Grec Unicode" w:hAnsi="IFAO-Grec Unicode" w:eastAsia="IFAO-Grec Unicode"/>
          <w:vertAlign w:val="superscript"/>
        </w:rPr>
        <w:footnoteReference w:id="114"/>
      </w:r>
      <w:r>
        <w:rPr>
          <w:rFonts w:ascii="IFAO-Grec Unicode" w:hAnsi="IFAO-Grec Unicode"/>
          <w:rtl w:val="0"/>
          <w:lang w:val="en-US"/>
        </w:rPr>
        <w:t xml:space="preserve"> From a typological perspective, it seems appropriate to describe the </w:t>
      </w:r>
      <w:r>
        <w:rPr>
          <w:rFonts w:ascii="IFAO-Grec Unicode" w:hAnsi="IFAO-Grec Unicode"/>
          <w:rtl w:val="0"/>
        </w:rPr>
        <w:t>pistis</w:t>
      </w:r>
      <w:r>
        <w:rPr>
          <w:rFonts w:ascii="IFAO-Grec Unicode" w:hAnsi="IFAO-Grec Unicode"/>
          <w:rtl w:val="0"/>
          <w:lang w:val="en-US"/>
        </w:rPr>
        <w:t xml:space="preserve"> as a specific sub-category, with its established rules regarding format, layout and structure: in 7 BCE,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2609</w:t>
      </w:r>
      <w:r>
        <w:rPr>
          <w:rFonts w:ascii="IFAO-Grec Unicode" w:cs="IFAO-Grec Unicode" w:hAnsi="IFAO-Grec Unicode" w:eastAsia="IFAO-Grec Unicode"/>
        </w:rPr>
        <w:fldChar w:fldCharType="end" w:fldLock="0"/>
      </w:r>
      <w:r>
        <w:rPr>
          <w:rFonts w:ascii="IFAO-Grec Unicode" w:hAnsi="IFAO-Grec Unicode"/>
          <w:rtl w:val="0"/>
          <w:lang w:val="en-US"/>
        </w:rPr>
        <w:t xml:space="preserve">, a perfectly preserved </w:t>
      </w:r>
      <w:r>
        <w:rPr>
          <w:rFonts w:ascii="IFAO-Grec Unicode" w:hAnsi="IFAO-Grec Unicode"/>
          <w:rtl w:val="0"/>
        </w:rPr>
        <w:t>pistis</w:t>
      </w:r>
      <w:r>
        <w:rPr>
          <w:rFonts w:ascii="IFAO-Grec Unicode" w:hAnsi="IFAO-Grec Unicode"/>
          <w:rtl w:val="0"/>
          <w:lang w:val="en-US"/>
        </w:rPr>
        <w:t xml:space="preserve"> from the Herakleopolite nome displays the same squarish sheet size, ample margins (top, bottom, and left, also a narrower right margin after the sheet was cut from the roll) and generous line spacing, as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"https://papyri.info/hgv/4890"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BGU 8 1810</w:t>
      </w:r>
      <w:r>
        <w:rPr>
          <w:rFonts w:ascii="IFAO-Grec Unicode" w:cs="IFAO-Grec Unicode" w:hAnsi="IFAO-Grec Unicode" w:eastAsia="IFAO-Grec Unicode"/>
        </w:rPr>
        <w:fldChar w:fldCharType="end" w:fldLock="0"/>
      </w:r>
      <w:r>
        <w:rPr>
          <w:rFonts w:ascii="IFAO-Grec Unicode" w:hAnsi="IFAO-Grec Unicode"/>
          <w:rtl w:val="0"/>
          <w:lang w:val="en-US"/>
        </w:rPr>
        <w:t xml:space="preserve"> (written more than four decades earlier). The only notable difference is the presence of a greeting </w:t>
      </w:r>
      <w:r>
        <w:rPr>
          <w:rFonts w:ascii="IFAO-Grec Unicode" w:hAnsi="IFAO-Grec Unicode" w:hint="default"/>
          <w:rtl w:val="0"/>
        </w:rPr>
        <w:t xml:space="preserve">χαίρειν </w:t>
      </w:r>
      <w:r>
        <w:rPr>
          <w:rFonts w:ascii="IFAO-Grec Unicode" w:hAnsi="IFAO-Grec Unicode"/>
          <w:rtl w:val="0"/>
          <w:lang w:val="en-US"/>
        </w:rPr>
        <w:t>in the opening.</w:t>
      </w:r>
      <w:r>
        <w:rPr>
          <w:rFonts w:ascii="IFAO-Grec Unicode" w:hAnsi="IFAO-Grec Unicode"/>
          <w:rtl w:val="0"/>
          <w:lang w:val="de-DE"/>
        </w:rPr>
        <w:t xml:space="preserve"> [[[</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15</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"https://papyri.info/hgv/23332"</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16 2609</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25251.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"https://berlpap.smb.museum/05162/"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https://berlpap.smb.museum/05162/</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This is clearly an adaptation from the letter type: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2610</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2611</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2612</w:t>
      </w:r>
      <w:r>
        <w:rPr>
          <w:rFonts w:ascii="IFAO-Grec Unicode" w:cs="IFAO-Grec Unicode" w:hAnsi="IFAO-Grec Unicode" w:eastAsia="IFAO-Grec Unicode"/>
        </w:rPr>
        <w:fldChar w:fldCharType="end" w:fldLock="0"/>
      </w:r>
      <w:r>
        <w:rPr>
          <w:rFonts w:ascii="IFAO-Grec Unicode" w:hAnsi="IFAO-Grec Unicode"/>
          <w:rtl w:val="0"/>
          <w:lang w:val="en-US"/>
        </w:rPr>
        <w:t xml:space="preserve">, which belong to the Athenodoros Archive, are letters, written by the same scribe as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2609</w:t>
      </w:r>
      <w:r>
        <w:rPr>
          <w:rFonts w:ascii="IFAO-Grec Unicode" w:cs="IFAO-Grec Unicode" w:hAnsi="IFAO-Grec Unicode" w:eastAsia="IFAO-Grec Unicode"/>
        </w:rPr>
        <w:fldChar w:fldCharType="end" w:fldLock="0"/>
      </w:r>
      <w:r>
        <w:rPr>
          <w:rFonts w:ascii="IFAO-Grec Unicode" w:hAnsi="IFAO-Grec Unicode"/>
          <w:rtl w:val="0"/>
          <w:lang w:val="en-US"/>
        </w:rPr>
        <w:t>, and they follow the same broad typological pattern.</w:t>
      </w:r>
    </w:p>
    <w:p>
      <w:pPr>
        <w:pStyle w:val="Body"/>
        <w:rPr>
          <w:rFonts w:ascii="IFAO-Grec Unicode" w:cs="IFAO-Grec Unicode" w:hAnsi="IFAO-Grec Unicode" w:eastAsia="IFAO-Grec Unicode"/>
        </w:rPr>
      </w:pPr>
      <w:r>
        <w:rPr>
          <w:rFonts w:ascii="IFAO-Grec Unicode" w:hAnsi="IFAO-Grec Unicode"/>
          <w:rtl w:val="0"/>
          <w:lang w:val="en-US"/>
        </w:rPr>
        <w:t xml:space="preserve">Another </w:t>
      </w:r>
      <w:r>
        <w:rPr>
          <w:rFonts w:ascii="IFAO-Grec Unicode" w:hAnsi="IFAO-Grec Unicode"/>
          <w:rtl w:val="0"/>
        </w:rPr>
        <w:t>pistis</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"https://papyri.info/hgv/5704"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SB 5 7636</w:t>
      </w:r>
      <w:r>
        <w:rPr>
          <w:rFonts w:ascii="IFAO-Grec Unicode" w:cs="IFAO-Grec Unicode" w:hAnsi="IFAO-Grec Unicode" w:eastAsia="IFAO-Grec Unicode"/>
        </w:rPr>
        <w:fldChar w:fldCharType="end" w:fldLock="0"/>
      </w:r>
      <w:r>
        <w:rPr>
          <w:rFonts w:ascii="IFAO-Grec Unicode" w:hAnsi="IFAO-Grec Unicode"/>
          <w:rtl w:val="0"/>
          <w:lang w:val="en-US"/>
        </w:rPr>
        <w:t xml:space="preserve"> (70 or 41 BCE, provenance unknown), follows a similar pattern, opening with the name of the </w:t>
      </w:r>
      <w:r>
        <w:rPr>
          <w:rFonts w:ascii="IFAO-Grec Unicode" w:hAnsi="IFAO-Grec Unicode"/>
          <w:rtl w:val="0"/>
        </w:rPr>
        <w:t>strategos</w:t>
      </w:r>
      <w:r>
        <w:rPr>
          <w:rFonts w:ascii="IFAO-Grec Unicode" w:hAnsi="IFAO-Grec Unicode"/>
          <w:rtl w:val="0"/>
          <w:lang w:val="en-US"/>
        </w:rPr>
        <w:t xml:space="preserve"> followed by the addressee and his father (but no </w:t>
      </w:r>
      <w:r>
        <w:rPr>
          <w:rFonts w:ascii="IFAO-Grec Unicode" w:hAnsi="IFAO-Grec Unicode" w:hint="default"/>
          <w:rtl w:val="0"/>
        </w:rPr>
        <w:t>χαίρειν</w:t>
      </w:r>
      <w:r>
        <w:rPr>
          <w:rFonts w:ascii="IFAO-Grec Unicode" w:hAnsi="IFAO-Grec Unicode"/>
          <w:rtl w:val="0"/>
          <w:lang w:val="en-US"/>
        </w:rPr>
        <w:t xml:space="preserve">). The main text ends with the date (but no </w:t>
      </w:r>
      <w:r>
        <w:rPr>
          <w:rFonts w:ascii="IFAO-Grec Unicode" w:hAnsi="IFAO-Grec Unicode" w:hint="default"/>
          <w:rtl w:val="0"/>
        </w:rPr>
        <w:t>ἔρρωσο</w:t>
      </w:r>
      <w:r>
        <w:rPr>
          <w:rFonts w:ascii="IFAO-Grec Unicode" w:hAnsi="IFAO-Grec Unicode"/>
          <w:rtl w:val="0"/>
          <w:lang w:val="en-US"/>
        </w:rPr>
        <w:t xml:space="preserve">). The text seems entirely preserved, although the top margin is missing. In the bottom margin, the </w:t>
      </w:r>
      <w:r>
        <w:rPr>
          <w:rFonts w:ascii="IFAO-Grec Unicode" w:hAnsi="IFAO-Grec Unicode"/>
          <w:rtl w:val="0"/>
        </w:rPr>
        <w:t>strategos</w:t>
      </w:r>
      <w:r>
        <w:rPr>
          <w:rFonts w:ascii="IFAO-Grec Unicode" w:hAnsi="IFAO-Grec Unicode"/>
          <w:rtl w:val="0"/>
          <w:lang w:val="en-US"/>
        </w:rPr>
        <w:t xml:space="preserve"> instructed his scribe to add a personal remark (10-13): </w:t>
      </w:r>
      <w:r>
        <w:rPr>
          <w:rFonts w:ascii="IFAO-Grec Unicode" w:hAnsi="IFAO-Grec Unicode" w:hint="default"/>
          <w:rtl w:val="0"/>
        </w:rPr>
        <w:t>ἔδει δὲ μὴ ἀλόγως ὑμᾶς κεχωρίσθαι</w:t>
      </w:r>
      <w:r>
        <w:rPr>
          <w:rFonts w:ascii="IFAO-Grec Unicode" w:hAnsi="IFAO-Grec Unicode"/>
          <w:rtl w:val="0"/>
        </w:rPr>
        <w:t xml:space="preserve">. </w:t>
      </w:r>
      <w:r>
        <w:rPr>
          <w:rFonts w:ascii="IFAO-Grec Unicode" w:hAnsi="IFAO-Grec Unicode" w:hint="default"/>
          <w:rtl w:val="0"/>
        </w:rPr>
        <w:t>τίς γὰρ ὑμᾶς ἐξέβαλε ἢ τί ἠδικήθητε</w:t>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But you should not have been excluded without reason. For who expelled you, or what wrong did you suffer?</w:t>
      </w:r>
      <w:r>
        <w:rPr>
          <w:rFonts w:ascii="IFAO-Grec Unicode" w:hAnsi="IFAO-Grec Unicode" w:hint="default"/>
          <w:rtl w:val="0"/>
        </w:rPr>
        <w:t xml:space="preserve">” </w:t>
      </w:r>
      <w:r>
        <w:rPr>
          <w:rFonts w:ascii="IFAO-Grec Unicode" w:hAnsi="IFAO-Grec Unicode"/>
          <w:rtl w:val="0"/>
          <w:lang w:val="en-US"/>
        </w:rPr>
        <w:t xml:space="preserve">The general appearance of the document, the preserved margins, as well as the loose writing style, suggest a less formal production in this case, and the </w:t>
      </w:r>
      <w:r>
        <w:rPr>
          <w:rFonts w:ascii="IFAO-Grec Unicode" w:hAnsi="IFAO-Grec Unicode"/>
          <w:rtl w:val="0"/>
        </w:rPr>
        <w:t>strategos</w:t>
      </w:r>
      <w:r>
        <w:rPr>
          <w:rFonts w:ascii="IFAO-Grec Unicode" w:hAnsi="IFAO-Grec Unicode" w:hint="default"/>
          <w:rtl w:val="1"/>
        </w:rPr>
        <w:t xml:space="preserve">’ </w:t>
      </w:r>
      <w:r>
        <w:rPr>
          <w:rFonts w:ascii="IFAO-Grec Unicode" w:hAnsi="IFAO-Grec Unicode"/>
          <w:rtl w:val="0"/>
          <w:lang w:val="en-US"/>
        </w:rPr>
        <w:t xml:space="preserve">personal remark added in the bottom margin strengthens this impression. Nonetheless, the shaping of the text, together with the generous margin below the </w:t>
      </w:r>
      <w:r>
        <w:rPr>
          <w:rFonts w:ascii="IFAO-Grec Unicode" w:hAnsi="IFAO-Grec Unicode"/>
          <w:rtl w:val="0"/>
        </w:rPr>
        <w:t>pistis</w:t>
      </w:r>
      <w:r>
        <w:rPr>
          <w:rFonts w:ascii="IFAO-Grec Unicode" w:hAnsi="IFAO-Grec Unicode"/>
          <w:rtl w:val="0"/>
          <w:lang w:val="en-US"/>
        </w:rPr>
        <w:t>, confirms the existence of a basic pattern for producing such a document.</w:t>
      </w:r>
    </w:p>
    <w:p>
      <w:pPr>
        <w:pStyle w:val="Body"/>
        <w:rPr>
          <w:rFonts w:ascii="IFAO-Grec Unicode" w:cs="IFAO-Grec Unicode" w:hAnsi="IFAO-Grec Unicode" w:eastAsia="IFAO-Grec Unicode"/>
        </w:rPr>
      </w:pPr>
      <w:r>
        <w:rPr>
          <w:rFonts w:ascii="IFAO-Grec Unicode" w:hAnsi="IFAO-Grec Unicode"/>
          <w:rtl w:val="0"/>
          <w:lang w:val="en-US"/>
        </w:rPr>
        <w:t xml:space="preserve">The </w:t>
      </w:r>
      <w:r>
        <w:rPr>
          <w:rFonts w:ascii="IFAO-Grec Unicode" w:hAnsi="IFAO-Grec Unicode"/>
          <w:rtl w:val="0"/>
        </w:rPr>
        <w:t>pisteis</w:t>
      </w:r>
      <w:r>
        <w:rPr>
          <w:rFonts w:ascii="IFAO-Grec Unicode" w:hAnsi="IFAO-Grec Unicode"/>
          <w:rtl w:val="0"/>
          <w:lang w:val="en-US"/>
        </w:rPr>
        <w:t xml:space="preserve"> further illustrate some of the principles followed by scribes in this period. First, the writers can borrow from the rules of a general type, such as a letter, and adapt the formulation to fit the specific purpose of the </w:t>
      </w:r>
      <w:r>
        <w:rPr>
          <w:rFonts w:ascii="IFAO-Grec Unicode" w:hAnsi="IFAO-Grec Unicode"/>
          <w:rtl w:val="0"/>
        </w:rPr>
        <w:t>pistis</w:t>
      </w:r>
      <w:r>
        <w:rPr>
          <w:rFonts w:ascii="IFAO-Grec Unicode" w:hAnsi="IFAO-Grec Unicode"/>
          <w:rtl w:val="0"/>
          <w:lang w:val="en-US"/>
        </w:rPr>
        <w:t xml:space="preserve"> (e.g. omitting the customary initial </w:t>
      </w:r>
      <w:r>
        <w:rPr>
          <w:rFonts w:ascii="IFAO-Grec Unicode" w:hAnsi="IFAO-Grec Unicode" w:hint="default"/>
          <w:rtl w:val="0"/>
        </w:rPr>
        <w:t xml:space="preserve">χαίρειν </w:t>
      </w:r>
      <w:r>
        <w:rPr>
          <w:rFonts w:ascii="IFAO-Grec Unicode" w:hAnsi="IFAO-Grec Unicode"/>
          <w:rtl w:val="0"/>
          <w:lang w:val="en-US"/>
        </w:rPr>
        <w:t xml:space="preserve">in some cases, as well as the final </w:t>
      </w:r>
      <w:r>
        <w:rPr>
          <w:rFonts w:ascii="IFAO-Grec Unicode" w:hAnsi="IFAO-Grec Unicode" w:hint="default"/>
          <w:rtl w:val="0"/>
        </w:rPr>
        <w:t>ἔρρωσο</w:t>
      </w:r>
      <w:r>
        <w:rPr>
          <w:rFonts w:ascii="IFAO-Grec Unicode" w:hAnsi="IFAO-Grec Unicode"/>
          <w:rtl w:val="0"/>
          <w:lang w:val="en-US"/>
        </w:rPr>
        <w:t>). Second, they can apply the layout that prevails for letters by producing a block of text that is placed against the right edge of the sheet (minimal right margin), leaving space above, below, and to the left.</w:t>
      </w:r>
    </w:p>
    <w:p>
      <w:pPr>
        <w:pStyle w:val="Body"/>
        <w:rPr>
          <w:rFonts w:ascii="IFAO-Grec Unicode" w:cs="IFAO-Grec Unicode" w:hAnsi="IFAO-Grec Unicode" w:eastAsia="IFAO-Grec Unicode"/>
        </w:rPr>
      </w:pPr>
      <w:r>
        <w:rPr>
          <w:rFonts w:ascii="IFAO-Grec Unicode" w:hAnsi="IFAO-Grec Unicode"/>
          <w:rtl w:val="0"/>
          <w:lang w:val="en-US"/>
        </w:rPr>
        <w:t>This double pattern was not introduced in the reign of Cleopatra but is attested earlier: for example, in a series of sixteen bank receipts from the Herakleopolite nome, dating all from 82 BCE, a consistent model can be identified.</w:t>
      </w:r>
      <w:r>
        <w:rPr>
          <w:rFonts w:ascii="IFAO-Grec Unicode" w:cs="IFAO-Grec Unicode" w:hAnsi="IFAO-Grec Unicode" w:eastAsia="IFAO-Grec Unicode"/>
          <w:vertAlign w:val="superscript"/>
        </w:rPr>
        <w:footnoteReference w:id="115"/>
      </w:r>
      <w:r>
        <w:rPr>
          <w:rFonts w:ascii="IFAO-Grec Unicode" w:hAnsi="IFAO-Grec Unicode"/>
          <w:rtl w:val="0"/>
          <w:lang w:val="en-US"/>
        </w:rPr>
        <w:t xml:space="preserve"> To this batch may be added an additional series of twenty-four receipts from the years 87-85 BCE, which indicates that both groups were extracted from mummy cartonnage found in Abusir al-Malaq.</w:t>
      </w:r>
      <w:r>
        <w:rPr>
          <w:rFonts w:ascii="IFAO-Grec Unicode" w:cs="IFAO-Grec Unicode" w:hAnsi="IFAO-Grec Unicode" w:eastAsia="IFAO-Grec Unicode"/>
          <w:vertAlign w:val="superscript"/>
        </w:rPr>
        <w:footnoteReference w:id="116"/>
      </w:r>
      <w:r>
        <w:rPr>
          <w:rFonts w:ascii="IFAO-Grec Unicode" w:hAnsi="IFAO-Grec Unicode"/>
          <w:rtl w:val="0"/>
          <w:lang w:val="en-US"/>
        </w:rPr>
        <w:t xml:space="preserve"> They carry a letter opening (with </w:t>
      </w:r>
      <w:r>
        <w:rPr>
          <w:rFonts w:ascii="IFAO-Grec Unicode" w:hAnsi="IFAO-Grec Unicode" w:hint="default"/>
          <w:rtl w:val="0"/>
        </w:rPr>
        <w:t>χαίρειν</w:t>
      </w:r>
      <w:r>
        <w:rPr>
          <w:rFonts w:ascii="IFAO-Grec Unicode" w:hAnsi="IFAO-Grec Unicode"/>
          <w:rtl w:val="0"/>
          <w:lang w:val="en-US"/>
        </w:rPr>
        <w:t xml:space="preserve">), and they end with a date but no final </w:t>
      </w:r>
      <w:r>
        <w:rPr>
          <w:rFonts w:ascii="IFAO-Grec Unicode" w:hAnsi="IFAO-Grec Unicode" w:hint="default"/>
          <w:rtl w:val="0"/>
        </w:rPr>
        <w:t>ἔρρωσο</w:t>
      </w:r>
      <w:r>
        <w:rPr>
          <w:rFonts w:ascii="IFAO-Grec Unicode" w:hAnsi="IFAO-Grec Unicode"/>
          <w:rtl w:val="0"/>
        </w:rPr>
        <w:t>.</w:t>
      </w:r>
      <w:r>
        <w:rPr>
          <w:rFonts w:ascii="IFAO-Grec Unicode" w:cs="IFAO-Grec Unicode" w:hAnsi="IFAO-Grec Unicode" w:eastAsia="IFAO-Grec Unicode"/>
          <w:vertAlign w:val="superscript"/>
        </w:rPr>
        <w:footnoteReference w:id="117"/>
      </w:r>
      <w:r>
        <w:rPr>
          <w:rFonts w:ascii="IFAO-Grec Unicode" w:hAnsi="IFAO-Grec Unicode"/>
          <w:rtl w:val="0"/>
          <w:lang w:val="en-US"/>
        </w:rPr>
        <w:t xml:space="preserve"> The layout of the text is similar to several types described above, with a block of text placed against the right edge of the sheet (minimal right margin), and ample margins at the top and bottom, as well as a narrower margin on the left. The interlinear spacing is, here too, quite generous. In the following example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"https://papyri.info/hgv/4055"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14 2403</w:t>
      </w:r>
      <w:r>
        <w:rPr>
          <w:rFonts w:ascii="IFAO-Grec Unicode" w:cs="IFAO-Grec Unicode" w:hAnsi="IFAO-Grec Unicode" w:eastAsia="IFAO-Grec Unicode"/>
        </w:rPr>
        <w:fldChar w:fldCharType="end" w:fldLock="0"/>
      </w:r>
      <w:r>
        <w:rPr>
          <w:rFonts w:ascii="IFAO-Grec Unicode" w:hAnsi="IFAO-Grec Unicode"/>
          <w:rtl w:val="0"/>
          <w:lang w:val="en-US"/>
        </w:rPr>
        <w:t>), the receipt was cancelled by being crossed out.</w:t>
      </w:r>
      <w:r>
        <w:rPr>
          <w:rFonts w:ascii="IFAO-Grec Unicode" w:hAnsi="IFAO-Grec Unicode"/>
          <w:rtl w:val="0"/>
          <w:lang w:val="de-DE"/>
        </w:rPr>
        <w:t xml:space="preserve"> [[[</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16</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"https://papyri.info/hgv/4055"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14 2403</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25198.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"https://berlpap.smb.museum/05108/"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https://berlpap.smb.museum/05108/</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Declarations on oath</w:t>
      </w:r>
    </w:p>
    <w:p>
      <w:pPr>
        <w:pStyle w:val="Body"/>
        <w:rPr>
          <w:rFonts w:ascii="IFAO-Grec Unicode" w:cs="IFAO-Grec Unicode" w:hAnsi="IFAO-Grec Unicode" w:eastAsia="IFAO-Grec Unicode"/>
        </w:rPr>
      </w:pPr>
      <w:r>
        <w:rPr>
          <w:rFonts w:ascii="IFAO-Grec Unicode" w:hAnsi="IFAO-Grec Unicode"/>
          <w:rtl w:val="0"/>
          <w:lang w:val="en-US"/>
        </w:rPr>
        <w:t>Among the documents recovered from cartonnage found in Abusir al-Malaq, there are several declarations on oath that display a consistent format and layout. Those features are not specific to the Herakleopolite nome: they are also attested in a similar document from the Arsinoite nome.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b w:val="1"/>
          <w:bCs w:val="1"/>
          <w:rtl w:val="0"/>
          <w:lang w:val="fr-FR"/>
        </w:rPr>
        <w:t>Table 4</w:t>
      </w:r>
      <w:r>
        <w:rPr>
          <w:rFonts w:ascii="IFAO-Grec Unicode" w:hAnsi="IFAO-Grec Unicode"/>
          <w:rtl w:val="0"/>
          <w:lang w:val="en-US"/>
        </w:rPr>
        <w:t xml:space="preserve"> Dimensions of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"https://papyri.info/hgv/23312"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2589</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"https://papyri.info/hgv/9228"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2 543</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2590</w:t>
      </w:r>
      <w:r>
        <w:rPr>
          <w:rFonts w:ascii="IFAO-Grec Unicode" w:cs="IFAO-Grec Unicode" w:hAnsi="IFAO-Grec Unicode" w:eastAsia="IFAO-Grec Unicode"/>
        </w:rPr>
        <w:fldChar w:fldCharType="end" w:fldLock="0"/>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"https://papyri.info/hgv/23314"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2591</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"https://papyri.info/hgv/23315"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2592</w:t>
      </w:r>
      <w:r>
        <w:rPr>
          <w:rFonts w:ascii="IFAO-Grec Unicode" w:cs="IFAO-Grec Unicode" w:hAnsi="IFAO-Grec Unicode" w:eastAsia="IFAO-Grec Unicode"/>
        </w:rPr>
        <w:fldChar w:fldCharType="end" w:fldLock="0"/>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tbl>
      <w:tblPr>
        <w:tblW w:w="906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110"/>
        <w:gridCol w:w="1169"/>
        <w:gridCol w:w="1470"/>
        <w:gridCol w:w="750"/>
        <w:gridCol w:w="753"/>
        <w:gridCol w:w="3814"/>
      </w:tblGrid>
      <w:tr>
        <w:tblPrEx>
          <w:shd w:val="clear" w:color="auto" w:fill="cad1d7"/>
        </w:tblPrEx>
        <w:trPr>
          <w:trHeight w:val="227" w:hRule="atLeast"/>
        </w:trPr>
        <w:tc>
          <w:tcPr>
            <w:tcW w:type="dxa" w:w="1110"/>
            <w:tcBorders>
              <w:top w:val="nil"/>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reference</w:t>
            </w:r>
          </w:p>
        </w:tc>
        <w:tc>
          <w:tcPr>
            <w:tcW w:type="dxa" w:w="116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date</w:t>
            </w:r>
          </w:p>
        </w:tc>
        <w:tc>
          <w:tcPr>
            <w:tcW w:type="dxa" w:w="1470"/>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provenance</w:t>
            </w:r>
          </w:p>
        </w:tc>
        <w:tc>
          <w:tcPr>
            <w:tcW w:type="dxa" w:w="749"/>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height</w:t>
            </w:r>
          </w:p>
        </w:tc>
        <w:tc>
          <w:tcPr>
            <w:tcW w:type="dxa" w:w="753"/>
            <w:tcBorders>
              <w:top w:val="nil"/>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b w:val="1"/>
                <w:bCs w:val="1"/>
                <w:sz w:val="20"/>
                <w:szCs w:val="20"/>
                <w:shd w:val="nil" w:color="auto" w:fill="auto"/>
                <w:rtl w:val="0"/>
                <w:lang w:val="en-US"/>
              </w:rPr>
              <w:t>width</w:t>
            </w:r>
          </w:p>
        </w:tc>
        <w:tc>
          <w:tcPr>
            <w:tcW w:type="dxa" w:w="3813"/>
            <w:tcBorders>
              <w:top w:val="nil"/>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left"/>
            </w:pPr>
            <w:r>
              <w:rPr>
                <w:b w:val="1"/>
                <w:bCs w:val="1"/>
                <w:sz w:val="20"/>
                <w:szCs w:val="20"/>
                <w:shd w:val="nil" w:color="auto" w:fill="auto"/>
                <w:rtl w:val="0"/>
                <w:lang w:val="en-US"/>
              </w:rPr>
              <w:t>margins</w:t>
            </w:r>
          </w:p>
        </w:tc>
      </w:tr>
      <w:tr>
        <w:tblPrEx>
          <w:shd w:val="clear" w:color="auto" w:fill="cad1d7"/>
        </w:tblPrEx>
        <w:trPr>
          <w:trHeight w:val="442" w:hRule="atLeast"/>
        </w:trPr>
        <w:tc>
          <w:tcPr>
            <w:tcW w:type="dxa" w:w="111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"https://papyri.info/hgv/23312"</w:instrText>
            </w:r>
            <w:r>
              <w:rPr>
                <w:rStyle w:val="Hyperlink.5"/>
                <w:sz w:val="20"/>
                <w:szCs w:val="20"/>
              </w:rPr>
              <w:fldChar w:fldCharType="separate" w:fldLock="0"/>
            </w:r>
            <w:r>
              <w:rPr>
                <w:rStyle w:val="Hyperlink.5"/>
                <w:sz w:val="20"/>
                <w:szCs w:val="20"/>
                <w:rtl w:val="0"/>
                <w:lang w:val="en-US"/>
              </w:rPr>
              <w:t>BGU 16 2589</w:t>
            </w:r>
            <w:r>
              <w:rPr>
                <w:sz w:val="20"/>
                <w:szCs w:val="20"/>
              </w:rPr>
              <w:fldChar w:fldCharType="end" w:fldLock="0"/>
            </w:r>
          </w:p>
        </w:tc>
        <w:tc>
          <w:tcPr>
            <w:tcW w:type="dxa" w:w="1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28 BCE</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z w:val="20"/>
                <w:szCs w:val="20"/>
                <w:shd w:val="nil" w:color="auto" w:fill="auto"/>
              </w:rPr>
            </w:pPr>
            <w:r>
              <w:rPr>
                <w:sz w:val="20"/>
                <w:szCs w:val="20"/>
                <w:shd w:val="nil" w:color="auto" w:fill="auto"/>
                <w:rtl w:val="0"/>
                <w:lang w:val="en-US"/>
              </w:rPr>
              <w:t>Techtho</w:t>
            </w:r>
          </w:p>
          <w:p>
            <w:pPr>
              <w:pStyle w:val="Body"/>
              <w:bidi w:val="0"/>
              <w:ind w:left="0" w:right="0" w:firstLine="0"/>
              <w:jc w:val="left"/>
              <w:rPr>
                <w:rtl w:val="0"/>
              </w:rPr>
            </w:pPr>
            <w:r>
              <w:rPr>
                <w:sz w:val="20"/>
                <w:szCs w:val="20"/>
                <w:shd w:val="nil" w:color="auto" w:fill="auto"/>
                <w:rtl w:val="0"/>
                <w:lang w:val="en-US"/>
              </w:rPr>
              <w:t>Herakl. nome</w:t>
            </w:r>
          </w:p>
        </w:tc>
        <w:tc>
          <w:tcPr>
            <w:tcW w:type="dxa" w:w="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27</w:t>
            </w:r>
          </w:p>
        </w:tc>
        <w:tc>
          <w:tcPr>
            <w:tcW w:type="dxa" w:w="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15.8</w:t>
            </w:r>
          </w:p>
        </w:tc>
        <w:tc>
          <w:tcPr>
            <w:tcW w:type="dxa" w:w="381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ca. 15.2 cm, bottom 4.3 cm, left ca. 1.2 cm, right ca. 1.3 cm.</w:t>
            </w:r>
          </w:p>
        </w:tc>
      </w:tr>
      <w:tr>
        <w:tblPrEx>
          <w:shd w:val="clear" w:color="auto" w:fill="cad1d7"/>
        </w:tblPrEx>
        <w:trPr>
          <w:trHeight w:val="662" w:hRule="atLeast"/>
        </w:trPr>
        <w:tc>
          <w:tcPr>
            <w:tcW w:type="dxa" w:w="111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"https://papyri.info/hgv/9228"</w:instrText>
            </w:r>
            <w:r>
              <w:rPr>
                <w:rStyle w:val="Hyperlink.5"/>
                <w:sz w:val="20"/>
                <w:szCs w:val="20"/>
              </w:rPr>
              <w:fldChar w:fldCharType="separate" w:fldLock="0"/>
            </w:r>
            <w:r>
              <w:rPr>
                <w:rStyle w:val="Hyperlink.5"/>
                <w:sz w:val="20"/>
                <w:szCs w:val="20"/>
                <w:rtl w:val="0"/>
                <w:lang w:val="en-US"/>
              </w:rPr>
              <w:t>BGU 2 543</w:t>
            </w:r>
            <w:r>
              <w:rPr>
                <w:sz w:val="20"/>
                <w:szCs w:val="20"/>
              </w:rPr>
              <w:fldChar w:fldCharType="end" w:fldLock="0"/>
            </w:r>
          </w:p>
        </w:tc>
        <w:tc>
          <w:tcPr>
            <w:tcW w:type="dxa" w:w="1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27 BCE</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z w:val="20"/>
                <w:szCs w:val="20"/>
                <w:shd w:val="nil" w:color="auto" w:fill="auto"/>
              </w:rPr>
            </w:pPr>
            <w:r>
              <w:rPr>
                <w:sz w:val="20"/>
                <w:szCs w:val="20"/>
                <w:shd w:val="nil" w:color="auto" w:fill="auto"/>
                <w:rtl w:val="0"/>
                <w:lang w:val="en-US"/>
              </w:rPr>
              <w:t>Aueris</w:t>
            </w:r>
          </w:p>
          <w:p>
            <w:pPr>
              <w:pStyle w:val="Body"/>
              <w:bidi w:val="0"/>
              <w:ind w:left="0" w:right="0" w:firstLine="0"/>
              <w:jc w:val="left"/>
              <w:rPr>
                <w:rtl w:val="0"/>
              </w:rPr>
            </w:pPr>
            <w:r>
              <w:rPr>
                <w:sz w:val="20"/>
                <w:szCs w:val="20"/>
                <w:shd w:val="nil" w:color="auto" w:fill="auto"/>
                <w:rtl w:val="0"/>
                <w:lang w:val="en-US"/>
              </w:rPr>
              <w:t>Ars. nome</w:t>
            </w:r>
          </w:p>
        </w:tc>
        <w:tc>
          <w:tcPr>
            <w:tcW w:type="dxa" w:w="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28</w:t>
            </w:r>
          </w:p>
        </w:tc>
        <w:tc>
          <w:tcPr>
            <w:tcW w:type="dxa" w:w="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12</w:t>
            </w:r>
          </w:p>
        </w:tc>
        <w:tc>
          <w:tcPr>
            <w:tcW w:type="dxa" w:w="381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8 cm, bottom (from line 18, not taking into account subscription written in margin) 9.5 cm, left 1.2 cm, no right margin.</w:t>
            </w:r>
          </w:p>
        </w:tc>
      </w:tr>
      <w:tr>
        <w:tblPrEx>
          <w:shd w:val="clear" w:color="auto" w:fill="cad1d7"/>
        </w:tblPrEx>
        <w:trPr>
          <w:trHeight w:val="662" w:hRule="atLeast"/>
        </w:trPr>
        <w:tc>
          <w:tcPr>
            <w:tcW w:type="dxa" w:w="111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"https://papyri.info/hgv/23313"</w:instrText>
            </w:r>
            <w:r>
              <w:rPr>
                <w:rStyle w:val="Hyperlink.5"/>
                <w:sz w:val="20"/>
                <w:szCs w:val="20"/>
              </w:rPr>
              <w:fldChar w:fldCharType="separate" w:fldLock="0"/>
            </w:r>
            <w:r>
              <w:rPr>
                <w:rStyle w:val="Hyperlink.5"/>
                <w:sz w:val="20"/>
                <w:szCs w:val="20"/>
                <w:rtl w:val="0"/>
                <w:lang w:val="en-US"/>
              </w:rPr>
              <w:t>BGU 16 2590</w:t>
            </w:r>
            <w:r>
              <w:rPr>
                <w:sz w:val="20"/>
                <w:szCs w:val="20"/>
              </w:rPr>
              <w:fldChar w:fldCharType="end" w:fldLock="0"/>
            </w:r>
          </w:p>
        </w:tc>
        <w:tc>
          <w:tcPr>
            <w:tcW w:type="dxa" w:w="1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25 BCE</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z w:val="20"/>
                <w:szCs w:val="20"/>
                <w:shd w:val="nil" w:color="auto" w:fill="auto"/>
              </w:rPr>
            </w:pPr>
            <w:r>
              <w:rPr>
                <w:sz w:val="20"/>
                <w:szCs w:val="20"/>
                <w:shd w:val="nil" w:color="auto" w:fill="auto"/>
                <w:rtl w:val="0"/>
                <w:lang w:val="en-US"/>
              </w:rPr>
              <w:t>Korphotoi</w:t>
            </w:r>
          </w:p>
          <w:p>
            <w:pPr>
              <w:pStyle w:val="Body"/>
              <w:bidi w:val="0"/>
              <w:ind w:left="0" w:right="0" w:firstLine="0"/>
              <w:jc w:val="left"/>
              <w:rPr>
                <w:rtl w:val="0"/>
              </w:rPr>
            </w:pPr>
            <w:r>
              <w:rPr>
                <w:sz w:val="20"/>
                <w:szCs w:val="20"/>
                <w:shd w:val="nil" w:color="auto" w:fill="auto"/>
                <w:rtl w:val="0"/>
                <w:lang w:val="en-US"/>
              </w:rPr>
              <w:t>Herakl. nome</w:t>
            </w:r>
          </w:p>
        </w:tc>
        <w:tc>
          <w:tcPr>
            <w:tcW w:type="dxa" w:w="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29.5</w:t>
            </w:r>
          </w:p>
        </w:tc>
        <w:tc>
          <w:tcPr>
            <w:tcW w:type="dxa" w:w="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rPr>
                <w:sz w:val="20"/>
                <w:szCs w:val="20"/>
                <w:shd w:val="nil" w:color="auto" w:fill="auto"/>
              </w:rPr>
            </w:pPr>
            <w:r>
              <w:rPr>
                <w:sz w:val="20"/>
                <w:szCs w:val="20"/>
                <w:shd w:val="nil" w:color="auto" w:fill="auto"/>
                <w:rtl w:val="0"/>
                <w:lang w:val="en-US"/>
              </w:rPr>
              <w:t>22</w:t>
            </w:r>
          </w:p>
          <w:p>
            <w:pPr>
              <w:pStyle w:val="Body"/>
              <w:bidi w:val="0"/>
              <w:ind w:left="0" w:right="0" w:firstLine="0"/>
              <w:jc w:val="center"/>
              <w:rPr>
                <w:rtl w:val="0"/>
              </w:rPr>
            </w:pPr>
            <w:r>
              <w:rPr>
                <w:sz w:val="20"/>
                <w:szCs w:val="20"/>
                <w:shd w:val="nil" w:color="auto" w:fill="auto"/>
                <w:rtl w:val="0"/>
                <w:lang w:val="en-US"/>
              </w:rPr>
              <w:t>(2 cols.)</w:t>
            </w:r>
          </w:p>
        </w:tc>
        <w:tc>
          <w:tcPr>
            <w:tcW w:type="dxa" w:w="381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min. 6.8 cm, bottom 7.3 cm, left ca. 1.9 cm, no margin on right of col. 2.</w:t>
            </w:r>
          </w:p>
        </w:tc>
      </w:tr>
      <w:tr>
        <w:tblPrEx>
          <w:shd w:val="clear" w:color="auto" w:fill="cad1d7"/>
        </w:tblPrEx>
        <w:trPr>
          <w:trHeight w:val="442" w:hRule="atLeast"/>
        </w:trPr>
        <w:tc>
          <w:tcPr>
            <w:tcW w:type="dxa" w:w="1110"/>
            <w:tcBorders>
              <w:top w:val="single" w:color="000000" w:sz="4" w:space="0" w:shadow="0" w:frame="0"/>
              <w:left w:val="nil"/>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"https://papyri.info/hgv/23314"</w:instrText>
            </w:r>
            <w:r>
              <w:rPr>
                <w:rStyle w:val="Hyperlink.5"/>
                <w:sz w:val="20"/>
                <w:szCs w:val="20"/>
              </w:rPr>
              <w:fldChar w:fldCharType="separate" w:fldLock="0"/>
            </w:r>
            <w:r>
              <w:rPr>
                <w:rStyle w:val="Hyperlink.5"/>
                <w:sz w:val="20"/>
                <w:szCs w:val="20"/>
                <w:rtl w:val="0"/>
                <w:lang w:val="en-US"/>
              </w:rPr>
              <w:t>BGU 16 2591</w:t>
            </w:r>
            <w:r>
              <w:rPr>
                <w:sz w:val="20"/>
                <w:szCs w:val="20"/>
              </w:rPr>
              <w:fldChar w:fldCharType="end" w:fldLock="0"/>
            </w:r>
          </w:p>
        </w:tc>
        <w:tc>
          <w:tcPr>
            <w:tcW w:type="dxa" w:w="1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2 BCE</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left"/>
              <w:rPr>
                <w:sz w:val="20"/>
                <w:szCs w:val="20"/>
                <w:shd w:val="nil" w:color="auto" w:fill="auto"/>
              </w:rPr>
            </w:pPr>
            <w:r>
              <w:rPr>
                <w:sz w:val="20"/>
                <w:szCs w:val="20"/>
                <w:shd w:val="nil" w:color="auto" w:fill="auto"/>
                <w:rtl w:val="0"/>
                <w:lang w:val="en-US"/>
              </w:rPr>
              <w:t>Tertonpetochen</w:t>
            </w:r>
          </w:p>
          <w:p>
            <w:pPr>
              <w:pStyle w:val="Body"/>
              <w:bidi w:val="0"/>
              <w:ind w:left="0" w:right="0" w:firstLine="0"/>
              <w:jc w:val="left"/>
              <w:rPr>
                <w:rtl w:val="0"/>
              </w:rPr>
            </w:pPr>
            <w:r>
              <w:rPr>
                <w:sz w:val="20"/>
                <w:szCs w:val="20"/>
                <w:shd w:val="nil" w:color="auto" w:fill="auto"/>
                <w:rtl w:val="0"/>
                <w:lang w:val="en-US"/>
              </w:rPr>
              <w:t>Herakl. nome</w:t>
            </w:r>
          </w:p>
        </w:tc>
        <w:tc>
          <w:tcPr>
            <w:tcW w:type="dxa" w:w="7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25.2</w:t>
            </w:r>
          </w:p>
        </w:tc>
        <w:tc>
          <w:tcPr>
            <w:tcW w:type="dxa" w:w="7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13.5</w:t>
            </w:r>
          </w:p>
        </w:tc>
        <w:tc>
          <w:tcPr>
            <w:tcW w:type="dxa" w:w="3813"/>
            <w:tcBorders>
              <w:top w:val="single" w:color="000000" w:sz="4" w:space="0" w:shadow="0" w:frame="0"/>
              <w:left w:val="single" w:color="000000" w:sz="4" w:space="0" w:shadow="0" w:frame="0"/>
              <w:bottom w:val="single" w:color="000000" w:sz="4" w:space="0" w:shadow="0" w:frame="0"/>
              <w:right w:val="nil"/>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9.5 cm, bottom 8.5 cm, left 1.5 cm, virtually no right margin.</w:t>
            </w:r>
          </w:p>
        </w:tc>
      </w:tr>
      <w:tr>
        <w:tblPrEx>
          <w:shd w:val="clear" w:color="auto" w:fill="cad1d7"/>
        </w:tblPrEx>
        <w:trPr>
          <w:trHeight w:val="447" w:hRule="atLeast"/>
        </w:trPr>
        <w:tc>
          <w:tcPr>
            <w:tcW w:type="dxa" w:w="1110"/>
            <w:tcBorders>
              <w:top w:val="single" w:color="000000" w:sz="4" w:space="0" w:shadow="0" w:frame="0"/>
              <w:left w:val="nil"/>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rStyle w:val="Hyperlink.5"/>
                <w:sz w:val="20"/>
                <w:szCs w:val="20"/>
              </w:rPr>
              <w:fldChar w:fldCharType="begin" w:fldLock="0"/>
            </w:r>
            <w:r>
              <w:rPr>
                <w:rStyle w:val="Hyperlink.5"/>
                <w:sz w:val="20"/>
                <w:szCs w:val="20"/>
              </w:rPr>
              <w:instrText xml:space="preserve"> HYPERLINK "https://papyri.info/hgv/23315"</w:instrText>
            </w:r>
            <w:r>
              <w:rPr>
                <w:rStyle w:val="Hyperlink.5"/>
                <w:sz w:val="20"/>
                <w:szCs w:val="20"/>
              </w:rPr>
              <w:fldChar w:fldCharType="separate" w:fldLock="0"/>
            </w:r>
            <w:r>
              <w:rPr>
                <w:rStyle w:val="Hyperlink.5"/>
                <w:sz w:val="20"/>
                <w:szCs w:val="20"/>
                <w:rtl w:val="0"/>
                <w:lang w:val="en-US"/>
              </w:rPr>
              <w:t>BGU 16 2592</w:t>
            </w:r>
            <w:r>
              <w:rPr>
                <w:sz w:val="20"/>
                <w:szCs w:val="20"/>
              </w:rPr>
              <w:fldChar w:fldCharType="end" w:fldLock="0"/>
            </w:r>
          </w:p>
        </w:tc>
        <w:tc>
          <w:tcPr>
            <w:tcW w:type="dxa" w:w="116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reign of Augustus</w:t>
            </w:r>
          </w:p>
        </w:tc>
        <w:tc>
          <w:tcPr>
            <w:tcW w:type="dxa" w:w="1470"/>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left"/>
              <w:rPr>
                <w:sz w:val="20"/>
                <w:szCs w:val="20"/>
                <w:shd w:val="nil" w:color="auto" w:fill="auto"/>
              </w:rPr>
            </w:pPr>
            <w:r>
              <w:rPr>
                <w:sz w:val="20"/>
                <w:szCs w:val="20"/>
                <w:shd w:val="nil" w:color="auto" w:fill="auto"/>
                <w:rtl w:val="0"/>
                <w:lang w:val="en-US"/>
              </w:rPr>
              <w:t>Phys</w:t>
            </w:r>
          </w:p>
          <w:p>
            <w:pPr>
              <w:pStyle w:val="Body"/>
              <w:bidi w:val="0"/>
              <w:ind w:left="0" w:right="0" w:firstLine="0"/>
              <w:jc w:val="left"/>
              <w:rPr>
                <w:rtl w:val="0"/>
              </w:rPr>
            </w:pPr>
            <w:r>
              <w:rPr>
                <w:sz w:val="20"/>
                <w:szCs w:val="20"/>
                <w:shd w:val="nil" w:color="auto" w:fill="auto"/>
                <w:rtl w:val="0"/>
                <w:lang w:val="en-US"/>
              </w:rPr>
              <w:t>Herakl. nome</w:t>
            </w:r>
          </w:p>
        </w:tc>
        <w:tc>
          <w:tcPr>
            <w:tcW w:type="dxa" w:w="749"/>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26.5</w:t>
            </w:r>
          </w:p>
        </w:tc>
        <w:tc>
          <w:tcPr>
            <w:tcW w:type="dxa" w:w="753"/>
            <w:tcBorders>
              <w:top w:val="single" w:color="000000" w:sz="4" w:space="0" w:shadow="0" w:frame="0"/>
              <w:left w:val="single" w:color="000000" w:sz="4" w:space="0" w:shadow="0" w:frame="0"/>
              <w:bottom w:val="nil"/>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sz w:val="20"/>
                <w:szCs w:val="20"/>
                <w:shd w:val="nil" w:color="auto" w:fill="auto"/>
                <w:rtl w:val="0"/>
                <w:lang w:val="en-US"/>
              </w:rPr>
              <w:t>20.5</w:t>
            </w:r>
          </w:p>
        </w:tc>
        <w:tc>
          <w:tcPr>
            <w:tcW w:type="dxa" w:w="3813"/>
            <w:tcBorders>
              <w:top w:val="single" w:color="000000" w:sz="4" w:space="0" w:shadow="0" w:frame="0"/>
              <w:left w:val="single" w:color="000000" w:sz="4" w:space="0" w:shadow="0" w:frame="0"/>
              <w:bottom w:val="nil"/>
              <w:right w:val="nil"/>
            </w:tcBorders>
            <w:shd w:val="clear" w:color="auto" w:fill="auto"/>
            <w:tcMar>
              <w:top w:type="dxa" w:w="80"/>
              <w:left w:type="dxa" w:w="80"/>
              <w:bottom w:type="dxa" w:w="80"/>
              <w:right w:type="dxa" w:w="80"/>
            </w:tcMar>
            <w:vAlign w:val="top"/>
          </w:tcPr>
          <w:p>
            <w:pPr>
              <w:pStyle w:val="Body"/>
              <w:jc w:val="left"/>
            </w:pPr>
            <w:r>
              <w:rPr>
                <w:sz w:val="20"/>
                <w:szCs w:val="20"/>
                <w:shd w:val="nil" w:color="auto" w:fill="auto"/>
                <w:rtl w:val="0"/>
                <w:lang w:val="en-US"/>
              </w:rPr>
              <w:t>Top 7 cm, bottom 9 cm, left 2.5 cm, right 7.5 cm.</w:t>
            </w:r>
          </w:p>
        </w:tc>
      </w:tr>
    </w:tbl>
    <w:p>
      <w:pPr>
        <w:pStyle w:val="Body"/>
        <w:widowControl w:val="0"/>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Two items do not fit the pattern of the documents listed above:</w:t>
      </w:r>
    </w:p>
    <w:p>
      <w:pPr>
        <w:pStyle w:val="List Paragraph"/>
        <w:numPr>
          <w:ilvl w:val="0"/>
          <w:numId w:val="4"/>
        </w:numPr>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"https://papyri.info/hgv/23316"</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BGU 16 2593</w:t>
      </w:r>
      <w:r>
        <w:rPr>
          <w:rFonts w:ascii="IFAO-Grec Unicode" w:cs="IFAO-Grec Unicode" w:hAnsi="IFAO-Grec Unicode" w:eastAsia="IFAO-Grec Unicode"/>
        </w:rPr>
        <w:fldChar w:fldCharType="end" w:fldLock="0"/>
      </w:r>
      <w:r>
        <w:rPr>
          <w:rFonts w:ascii="IFAO-Grec Unicode" w:hAnsi="IFAO-Grec Unicode"/>
          <w:rtl w:val="0"/>
          <w:lang w:val="en-US"/>
        </w:rPr>
        <w:t xml:space="preserve"> (reign of Augustus, Phebichis [Herakleopolite nome]) is incomplete but preserves a bottom margin of ca. 5.5 cm (the other margins are lost). It was presumably written with a layout comparable to the five cases listed above.</w:t>
      </w:r>
    </w:p>
    <w:p>
      <w:pPr>
        <w:pStyle w:val="List Paragraph"/>
        <w:numPr>
          <w:ilvl w:val="0"/>
          <w:numId w:val="4"/>
        </w:numPr>
        <w:bidi w:val="0"/>
        <w:ind w:right="0"/>
        <w:jc w:val="both"/>
        <w:rPr>
          <w:rFonts w:ascii="IFAO-Grec Unicode" w:cs="IFAO-Grec Unicode" w:hAnsi="IFAO-Grec Unicode" w:eastAsia="IFAO-Grec Unicode"/>
          <w:rtl w:val="0"/>
          <w:lang w:val="en-US"/>
        </w:rPr>
      </w:pPr>
      <w:r>
        <w:rPr>
          <w:rStyle w:val="Link"/>
          <w:rFonts w:ascii="IFAO-Grec Unicode" w:cs="IFAO-Grec Unicode" w:hAnsi="IFAO-Grec Unicode" w:eastAsia="IFAO-Grec Unicode"/>
          <w:lang w:val="en-US"/>
        </w:rPr>
        <w:fldChar w:fldCharType="begin" w:fldLock="0"/>
      </w:r>
      <w:r>
        <w:rPr>
          <w:rStyle w:val="Link"/>
          <w:rFonts w:ascii="IFAO-Grec Unicode" w:cs="IFAO-Grec Unicode" w:hAnsi="IFAO-Grec Unicode" w:eastAsia="IFAO-Grec Unicode"/>
          <w:lang w:val="en-US"/>
        </w:rPr>
        <w:instrText xml:space="preserve"> HYPERLINK "https://papyri.info/hgv/15484"</w:instrText>
      </w:r>
      <w:r>
        <w:rPr>
          <w:rStyle w:val="Link"/>
          <w:rFonts w:ascii="IFAO-Grec Unicode" w:cs="IFAO-Grec Unicode" w:hAnsi="IFAO-Grec Unicode" w:eastAsia="IFAO-Grec Unicode"/>
          <w:lang w:val="en-US"/>
        </w:rPr>
        <w:fldChar w:fldCharType="separate" w:fldLock="0"/>
      </w:r>
      <w:r>
        <w:rPr>
          <w:rStyle w:val="Link"/>
          <w:rFonts w:ascii="IFAO-Grec Unicode" w:hAnsi="IFAO-Grec Unicode"/>
          <w:rtl w:val="0"/>
          <w:lang w:val="en-US"/>
        </w:rPr>
        <w:t>P.Amst. 1 28</w:t>
      </w:r>
      <w:r>
        <w:rPr>
          <w:rFonts w:ascii="IFAO-Grec Unicode" w:cs="IFAO-Grec Unicode" w:hAnsi="IFAO-Grec Unicode" w:eastAsia="IFAO-Grec Unicode"/>
          <w:lang w:val="en-US"/>
        </w:rPr>
        <w:fldChar w:fldCharType="end" w:fldLock="0"/>
      </w:r>
      <w:r>
        <w:rPr>
          <w:rFonts w:ascii="IFAO-Grec Unicode" w:hAnsi="IFAO-Grec Unicode"/>
          <w:rtl w:val="0"/>
          <w:lang w:val="en-US"/>
        </w:rPr>
        <w:t xml:space="preserve"> (3 BCE, Oxyrhynchite nome [?]) displays a horizontal shape (H 10 cm x W 18 cm), with the text running along the fibres; the margins are narrow (top 2.5 cm, bottom 1 cm, left 2.5 cm, right 1.5 cm). Yet it is not clear whether this is a complete sheet, or if there is a part missing. The text makes two mentions of preceding data that do not appear in the document.</w:t>
      </w:r>
      <w:r>
        <w:rPr>
          <w:rFonts w:ascii="IFAO-Grec Unicode" w:cs="IFAO-Grec Unicode" w:hAnsi="IFAO-Grec Unicode" w:eastAsia="IFAO-Grec Unicode"/>
          <w:vertAlign w:val="superscript"/>
          <w:lang w:val="en-US"/>
        </w:rPr>
        <w:footnoteReference w:id="118"/>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Fonts w:ascii="IFAO-Grec Unicode" w:hAnsi="IFAO-Grec Unicode"/>
          <w:rtl w:val="0"/>
          <w:lang w:val="en-US"/>
        </w:rPr>
        <w:t xml:space="preserve">Several points emerge from this cursory survey. In the table, the four declarations on oath from the Herakleopolite nome originate from four separate villages, but the scribes all followed a similar pattern for producing their documents, and this pattern corresponds to that of other types described above. In the case of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"https://papyri.info/hgv/23313"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2590</w:t>
      </w:r>
      <w:r>
        <w:rPr>
          <w:rFonts w:ascii="IFAO-Grec Unicode" w:cs="IFAO-Grec Unicode" w:hAnsi="IFAO-Grec Unicode" w:eastAsia="IFAO-Grec Unicode"/>
        </w:rPr>
        <w:fldChar w:fldCharType="end" w:fldLock="0"/>
      </w:r>
      <w:r>
        <w:rPr>
          <w:rFonts w:ascii="IFAO-Grec Unicode" w:hAnsi="IFAO-Grec Unicode"/>
          <w:rtl w:val="0"/>
          <w:lang w:val="en-US"/>
        </w:rPr>
        <w:t>, two declarations were made, each occupying a separate column, but the general pattern remains the same as regards the outer margins; the only notable difference lies in the narrow margin between the columns, and in the wider format of the sheet, to accommodate two columns.</w:t>
      </w:r>
    </w:p>
    <w:p>
      <w:pPr>
        <w:pStyle w:val="Body"/>
        <w:rPr>
          <w:rFonts w:ascii="IFAO-Grec Unicode" w:cs="IFAO-Grec Unicode" w:hAnsi="IFAO-Grec Unicode" w:eastAsia="IFAO-Grec Unicode"/>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"https://papyri.info/hgv/23315"</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BGU 16 2592</w:t>
      </w:r>
      <w:r>
        <w:rPr>
          <w:rFonts w:ascii="IFAO-Grec Unicode" w:cs="IFAO-Grec Unicode" w:hAnsi="IFAO-Grec Unicode" w:eastAsia="IFAO-Grec Unicode"/>
        </w:rPr>
        <w:fldChar w:fldCharType="end" w:fldLock="0"/>
      </w:r>
      <w:r>
        <w:rPr>
          <w:rFonts w:ascii="IFAO-Grec Unicode" w:hAnsi="IFAO-Grec Unicode"/>
          <w:rtl w:val="0"/>
          <w:lang w:val="en-US"/>
        </w:rPr>
        <w:t>, a declaration on oath relating to the felling or pruning of trees, also deserves special mention because, contrary to the standard practice, the scribe left a wide margin on the right.</w:t>
      </w:r>
      <w:r>
        <w:rPr>
          <w:rFonts w:ascii="IFAO-Grec Unicode" w:cs="IFAO-Grec Unicode" w:hAnsi="IFAO-Grec Unicode" w:eastAsia="IFAO-Grec Unicode"/>
          <w:vertAlign w:val="superscript"/>
        </w:rPr>
        <w:footnoteReference w:id="119"/>
      </w:r>
      <w:r>
        <w:rPr>
          <w:rFonts w:ascii="IFAO-Grec Unicode" w:hAnsi="IFAO-Grec Unicode"/>
          <w:rtl w:val="0"/>
          <w:lang w:val="en-US"/>
        </w:rPr>
        <w:t xml:space="preserve"> On the basis of the dimensions provided by the editor, and of the image available online, it seems that the sheet </w:t>
      </w:r>
      <w:r>
        <w:rPr>
          <w:rFonts w:ascii="IFAO-Grec Unicode" w:hAnsi="IFAO-Grec Unicode" w:hint="default"/>
          <w:rtl w:val="0"/>
        </w:rPr>
        <w:t xml:space="preserve">– </w:t>
      </w:r>
      <w:r>
        <w:rPr>
          <w:rFonts w:ascii="IFAO-Grec Unicode" w:hAnsi="IFAO-Grec Unicode"/>
          <w:rtl w:val="0"/>
          <w:lang w:val="en-US"/>
        </w:rPr>
        <w:t xml:space="preserve">which was extracted from mummy cartonnage </w:t>
      </w:r>
      <w:r>
        <w:rPr>
          <w:rFonts w:ascii="IFAO-Grec Unicode" w:hAnsi="IFAO-Grec Unicode" w:hint="default"/>
          <w:rtl w:val="0"/>
        </w:rPr>
        <w:t xml:space="preserve">– </w:t>
      </w:r>
      <w:r>
        <w:rPr>
          <w:rFonts w:ascii="IFAO-Grec Unicode" w:hAnsi="IFAO-Grec Unicode"/>
          <w:rtl w:val="0"/>
          <w:lang w:val="en-US"/>
        </w:rPr>
        <w:t>was pasted to another sheet on the left where no writing appears.</w:t>
      </w:r>
      <w:r>
        <w:rPr>
          <w:rFonts w:ascii="IFAO-Grec Unicode" w:hAnsi="IFAO-Grec Unicode"/>
          <w:rtl w:val="0"/>
          <w:lang w:val="de-DE"/>
        </w:rPr>
        <w:t xml:space="preserve"> [[[</w:t>
      </w:r>
      <w:r>
        <w:rPr>
          <w:rFonts w:ascii="IFAO-Grec Unicode" w:hAnsi="IFAO-Grec Unicode"/>
          <w:b w:val="1"/>
          <w:bCs w:val="1"/>
          <w:rtl w:val="0"/>
          <w:lang w:val="de-DE"/>
        </w:rPr>
        <w:t>F</w:t>
      </w:r>
      <w:r>
        <w:rPr>
          <w:rFonts w:ascii="IFAO-Grec Unicode" w:hAnsi="IFAO-Grec Unicode"/>
          <w:b w:val="1"/>
          <w:bCs w:val="1"/>
          <w:rtl w:val="0"/>
          <w:lang w:val="de-DE"/>
        </w:rPr>
        <w:t>IG</w:t>
      </w:r>
      <w:r>
        <w:rPr>
          <w:rFonts w:ascii="IFAO-Grec Unicode" w:hAnsi="IFAO-Grec Unicode"/>
          <w:b w:val="1"/>
          <w:bCs w:val="1"/>
          <w:rtl w:val="0"/>
          <w:lang w:val="de-DE"/>
        </w:rPr>
        <w:t>. 17</w:t>
      </w:r>
      <w:r>
        <w:rPr>
          <w:rFonts w:ascii="IFAO-Grec Unicode" w:hAnsi="IFAO-Grec Unicode"/>
          <w:rtl w:val="0"/>
          <w:lang w:val="de-DE"/>
        </w:rPr>
        <w:t xml:space="preserve"> </w:t>
      </w: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"https://papyri.info/hgv/23315"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BGU 16 2592</w:t>
      </w:r>
      <w:r>
        <w:rPr>
          <w:rFonts w:ascii="IFAO-Grec Unicode" w:cs="IFAO-Grec Unicode" w:hAnsi="IFAO-Grec Unicode" w:eastAsia="IFAO-Grec Unicode"/>
        </w:rPr>
        <w:fldChar w:fldCharType="end" w:fldLock="0"/>
      </w:r>
      <w:r>
        <w:rPr>
          <w:rFonts w:ascii="IFAO-Grec Unicode" w:hAnsi="IFAO-Grec Unicode"/>
          <w:rtl w:val="0"/>
          <w:lang w:val="de-DE"/>
        </w:rPr>
        <w:t>, image and structural display (</w:t>
      </w:r>
      <w:r>
        <w:rPr>
          <w:rFonts w:ascii="IFAO-Grec Unicode" w:hAnsi="IFAO-Grec Unicode" w:hint="default"/>
          <w:rtl w:val="0"/>
          <w:lang w:val="de-DE"/>
        </w:rPr>
        <w:t>Ä</w:t>
      </w:r>
      <w:r>
        <w:rPr>
          <w:rFonts w:ascii="IFAO-Grec Unicode" w:hAnsi="IFAO-Grec Unicode"/>
          <w:rtl w:val="0"/>
          <w:lang w:val="de-DE"/>
        </w:rPr>
        <w:t xml:space="preserve">gyptisches Museum und Papyrussammlung, Staatliche Museen zu Berlin, Berliner Papyrusdatenbank, P 25286.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"https://berlpap.smb.museum/05195/"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https://berlpap.smb.museum/05195/</w:t>
      </w:r>
      <w:r>
        <w:rPr>
          <w:rFonts w:ascii="IFAO-Grec Unicode" w:cs="IFAO-Grec Unicode" w:hAnsi="IFAO-Grec Unicode" w:eastAsia="IFAO-Grec Unicode"/>
        </w:rPr>
        <w:fldChar w:fldCharType="end" w:fldLock="0"/>
      </w:r>
      <w:r>
        <w:rPr>
          <w:rFonts w:ascii="IFAO-Grec Unicode" w:hAnsi="IFAO-Grec Unicode"/>
          <w:rtl w:val="0"/>
        </w:rPr>
        <w:t>).</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In spite of the unusual right margin, among the types described above, this document would compare well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"https://papyri.info/hgv/23375"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2651</w:t>
      </w:r>
      <w:r>
        <w:rPr>
          <w:rFonts w:ascii="IFAO-Grec Unicode" w:cs="IFAO-Grec Unicode" w:hAnsi="IFAO-Grec Unicode" w:eastAsia="IFAO-Grec Unicode"/>
        </w:rPr>
        <w:fldChar w:fldCharType="end" w:fldLock="0"/>
      </w:r>
      <w:r>
        <w:rPr>
          <w:rFonts w:ascii="IFAO-Grec Unicode" w:hAnsi="IFAO-Grec Unicode"/>
          <w:rtl w:val="0"/>
          <w:lang w:val="en-US"/>
        </w:rPr>
        <w:t xml:space="preserve"> (see above, a letter from the Athenodoros archive that was extracted from the same cartonnage),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"https://papyri.info/hgv/78025"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P.Bingen 45</w:t>
      </w:r>
      <w:r>
        <w:rPr>
          <w:rFonts w:ascii="IFAO-Grec Unicode" w:cs="IFAO-Grec Unicode" w:hAnsi="IFAO-Grec Unicode" w:eastAsia="IFAO-Grec Unicode"/>
        </w:rPr>
        <w:fldChar w:fldCharType="end" w:fldLock="0"/>
      </w:r>
      <w:r>
        <w:rPr>
          <w:rFonts w:ascii="IFAO-Grec Unicode" w:hAnsi="IFAO-Grec Unicode"/>
          <w:rtl w:val="0"/>
          <w:lang w:val="en-US"/>
        </w:rPr>
        <w:t xml:space="preserve"> (the Cleopatra ordinance), and with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2609</w:t>
      </w:r>
      <w:r>
        <w:rPr>
          <w:rFonts w:ascii="IFAO-Grec Unicode" w:cs="IFAO-Grec Unicode" w:hAnsi="IFAO-Grec Unicode" w:eastAsia="IFAO-Grec Unicode"/>
        </w:rPr>
        <w:fldChar w:fldCharType="end" w:fldLock="0"/>
      </w:r>
      <w:r>
        <w:rPr>
          <w:rFonts w:ascii="IFAO-Grec Unicode" w:hAnsi="IFAO-Grec Unicode"/>
          <w:rtl w:val="0"/>
          <w:lang w:val="it-IT"/>
        </w:rPr>
        <w:t xml:space="preserve"> (a </w:t>
      </w:r>
      <w:r>
        <w:rPr>
          <w:rFonts w:ascii="IFAO-Grec Unicode" w:hAnsi="IFAO-Grec Unicode"/>
          <w:rtl w:val="0"/>
        </w:rPr>
        <w:t>pistis</w:t>
      </w:r>
      <w:r>
        <w:rPr>
          <w:rFonts w:ascii="IFAO-Grec Unicode" w:hAnsi="IFAO-Grec Unicode"/>
          <w:rtl w:val="0"/>
          <w:lang w:val="en-US"/>
        </w:rPr>
        <w:t xml:space="preserve">, also from the same cartonnage). One may note the sizeable top and bottom margins, as well as a narrower margin on the left. The interlinear spacing is quite generous, and the text ends with a curved </w:t>
      </w:r>
      <w:r>
        <w:rPr>
          <w:rFonts w:ascii="IFAO-Grec Unicode" w:hAnsi="IFAO-Grec Unicode"/>
          <w:rtl w:val="0"/>
          <w:lang w:val="fr-FR"/>
        </w:rPr>
        <w:t>paragraphos</w:t>
      </w:r>
      <w:r>
        <w:rPr>
          <w:rFonts w:ascii="IFAO-Grec Unicode" w:hAnsi="IFAO-Grec Unicode"/>
          <w:rtl w:val="0"/>
          <w:lang w:val="en-US"/>
        </w:rPr>
        <w:t xml:space="preserve"> at the bottom left of the block of text. Those features suggest that, if the hand is not the same as in the rest of the Athenodoros archive, at least this scribe followed similar codes for producing his document.</w:t>
      </w: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"https://papyri.info/hgv/9228"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2 543</w:t>
      </w:r>
      <w:r>
        <w:rPr>
          <w:rFonts w:ascii="IFAO-Grec Unicode" w:cs="IFAO-Grec Unicode" w:hAnsi="IFAO-Grec Unicode" w:eastAsia="IFAO-Grec Unicode"/>
        </w:rPr>
        <w:fldChar w:fldCharType="end" w:fldLock="0"/>
      </w:r>
      <w:r>
        <w:rPr>
          <w:rFonts w:ascii="IFAO-Grec Unicode" w:hAnsi="IFAO-Grec Unicode"/>
          <w:rtl w:val="0"/>
          <w:lang w:val="en-US"/>
        </w:rPr>
        <w:t>, furthermore, a declaration on oath from the Arsinoite nome, shows that the general pattern is not specific to the Herakleopolite nome: by the size of the sheet, its orientation, and the dimensions of the margins on all four sides, it follows a muster comparable to the other documents listed in the table. Thus, to conclude on the declarations on oath, the general impression is one of consistency in the method of production. Those documents are written by skilled scribes who follow a basic set of rules applicable also to other types of documents.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#articleHeader</w:t>
      </w:r>
    </w:p>
    <w:p>
      <w:pPr>
        <w:pStyle w:val="Body"/>
        <w:rPr>
          <w:rFonts w:ascii="IFAO-Grec Unicode" w:cs="IFAO-Grec Unicode" w:hAnsi="IFAO-Grec Unicode" w:eastAsia="IFAO-Grec Unicode"/>
        </w:rPr>
      </w:pPr>
      <w:r>
        <w:rPr>
          <w:rFonts w:ascii="IFAO-Grec Unicode" w:hAnsi="IFAO-Grec Unicode"/>
          <w:rtl w:val="0"/>
          <w:lang w:val="en-US"/>
        </w:rPr>
        <w:t>Survival of demotic Egyptian scribal practices</w:t>
      </w:r>
    </w:p>
    <w:p>
      <w:pPr>
        <w:pStyle w:val="Body"/>
        <w:rPr>
          <w:rFonts w:ascii="IFAO-Grec Unicode" w:cs="IFAO-Grec Unicode" w:hAnsi="IFAO-Grec Unicode" w:eastAsia="IFAO-Grec Unicode"/>
        </w:rPr>
      </w:pPr>
      <w:r>
        <w:rPr>
          <w:rFonts w:ascii="IFAO-Grec Unicode" w:hAnsi="IFAO-Grec Unicode"/>
          <w:rtl w:val="0"/>
          <w:lang w:val="en-US"/>
        </w:rPr>
        <w:t>Various documents described above conform to a similar basic pattern; but it was also shown above that village record-offices (</w:t>
      </w:r>
      <w:r>
        <w:rPr>
          <w:rFonts w:ascii="IFAO-Grec Unicode" w:hAnsi="IFAO-Grec Unicode" w:hint="default"/>
          <w:rtl w:val="0"/>
        </w:rPr>
        <w:t>γραφεῖα</w:t>
      </w:r>
      <w:r>
        <w:rPr>
          <w:rFonts w:ascii="IFAO-Grec Unicode" w:hAnsi="IFAO-Grec Unicode"/>
          <w:rtl w:val="0"/>
          <w:lang w:val="en-US"/>
        </w:rPr>
        <w:t>) experimented for some time with a new layout, which was eventually discontinued. In contrast with this experimentation, quite the opposite seems to have happened with contracts that were produced in an environment where demotic Egyptian mixed with Greek, and where scribes retained the old way of writing down a contract.</w:t>
      </w:r>
    </w:p>
    <w:p>
      <w:pPr>
        <w:pStyle w:val="Body"/>
        <w:rPr>
          <w:rFonts w:ascii="IFAO-Grec Unicode" w:cs="IFAO-Grec Unicode" w:hAnsi="IFAO-Grec Unicode" w:eastAsia="IFAO-Grec Unicode"/>
          <w:lang w:val="en-US"/>
        </w:rPr>
      </w:pPr>
      <w:r>
        <w:rPr>
          <w:rFonts w:ascii="IFAO-Grec Unicode" w:hAnsi="IFAO-Grec Unicode"/>
          <w:rtl w:val="0"/>
          <w:lang w:val="en-US"/>
        </w:rPr>
        <w:t>The Archive of Satabous son of Herieus belongs to the large find of papyri from Soknopaiou Nesos, on the north bank of Lake Moeris, where demotic Egyptian was in current use till the Roman period largely because of the temple of the crocodile-god Sobek.</w:t>
      </w:r>
      <w:r>
        <w:rPr>
          <w:rFonts w:ascii="IFAO-Grec Unicode" w:cs="IFAO-Grec Unicode" w:hAnsi="IFAO-Grec Unicode" w:eastAsia="IFAO-Grec Unicode"/>
          <w:vertAlign w:val="superscript"/>
        </w:rPr>
        <w:footnoteReference w:id="120"/>
      </w:r>
      <w:r>
        <w:rPr>
          <w:rFonts w:ascii="IFAO-Grec Unicode" w:hAnsi="IFAO-Grec Unicode"/>
          <w:rtl w:val="0"/>
          <w:lang w:val="en-US"/>
        </w:rPr>
        <w:t xml:space="preserve"> Among the 40-50 documents that constitute this archive, ranging from 20 BCE till about 75-88 CE, a sub-group of eight papyri may be highlighted for their idiosyncratic appearance.</w:t>
      </w:r>
      <w:r>
        <w:rPr>
          <w:rFonts w:ascii="IFAO-Grec Unicode" w:cs="IFAO-Grec Unicode" w:hAnsi="IFAO-Grec Unicode" w:eastAsia="IFAO-Grec Unicode"/>
          <w:vertAlign w:val="superscript"/>
        </w:rPr>
        <w:footnoteReference w:id="121"/>
      </w:r>
      <w:r>
        <w:rPr>
          <w:rFonts w:ascii="IFAO-Grec Unicode" w:hAnsi="IFAO-Grec Unicode"/>
          <w:rtl w:val="0"/>
          <w:lang w:val="en-US"/>
        </w:rPr>
        <w:t xml:space="preserve"> They are Greek translations from demotic Egyptian contracts, and in one specific case the same sheet displays both a text in Egyptian and in Greek.</w:t>
      </w:r>
      <w:r>
        <w:rPr>
          <w:rFonts w:ascii="IFAO-Grec Unicode" w:cs="IFAO-Grec Unicode" w:hAnsi="IFAO-Grec Unicode" w:eastAsia="IFAO-Grec Unicode"/>
          <w:vertAlign w:val="superscript"/>
        </w:rPr>
        <w:footnoteReference w:id="122"/>
      </w:r>
      <w:r>
        <w:rPr>
          <w:rFonts w:ascii="IFAO-Grec Unicode" w:hAnsi="IFAO-Grec Unicode"/>
          <w:rtl w:val="0"/>
          <w:lang w:val="en-US"/>
        </w:rPr>
        <w:t xml:space="preserve"> The horizontal format of these contracts is striking, as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"https://papyri.info/hgv/9904"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CPR 15 2</w:t>
      </w:r>
      <w:r>
        <w:rPr>
          <w:rFonts w:ascii="IFAO-Grec Unicode" w:cs="IFAO-Grec Unicode" w:hAnsi="IFAO-Grec Unicode" w:eastAsia="IFAO-Grec Unicode"/>
        </w:rPr>
        <w:fldChar w:fldCharType="end" w:fldLock="0"/>
      </w:r>
      <w:r>
        <w:rPr>
          <w:rFonts w:ascii="IFAO-Grec Unicode" w:hAnsi="IFAO-Grec Unicode"/>
          <w:rtl w:val="0"/>
          <w:lang w:val="en-US"/>
        </w:rPr>
        <w:t xml:space="preserve"> (11 CE, Soknopaiou Nesos): H 27.6 cm x W 58.2 cm. It continues well beyond the reign of Augustus</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23"/>
      </w:r>
      <w:r>
        <w:rPr>
          <w:rFonts w:ascii="IFAO-Grec Unicode" w:hAnsi="IFAO-Grec Unicode"/>
          <w:rtl w:val="0"/>
          <w:lang w:val="en-US"/>
        </w:rPr>
        <w:t xml:space="preserve"> Although they were found within the context of other Greek documents from the reigns of Cleopatra and Augustus, the peculiar format of these Greek translations of demotic Egyptian contracts recalls some documents prepared by bilingual </w:t>
      </w:r>
      <w:r>
        <w:rPr>
          <w:rFonts w:ascii="IFAO-Grec Unicode" w:hAnsi="IFAO-Grec Unicode"/>
          <w:rtl w:val="0"/>
          <w:lang w:val="en-US"/>
        </w:rPr>
        <w:t>agoranomoi</w:t>
      </w:r>
      <w:r>
        <w:rPr>
          <w:rFonts w:ascii="IFAO-Grec Unicode" w:hAnsi="IFAO-Grec Unicode"/>
          <w:rtl w:val="0"/>
          <w:lang w:val="en-US"/>
        </w:rPr>
        <w:t xml:space="preserve"> in Pathyris between the mid-second and the early first century BCE.</w:t>
      </w:r>
      <w:r>
        <w:rPr>
          <w:rFonts w:ascii="IFAO-Grec Unicode" w:cs="IFAO-Grec Unicode" w:hAnsi="IFAO-Grec Unicode" w:eastAsia="IFAO-Grec Unicode"/>
          <w:vertAlign w:val="superscript"/>
          <w:lang w:val="en-US"/>
        </w:rPr>
        <w:footnoteReference w:id="124"/>
      </w:r>
      <w:r>
        <w:rPr>
          <w:rFonts w:ascii="IFAO-Grec Unicode" w:hAnsi="IFAO-Grec Unicode"/>
          <w:rtl w:val="0"/>
          <w:lang w:val="en-US"/>
        </w:rPr>
        <w:t xml:space="preserve"> In other words, they do not reflect an attempt at experimentation, but on the contrary in this case Egyptian scribes retained the ancient Egyptian way of preparing contracts.</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Fonts w:ascii="IFAO-Grec Unicode" w:hAnsi="IFAO-Grec Unicode"/>
          <w:rtl w:val="0"/>
          <w:lang w:val="en-US"/>
        </w:rPr>
        <w:t>#articleHeader</w:t>
      </w:r>
    </w:p>
    <w:p>
      <w:pPr>
        <w:pStyle w:val="Body"/>
        <w:rPr>
          <w:rFonts w:ascii="IFAO-Grec Unicode" w:cs="IFAO-Grec Unicode" w:hAnsi="IFAO-Grec Unicode" w:eastAsia="IFAO-Grec Unicode"/>
        </w:rPr>
      </w:pPr>
      <w:r>
        <w:rPr>
          <w:rFonts w:ascii="IFAO-Grec Unicode" w:hAnsi="IFAO-Grec Unicode"/>
          <w:rtl w:val="0"/>
          <w:lang w:val="en-US"/>
        </w:rPr>
        <w:t>Tax receipts on ostraca</w:t>
      </w:r>
    </w:p>
    <w:p>
      <w:pPr>
        <w:pStyle w:val="Body"/>
        <w:rPr>
          <w:rFonts w:ascii="IFAO-Grec Unicode" w:cs="IFAO-Grec Unicode" w:hAnsi="IFAO-Grec Unicode" w:eastAsia="IFAO-Grec Unicode"/>
        </w:rPr>
      </w:pPr>
      <w:r>
        <w:rPr>
          <w:rFonts w:ascii="IFAO-Grec Unicode" w:hAnsi="IFAO-Grec Unicode"/>
          <w:rtl w:val="0"/>
          <w:lang w:val="en-US"/>
        </w:rPr>
        <w:t>Papyrus and ostracon are not only made with fundamentally different materials: the rules for using one or the other writing support are also not the same. Many ostraca were published in the century and a quarter following Wilcken</w:t>
      </w:r>
      <w:r>
        <w:rPr>
          <w:rFonts w:ascii="IFAO-Grec Unicode" w:hAnsi="IFAO-Grec Unicode" w:hint="default"/>
          <w:rtl w:val="1"/>
        </w:rPr>
        <w:t>’</w:t>
      </w:r>
      <w:r>
        <w:rPr>
          <w:rFonts w:ascii="IFAO-Grec Unicode" w:hAnsi="IFAO-Grec Unicode"/>
          <w:rtl w:val="0"/>
        </w:rPr>
        <w:t xml:space="preserve">s </w:t>
      </w:r>
      <w:r>
        <w:rPr>
          <w:rFonts w:ascii="IFAO-Grec Unicode" w:hAnsi="IFAO-Grec Unicode"/>
          <w:rtl w:val="0"/>
          <w:lang w:val="de-DE"/>
        </w:rPr>
        <w:t>Griechische Ostraka aus Aegypten und Nubien</w:t>
      </w:r>
      <w:r>
        <w:rPr>
          <w:rFonts w:ascii="IFAO-Grec Unicode" w:hAnsi="IFAO-Grec Unicode"/>
          <w:rtl w:val="0"/>
        </w:rPr>
        <w:t>.</w:t>
      </w:r>
      <w:r>
        <w:rPr>
          <w:rFonts w:ascii="IFAO-Grec Unicode" w:cs="IFAO-Grec Unicode" w:hAnsi="IFAO-Grec Unicode" w:eastAsia="IFAO-Grec Unicode"/>
          <w:vertAlign w:val="superscript"/>
        </w:rPr>
        <w:footnoteReference w:id="125"/>
      </w:r>
      <w:r>
        <w:rPr>
          <w:rFonts w:ascii="IFAO-Grec Unicode" w:hAnsi="IFAO-Grec Unicode"/>
          <w:rtl w:val="0"/>
          <w:lang w:val="en-US"/>
        </w:rPr>
        <w:t xml:space="preserve"> The general observations he made, however, remain by and large valid to this day. Wilcken noted that, in the Roman period, tax collectors were liturgists or contractors who had to purchase their writing material at their own cost, and therefore they used ostraca because this was a cheaper writing support.</w:t>
      </w:r>
      <w:r>
        <w:rPr>
          <w:rFonts w:ascii="IFAO-Grec Unicode" w:cs="IFAO-Grec Unicode" w:hAnsi="IFAO-Grec Unicode" w:eastAsia="IFAO-Grec Unicode"/>
          <w:vertAlign w:val="superscript"/>
        </w:rPr>
        <w:footnoteReference w:id="126"/>
      </w:r>
      <w:r>
        <w:rPr>
          <w:rFonts w:ascii="IFAO-Grec Unicode" w:hAnsi="IFAO-Grec Unicode"/>
          <w:rtl w:val="0"/>
          <w:lang w:val="en-US"/>
        </w:rPr>
        <w:t xml:space="preserve"> For official communication, only papyrus was allowed. Ostraca are in frequent use in the Ptolemaic as well as in the Roman period but become rarer after the third century CE. Wilcken raised the possibility </w:t>
      </w:r>
      <w:r>
        <w:rPr>
          <w:rFonts w:ascii="IFAO-Grec Unicode" w:hAnsi="IFAO-Grec Unicode" w:hint="default"/>
          <w:rtl w:val="0"/>
        </w:rPr>
        <w:t xml:space="preserve">– </w:t>
      </w:r>
      <w:r>
        <w:rPr>
          <w:rFonts w:ascii="IFAO-Grec Unicode" w:hAnsi="IFAO-Grec Unicode"/>
          <w:rtl w:val="0"/>
          <w:lang w:val="en-US"/>
        </w:rPr>
        <w:t xml:space="preserve">without providing a definite answer to the question </w:t>
      </w:r>
      <w:r>
        <w:rPr>
          <w:rFonts w:ascii="IFAO-Grec Unicode" w:hAnsi="IFAO-Grec Unicode" w:hint="default"/>
          <w:rtl w:val="0"/>
        </w:rPr>
        <w:t xml:space="preserve">– </w:t>
      </w:r>
      <w:r>
        <w:rPr>
          <w:rFonts w:ascii="IFAO-Grec Unicode" w:hAnsi="IFAO-Grec Unicode"/>
          <w:rtl w:val="0"/>
          <w:lang w:val="en-US"/>
        </w:rPr>
        <w:t>that the decrease in the use of ostraca in the Byzantine period may have been caused by the fiscal reforms that took place under Diocletian, with the consequence that those in charge of collecting taxes were not allowed to write their receipts on ostraca anymore.</w:t>
      </w:r>
      <w:r>
        <w:rPr>
          <w:rFonts w:ascii="IFAO-Grec Unicode" w:cs="IFAO-Grec Unicode" w:hAnsi="IFAO-Grec Unicode" w:eastAsia="IFAO-Grec Unicode"/>
          <w:vertAlign w:val="superscript"/>
        </w:rPr>
        <w:footnoteReference w:id="127"/>
      </w:r>
    </w:p>
    <w:p>
      <w:pPr>
        <w:pStyle w:val="Body"/>
        <w:rPr>
          <w:rFonts w:ascii="IFAO-Grec Unicode" w:cs="IFAO-Grec Unicode" w:hAnsi="IFAO-Grec Unicode" w:eastAsia="IFAO-Grec Unicode"/>
        </w:rPr>
      </w:pPr>
      <w:r>
        <w:rPr>
          <w:rFonts w:ascii="IFAO-Grec Unicode" w:hAnsi="IFAO-Grec Unicode"/>
          <w:rtl w:val="0"/>
          <w:lang w:val="en-US"/>
        </w:rPr>
        <w:t>Of the ca. 321 Greek ostraca recorded between 51 BCE and 14 CE, 90% come from Upper Egypt, 10% from the Arsinoite nome. From a typological perspective, the rules for producing what are, for the most part, receipts for payment or delivery, are rather patchy. The receipts are much less elaborate than the texts we find on papyrus. This is due to the small size of ostraca, to their irregular shape, their coarse surface, as well as to the limited complexity of the texts.</w:t>
      </w:r>
    </w:p>
    <w:p>
      <w:pPr>
        <w:pStyle w:val="Body"/>
        <w:rPr>
          <w:rFonts w:ascii="IFAO-Grec Unicode" w:cs="IFAO-Grec Unicode" w:hAnsi="IFAO-Grec Unicode" w:eastAsia="IFAO-Grec Unicode"/>
        </w:rPr>
      </w:pPr>
      <w:r>
        <w:rPr>
          <w:rFonts w:ascii="IFAO-Grec Unicode" w:hAnsi="IFAO-Grec Unicode"/>
          <w:rtl w:val="0"/>
          <w:lang w:val="en-US"/>
        </w:rPr>
        <w:t>Wilcken could already identify two basic sub-types of receipts on ostraca, and he provided a fine analysis of the formulary, showing how the scribes followed the general rules that governed those sub-types but introduced small variations corresponding to the place of writing. There were other cases where, on the contrary, the formulary was identical in Elephantine and Syene, and downstream in Thebes.</w:t>
      </w:r>
      <w:r>
        <w:rPr>
          <w:rFonts w:ascii="IFAO-Grec Unicode" w:cs="IFAO-Grec Unicode" w:hAnsi="IFAO-Grec Unicode" w:eastAsia="IFAO-Grec Unicode"/>
          <w:vertAlign w:val="superscript"/>
        </w:rPr>
        <w:footnoteReference w:id="128"/>
      </w:r>
      <w:r>
        <w:rPr>
          <w:rFonts w:ascii="IFAO-Grec Unicode" w:hAnsi="IFAO-Grec Unicode"/>
          <w:rtl w:val="0"/>
          <w:lang w:val="en-US"/>
        </w:rPr>
        <w:t xml:space="preserve"> In the period considered here, the first sub-type is now best illustrated by the New York University ostraca, published in 2022.</w:t>
      </w:r>
      <w:r>
        <w:rPr>
          <w:rFonts w:ascii="IFAO-Grec Unicode" w:cs="IFAO-Grec Unicode" w:hAnsi="IFAO-Grec Unicode" w:eastAsia="IFAO-Grec Unicode"/>
          <w:vertAlign w:val="superscript"/>
        </w:rPr>
        <w:footnoteReference w:id="129"/>
      </w:r>
      <w:r>
        <w:rPr>
          <w:rFonts w:ascii="IFAO-Grec Unicode" w:hAnsi="IFAO-Grec Unicode"/>
          <w:rtl w:val="0"/>
          <w:lang w:val="en-US"/>
        </w:rPr>
        <w:t xml:space="preserve"> The 59 items considered here (a few were too badly preserved to retain much attention) date from the years 1 to 12 CE, except for two items with an uncertain date.</w:t>
      </w:r>
      <w:r>
        <w:rPr>
          <w:rFonts w:ascii="IFAO-Grec Unicode" w:cs="IFAO-Grec Unicode" w:hAnsi="IFAO-Grec Unicode" w:eastAsia="IFAO-Grec Unicode"/>
          <w:vertAlign w:val="superscript"/>
        </w:rPr>
        <w:footnoteReference w:id="130"/>
      </w:r>
      <w:r>
        <w:rPr>
          <w:rFonts w:ascii="IFAO-Grec Unicode" w:hAnsi="IFAO-Grec Unicode"/>
          <w:rtl w:val="0"/>
          <w:lang w:val="en-US"/>
        </w:rPr>
        <w:t xml:space="preserve"> Their provenance is defined broadly as Upper Egypt and they preserve receipts for the tax on embalmers or for burial, poll tax, and money tax. This set of receipts invariably starts with a date, followed by the statement of payment, the name of the individual making the payment, and the item being paid or delivered. The text is arranged on several lines, forming a block with a rectangular shape, not necessarily aligned on the edges of the potsherd: the sides of the ostracon may be aslant, and the text does not take up the whole surface.</w:t>
      </w:r>
      <w:r>
        <w:rPr>
          <w:rFonts w:ascii="IFAO-Grec Unicode" w:cs="IFAO-Grec Unicode" w:hAnsi="IFAO-Grec Unicode" w:eastAsia="IFAO-Grec Unicode"/>
          <w:vertAlign w:val="superscript"/>
        </w:rPr>
        <w:footnoteReference w:id="131"/>
      </w:r>
      <w:r>
        <w:rPr>
          <w:rFonts w:ascii="IFAO-Grec Unicode" w:hAnsi="IFAO-Grec Unicode"/>
          <w:rtl w:val="0"/>
          <w:lang w:val="de-DE"/>
        </w:rPr>
        <w:t xml:space="preserve"> [[[</w:t>
      </w:r>
      <w:r>
        <w:rPr>
          <w:rFonts w:ascii="IFAO-Grec Unicode" w:hAnsi="IFAO-Grec Unicode"/>
          <w:b w:val="1"/>
          <w:bCs w:val="1"/>
          <w:rtl w:val="0"/>
        </w:rPr>
        <w:t>Fig. 18</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"https://papyri.info/hgv/869452"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O.NYU 49</w:t>
      </w:r>
      <w:r>
        <w:rPr>
          <w:rFonts w:ascii="IFAO-Grec Unicode" w:cs="IFAO-Grec Unicode" w:hAnsi="IFAO-Grec Unicode" w:eastAsia="IFAO-Grec Unicode"/>
        </w:rPr>
        <w:fldChar w:fldCharType="end" w:fldLock="0"/>
      </w:r>
      <w:r>
        <w:rPr>
          <w:rFonts w:ascii="IFAO-Grec Unicode" w:hAnsi="IFAO-Grec Unicode"/>
          <w:rtl w:val="0"/>
          <w:lang w:val="en-US"/>
        </w:rPr>
        <w:t>, image and structural display (Image courtesy of New York University Collection of Papyri, Ostraka, and Cuneiform Tablets).</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The only element that stands out at first glance is the oversize </w:t>
      </w:r>
      <w:r>
        <w:rPr>
          <w:rFonts w:ascii="IFAO-Grec Unicode" w:hAnsi="IFAO-Grec Unicode"/>
          <w:rtl w:val="0"/>
        </w:rPr>
        <w:t>epsilon</w:t>
      </w:r>
      <w:r>
        <w:rPr>
          <w:rFonts w:ascii="IFAO-Grec Unicode" w:hAnsi="IFAO-Grec Unicode"/>
          <w:rtl w:val="0"/>
          <w:lang w:val="en-US"/>
        </w:rPr>
        <w:t xml:space="preserve"> of the initial </w:t>
      </w:r>
      <w:r>
        <w:rPr>
          <w:rFonts w:ascii="IFAO-Grec Unicode" w:hAnsi="IFAO-Grec Unicode" w:hint="default"/>
          <w:rtl w:val="0"/>
        </w:rPr>
        <w:t>ἔτους</w:t>
      </w:r>
      <w:r>
        <w:rPr>
          <w:rFonts w:ascii="IFAO-Grec Unicode" w:hAnsi="IFAO-Grec Unicode"/>
          <w:rtl w:val="0"/>
          <w:lang w:val="en-US"/>
        </w:rPr>
        <w:t>, indicating the regnal year. This is more than an ordinary Greek character: it works as a symbol to signal the presence of a date, and to immediately suggest a receipt issued by an authority or a bank. In contracts, a date placed at the beginning of the document indicates in most cases that the document was written in a notarial office (as opposed to private contracts, where the date is placed at the end).</w:t>
      </w:r>
      <w:r>
        <w:rPr>
          <w:rFonts w:ascii="IFAO-Grec Unicode" w:cs="IFAO-Grec Unicode" w:hAnsi="IFAO-Grec Unicode" w:eastAsia="IFAO-Grec Unicode"/>
          <w:vertAlign w:val="superscript"/>
        </w:rPr>
        <w:footnoteReference w:id="132"/>
      </w:r>
      <w:r>
        <w:rPr>
          <w:rFonts w:ascii="IFAO-Grec Unicode" w:hAnsi="IFAO-Grec Unicode"/>
          <w:rtl w:val="0"/>
          <w:lang w:val="en-US"/>
        </w:rPr>
        <w:t xml:space="preserve"> Such a basic layout appears also in the Arsinoite nome, e.g.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"https://papyri.info/hgv/73888"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O.Deiss. 74</w:t>
      </w:r>
      <w:r>
        <w:rPr>
          <w:rFonts w:ascii="IFAO-Grec Unicode" w:cs="IFAO-Grec Unicode" w:hAnsi="IFAO-Grec Unicode" w:eastAsia="IFAO-Grec Unicode"/>
        </w:rPr>
        <w:fldChar w:fldCharType="end" w:fldLock="0"/>
      </w:r>
      <w:r>
        <w:rPr>
          <w:rFonts w:ascii="IFAO-Grec Unicode" w:hAnsi="IFAO-Grec Unicode"/>
          <w:rtl w:val="0"/>
          <w:lang w:val="en-US"/>
        </w:rPr>
        <w:t xml:space="preserve">.1-5 (6 BCE), with a text in one rectangular block starting with an oversize </w:t>
      </w:r>
      <w:r>
        <w:rPr>
          <w:rFonts w:ascii="IFAO-Grec Unicode" w:hAnsi="IFAO-Grec Unicode"/>
          <w:rtl w:val="0"/>
        </w:rPr>
        <w:t>epsilon</w:t>
      </w:r>
      <w:r>
        <w:rPr>
          <w:rFonts w:ascii="IFAO-Grec Unicode" w:hAnsi="IFAO-Grec Unicode"/>
          <w:rtl w:val="0"/>
          <w:lang w:val="en-US"/>
        </w:rPr>
        <w:t xml:space="preserve"> for the date. In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"https://papyri.info/hgv/9967"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O.Mich. 3 994</w:t>
      </w:r>
      <w:r>
        <w:rPr>
          <w:rFonts w:ascii="IFAO-Grec Unicode" w:cs="IFAO-Grec Unicode" w:hAnsi="IFAO-Grec Unicode" w:eastAsia="IFAO-Grec Unicode"/>
        </w:rPr>
        <w:fldChar w:fldCharType="end" w:fldLock="0"/>
      </w:r>
      <w:r>
        <w:rPr>
          <w:rFonts w:ascii="IFAO-Grec Unicode" w:hAnsi="IFAO-Grec Unicode"/>
          <w:rtl w:val="0"/>
          <w:lang w:val="en-US"/>
        </w:rPr>
        <w:t xml:space="preserve"> and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"https://papyri.info/hgv/9968"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998</w:t>
      </w:r>
      <w:r>
        <w:rPr>
          <w:rFonts w:ascii="IFAO-Grec Unicode" w:cs="IFAO-Grec Unicode" w:hAnsi="IFAO-Grec Unicode" w:eastAsia="IFAO-Grec Unicode"/>
        </w:rPr>
        <w:fldChar w:fldCharType="end" w:fldLock="0"/>
      </w:r>
      <w:r>
        <w:rPr>
          <w:rFonts w:ascii="IFAO-Grec Unicode" w:hAnsi="IFAO-Grec Unicode"/>
          <w:rtl w:val="0"/>
          <w:lang w:val="en-US"/>
        </w:rPr>
        <w:t xml:space="preserve"> (1 BCE), the initial </w:t>
      </w:r>
      <w:r>
        <w:rPr>
          <w:rFonts w:ascii="IFAO-Grec Unicode" w:hAnsi="IFAO-Grec Unicode"/>
          <w:rtl w:val="0"/>
        </w:rPr>
        <w:t>epsilon</w:t>
      </w:r>
      <w:r>
        <w:rPr>
          <w:rFonts w:ascii="IFAO-Grec Unicode" w:hAnsi="IFAO-Grec Unicode"/>
          <w:rtl w:val="0"/>
          <w:lang w:val="en-US"/>
        </w:rPr>
        <w:t xml:space="preserve"> is replaced with the symbol </w:t>
      </w:r>
      <w:r>
        <w:rPr>
          <w:rFonts w:ascii="IFAO-Grec Unicode" w:hAnsi="IFAO-Grec Unicode" w:hint="default"/>
          <w:rtl w:val="0"/>
        </w:rPr>
        <w:t xml:space="preserve">∟ </w:t>
      </w:r>
      <w:r>
        <w:rPr>
          <w:rFonts w:ascii="IFAO-Grec Unicode" w:hAnsi="IFAO-Grec Unicode"/>
          <w:rtl w:val="0"/>
        </w:rPr>
        <w:t xml:space="preserve">(= </w:t>
      </w:r>
      <w:r>
        <w:rPr>
          <w:rFonts w:ascii="IFAO-Grec Unicode" w:hAnsi="IFAO-Grec Unicode" w:hint="default"/>
          <w:rtl w:val="0"/>
        </w:rPr>
        <w:t>ἔτους</w:t>
      </w:r>
      <w:r>
        <w:rPr>
          <w:rFonts w:ascii="IFAO-Grec Unicode" w:hAnsi="IFAO-Grec Unicode"/>
          <w:rtl w:val="0"/>
          <w:lang w:val="en-US"/>
        </w:rPr>
        <w:t xml:space="preserve">). The layout described here is limited neither to the Arsinoite nome nor to ostraca: it appears also on a bank receipt for dike-tax from Oxyrhynchus written on papyrus,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"https://papyri.info/hgv/170056"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P.Oxy. 78 5172</w:t>
      </w:r>
      <w:r>
        <w:rPr>
          <w:rFonts w:ascii="IFAO-Grec Unicode" w:cs="IFAO-Grec Unicode" w:hAnsi="IFAO-Grec Unicode" w:eastAsia="IFAO-Grec Unicode"/>
        </w:rPr>
        <w:fldChar w:fldCharType="end" w:fldLock="0"/>
      </w:r>
      <w:r>
        <w:rPr>
          <w:rFonts w:ascii="IFAO-Grec Unicode" w:hAnsi="IFAO-Grec Unicode"/>
          <w:rtl w:val="0"/>
          <w:lang w:val="en-US"/>
        </w:rPr>
        <w:t xml:space="preserve"> (7 CE, H 12.2 x W 8.3 cm). The simultaneous use of demotic Egyptian and Greek in receipts on ostraca is common in Upper Egypt, but not downriver.</w:t>
      </w:r>
      <w:r>
        <w:rPr>
          <w:rFonts w:ascii="IFAO-Grec Unicode" w:cs="IFAO-Grec Unicode" w:hAnsi="IFAO-Grec Unicode" w:eastAsia="IFAO-Grec Unicode"/>
          <w:vertAlign w:val="superscript"/>
        </w:rPr>
        <w:footnoteReference w:id="133"/>
      </w:r>
    </w:p>
    <w:p>
      <w:pPr>
        <w:pStyle w:val="Body"/>
        <w:rPr>
          <w:rFonts w:ascii="IFAO-Grec Unicode" w:cs="IFAO-Grec Unicode" w:hAnsi="IFAO-Grec Unicode" w:eastAsia="IFAO-Grec Unicode"/>
        </w:rPr>
      </w:pPr>
      <w:r>
        <w:rPr>
          <w:rFonts w:ascii="IFAO-Grec Unicode" w:hAnsi="IFAO-Grec Unicode"/>
          <w:rtl w:val="0"/>
          <w:lang w:val="en-US"/>
        </w:rPr>
        <w:t>The second sub-type consists of receipts (and a handful of payment orders) written in letter form.</w:t>
      </w:r>
      <w:r>
        <w:rPr>
          <w:rFonts w:ascii="IFAO-Grec Unicode" w:cs="IFAO-Grec Unicode" w:hAnsi="IFAO-Grec Unicode" w:eastAsia="IFAO-Grec Unicode"/>
          <w:vertAlign w:val="superscript"/>
        </w:rPr>
        <w:footnoteReference w:id="134"/>
      </w:r>
      <w:r>
        <w:rPr>
          <w:rFonts w:ascii="IFAO-Grec Unicode" w:hAnsi="IFAO-Grec Unicode"/>
          <w:rtl w:val="0"/>
          <w:lang w:val="en-US"/>
        </w:rPr>
        <w:t xml:space="preserve"> They start with the typical opening of a letter (X to Y </w:t>
      </w:r>
      <w:r>
        <w:rPr>
          <w:rFonts w:ascii="IFAO-Grec Unicode" w:hAnsi="IFAO-Grec Unicode" w:hint="default"/>
          <w:rtl w:val="0"/>
        </w:rPr>
        <w:t>χαίρειν</w:t>
      </w:r>
      <w:r>
        <w:rPr>
          <w:rFonts w:ascii="IFAO-Grec Unicode" w:hAnsi="IFAO-Grec Unicode"/>
          <w:rtl w:val="0"/>
          <w:lang w:val="en-US"/>
        </w:rPr>
        <w:t>, the latter often abbreviated), followed by the statement of receipt or the order of payment, and finally a date. They are found in Upper Egypt as well as in the Arsinoite nome.</w:t>
      </w:r>
      <w:r>
        <w:rPr>
          <w:rFonts w:ascii="IFAO-Grec Unicode" w:cs="IFAO-Grec Unicode" w:hAnsi="IFAO-Grec Unicode" w:eastAsia="IFAO-Grec Unicode"/>
          <w:vertAlign w:val="superscript"/>
        </w:rPr>
        <w:footnoteReference w:id="135"/>
      </w:r>
      <w:r>
        <w:rPr>
          <w:rFonts w:ascii="IFAO-Grec Unicode" w:hAnsi="IFAO-Grec Unicode"/>
          <w:rtl w:val="0"/>
          <w:lang w:val="en-US"/>
        </w:rPr>
        <w:t xml:space="preserve"> Tax receipts written on ostraca undergo a process of evolution. The letter form is attested in the Ptolemaic and Roman periods, but in the latter, subscriptions start appearing at the bottom of receipts, with the tax collector acknowledging the payment in his own hand.</w:t>
      </w:r>
      <w:r>
        <w:rPr>
          <w:rFonts w:ascii="IFAO-Grec Unicode" w:cs="IFAO-Grec Unicode" w:hAnsi="IFAO-Grec Unicode" w:eastAsia="IFAO-Grec Unicode"/>
          <w:vertAlign w:val="superscript"/>
        </w:rPr>
        <w:footnoteReference w:id="136"/>
      </w:r>
      <w:r>
        <w:rPr>
          <w:rFonts w:ascii="IFAO-Grec Unicode" w:hAnsi="IFAO-Grec Unicode"/>
          <w:rtl w:val="0"/>
          <w:lang w:val="en-US"/>
        </w:rPr>
        <w:t xml:space="preserve"> In bilingual receipts, the main text may be written in demotic Egyptian, while the Greek text is limited to the subscription to the receipt.</w:t>
      </w:r>
      <w:r>
        <w:rPr>
          <w:rFonts w:ascii="IFAO-Grec Unicode" w:cs="IFAO-Grec Unicode" w:hAnsi="IFAO-Grec Unicode" w:eastAsia="IFAO-Grec Unicode"/>
          <w:vertAlign w:val="superscript"/>
        </w:rPr>
        <w:footnoteReference w:id="137"/>
      </w:r>
      <w:r>
        <w:rPr>
          <w:rFonts w:ascii="IFAO-Grec Unicode" w:hAnsi="IFAO-Grec Unicode"/>
          <w:rtl w:val="0"/>
          <w:lang w:val="en-US"/>
        </w:rPr>
        <w:t xml:space="preserve"> There are minor additions, such as when a scribe writes </w:t>
      </w:r>
      <w:r>
        <w:rPr>
          <w:rFonts w:ascii="IFAO-Grec Unicode" w:hAnsi="IFAO-Grec Unicode" w:hint="default"/>
          <w:rtl w:val="0"/>
        </w:rPr>
        <w:t xml:space="preserve">οὐθέν σοι ἐνκαλοῦμε </w:t>
      </w:r>
      <w:r>
        <w:rPr>
          <w:rFonts w:ascii="IFAO-Grec Unicode" w:hAnsi="IFAO-Grec Unicode" w:hint="default"/>
          <w:rtl w:val="0"/>
          <w:lang w:val="en-US"/>
        </w:rPr>
        <w:t>̀</w:t>
      </w:r>
      <w:r>
        <w:rPr>
          <w:rFonts w:ascii="IFAO-Grec Unicode" w:hAnsi="IFAO-Grec Unicode" w:hint="default"/>
          <w:rtl w:val="0"/>
        </w:rPr>
        <w:t xml:space="preserve">ν </w:t>
      </w:r>
      <w:r>
        <w:rPr>
          <w:rFonts w:ascii="IFAO-Grec Unicode" w:hAnsi="IFAO-Grec Unicode" w:hint="default"/>
          <w:rtl w:val="0"/>
          <w:lang w:val="en-US"/>
        </w:rPr>
        <w:t>́ “</w:t>
      </w:r>
      <w:r>
        <w:rPr>
          <w:rFonts w:ascii="IFAO-Grec Unicode" w:hAnsi="IFAO-Grec Unicode"/>
          <w:rtl w:val="0"/>
          <w:lang w:val="en-US"/>
        </w:rPr>
        <w:t>we make no (further) claim</w:t>
      </w:r>
      <w:r>
        <w:rPr>
          <w:rFonts w:ascii="IFAO-Grec Unicode" w:hAnsi="IFAO-Grec Unicode" w:hint="default"/>
          <w:rtl w:val="0"/>
          <w:lang w:val="en-US"/>
        </w:rPr>
        <w:t>”</w:t>
      </w:r>
      <w:r>
        <w:rPr>
          <w:rFonts w:ascii="IFAO-Grec Unicode" w:hAnsi="IFAO-Grec Unicode"/>
          <w:rtl w:val="0"/>
        </w:rPr>
        <w:t>.</w:t>
      </w:r>
      <w:r>
        <w:rPr>
          <w:rFonts w:ascii="IFAO-Grec Unicode" w:cs="IFAO-Grec Unicode" w:hAnsi="IFAO-Grec Unicode" w:eastAsia="IFAO-Grec Unicode"/>
          <w:vertAlign w:val="superscript"/>
        </w:rPr>
        <w:footnoteReference w:id="138"/>
      </w:r>
      <w:r>
        <w:rPr>
          <w:rFonts w:ascii="IFAO-Grec Unicode" w:hAnsi="IFAO-Grec Unicode"/>
          <w:rtl w:val="0"/>
          <w:lang w:val="en-US"/>
        </w:rPr>
        <w:t xml:space="preserve"> This clause indicates that the receipt was not issued for a partial payment, but on the contrary for the final payment.</w:t>
      </w:r>
      <w:r>
        <w:rPr>
          <w:rFonts w:ascii="IFAO-Grec Unicode" w:cs="IFAO-Grec Unicode" w:hAnsi="IFAO-Grec Unicode" w:eastAsia="IFAO-Grec Unicode"/>
          <w:vertAlign w:val="superscript"/>
        </w:rPr>
        <w:footnoteReference w:id="139"/>
      </w:r>
    </w:p>
    <w:p>
      <w:pPr>
        <w:pStyle w:val="Body"/>
        <w:rPr>
          <w:rFonts w:ascii="IFAO-Grec Unicode" w:cs="IFAO-Grec Unicode" w:hAnsi="IFAO-Grec Unicode" w:eastAsia="IFAO-Grec Unicode"/>
          <w:lang w:val="en-US"/>
        </w:rPr>
      </w:pPr>
      <w:r>
        <w:rPr>
          <w:rFonts w:ascii="IFAO-Grec Unicode" w:hAnsi="IFAO-Grec Unicode"/>
          <w:rtl w:val="0"/>
          <w:lang w:val="en-US"/>
        </w:rPr>
        <w:t>In the Augustan period, the initial date found in the first sub-type disappears from receipts, to be replaced with the letter form (second sub-type) exclusively, with a date at the end.</w:t>
      </w:r>
      <w:r>
        <w:rPr>
          <w:rFonts w:ascii="IFAO-Grec Unicode" w:cs="IFAO-Grec Unicode" w:hAnsi="IFAO-Grec Unicode" w:eastAsia="IFAO-Grec Unicode"/>
          <w:vertAlign w:val="superscript"/>
        </w:rPr>
        <w:footnoteReference w:id="140"/>
      </w:r>
      <w:r>
        <w:rPr>
          <w:rFonts w:ascii="IFAO-Grec Unicode" w:hAnsi="IFAO-Grec Unicode"/>
          <w:rtl w:val="0"/>
          <w:lang w:val="en-US"/>
        </w:rPr>
        <w:t xml:space="preserve"> This shift applies also to receipts for payments in kind, where the letter form becomes standard in the Roman period.</w:t>
      </w:r>
      <w:r>
        <w:rPr>
          <w:rFonts w:ascii="IFAO-Grec Unicode" w:cs="IFAO-Grec Unicode" w:hAnsi="IFAO-Grec Unicode" w:eastAsia="IFAO-Grec Unicode"/>
          <w:vertAlign w:val="superscript"/>
        </w:rPr>
        <w:footnoteReference w:id="141"/>
      </w:r>
      <w:r>
        <w:rPr>
          <w:rFonts w:ascii="IFAO-Grec Unicode" w:hAnsi="IFAO-Grec Unicode"/>
          <w:rtl w:val="0"/>
          <w:lang w:val="de-DE"/>
        </w:rPr>
        <w:t xml:space="preserve"> Wilcken</w:t>
      </w:r>
      <w:r>
        <w:rPr>
          <w:rFonts w:ascii="IFAO-Grec Unicode" w:hAnsi="IFAO-Grec Unicode" w:hint="default"/>
          <w:rtl w:val="0"/>
          <w:lang w:val="en-US"/>
        </w:rPr>
        <w:t>’</w:t>
      </w:r>
      <w:r>
        <w:rPr>
          <w:rFonts w:ascii="IFAO-Grec Unicode" w:hAnsi="IFAO-Grec Unicode"/>
          <w:rtl w:val="0"/>
          <w:lang w:val="en-US"/>
        </w:rPr>
        <w:t xml:space="preserve">s detailed listing of the variations in the formulary shows that the scribes, relying on the general model of a letter, adapted it to the specific purpose of receipts. The most salient changes are the frequent loss of the initial </w:t>
      </w:r>
      <w:r>
        <w:rPr>
          <w:rFonts w:ascii="IFAO-Grec Unicode" w:hAnsi="IFAO-Grec Unicode" w:hint="default"/>
          <w:rtl w:val="0"/>
        </w:rPr>
        <w:t>χαίρειν</w:t>
      </w:r>
      <w:r>
        <w:rPr>
          <w:rFonts w:ascii="IFAO-Grec Unicode" w:hAnsi="IFAO-Grec Unicode"/>
          <w:rtl w:val="0"/>
          <w:lang w:val="en-US"/>
        </w:rPr>
        <w:t xml:space="preserve"> and the nearly total absence of the final </w:t>
      </w:r>
      <w:r>
        <w:rPr>
          <w:rFonts w:ascii="IFAO-Grec Unicode" w:hAnsi="IFAO-Grec Unicode" w:hint="default"/>
          <w:rtl w:val="0"/>
        </w:rPr>
        <w:t>ἔρρωσο</w:t>
      </w:r>
      <w:r>
        <w:rPr>
          <w:rFonts w:ascii="IFAO-Grec Unicode" w:hAnsi="IFAO-Grec Unicode"/>
          <w:rtl w:val="0"/>
          <w:lang w:val="en-US"/>
        </w:rPr>
        <w:t xml:space="preserve">. </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Fonts w:ascii="IFAO-Grec Unicode" w:hAnsi="IFAO-Grec Unicode"/>
          <w:rtl w:val="0"/>
          <w:lang w:val="en-US"/>
        </w:rPr>
        <w:t>#articleHeader</w:t>
      </w:r>
    </w:p>
    <w:p>
      <w:pPr>
        <w:pStyle w:val="Body"/>
        <w:rPr>
          <w:rFonts w:ascii="IFAO-Grec Unicode" w:cs="IFAO-Grec Unicode" w:hAnsi="IFAO-Grec Unicode" w:eastAsia="IFAO-Grec Unicode"/>
        </w:rPr>
      </w:pPr>
      <w:r>
        <w:rPr>
          <w:rFonts w:ascii="IFAO-Grec Unicode" w:hAnsi="IFAO-Grec Unicode"/>
          <w:rtl w:val="0"/>
          <w:lang w:val="it-IT"/>
        </w:rPr>
        <w:t>Conclusion</w:t>
      </w:r>
    </w:p>
    <w:p>
      <w:pPr>
        <w:pStyle w:val="Body"/>
        <w:rPr>
          <w:rFonts w:ascii="IFAO-Grec Unicode" w:cs="IFAO-Grec Unicode" w:hAnsi="IFAO-Grec Unicode" w:eastAsia="IFAO-Grec Unicode"/>
        </w:rPr>
      </w:pPr>
      <w:r>
        <w:rPr>
          <w:rFonts w:ascii="IFAO-Grec Unicode" w:hAnsi="IFAO-Grec Unicode"/>
          <w:rtl w:val="0"/>
          <w:lang w:val="en-US"/>
        </w:rPr>
        <w:t xml:space="preserve">Given the distribution of the available papyri and ostraca in the period under consideration, the </w:t>
      </w:r>
      <w:r>
        <w:rPr>
          <w:rFonts w:ascii="IFAO-Grec Unicode" w:hAnsi="IFAO-Grec Unicode" w:hint="default"/>
          <w:rtl w:val="1"/>
        </w:rPr>
        <w:t>‘</w:t>
      </w:r>
      <w:r>
        <w:rPr>
          <w:rFonts w:ascii="IFAO-Grec Unicode" w:hAnsi="IFAO-Grec Unicode"/>
          <w:rtl w:val="0"/>
          <w:lang w:val="en-US"/>
        </w:rPr>
        <w:t>black hole</w:t>
      </w:r>
      <w:r>
        <w:rPr>
          <w:rFonts w:ascii="IFAO-Grec Unicode" w:hAnsi="IFAO-Grec Unicode" w:hint="default"/>
          <w:rtl w:val="1"/>
        </w:rPr>
        <w:t xml:space="preserve">’ </w:t>
      </w:r>
      <w:r>
        <w:rPr>
          <w:rFonts w:ascii="IFAO-Grec Unicode" w:hAnsi="IFAO-Grec Unicode"/>
          <w:rtl w:val="0"/>
          <w:lang w:val="en-US"/>
        </w:rPr>
        <w:t>of the 30s cannot be explained away through the unevenness of finds. Not only does it appear in both papyri (in the north) and in ostraca (in the south), but distinct types of documents bear witness to a gap shortly before the end of Cleopatra</w:t>
      </w:r>
      <w:r>
        <w:rPr>
          <w:rFonts w:ascii="IFAO-Grec Unicode" w:hAnsi="IFAO-Grec Unicode" w:hint="default"/>
          <w:rtl w:val="1"/>
        </w:rPr>
        <w:t>’</w:t>
      </w:r>
      <w:r>
        <w:rPr>
          <w:rFonts w:ascii="IFAO-Grec Unicode" w:hAnsi="IFAO-Grec Unicode"/>
          <w:rtl w:val="0"/>
          <w:lang w:val="en-US"/>
        </w:rPr>
        <w:t>s reign. It seems therefore preferable to assume that the activity of scribes was impeded for a few years, before it took off again after Egypt had been turned into a Roman province.</w:t>
      </w:r>
    </w:p>
    <w:p>
      <w:pPr>
        <w:pStyle w:val="Body"/>
        <w:rPr>
          <w:rFonts w:ascii="IFAO-Grec Unicode" w:cs="IFAO-Grec Unicode" w:hAnsi="IFAO-Grec Unicode" w:eastAsia="IFAO-Grec Unicode"/>
        </w:rPr>
      </w:pPr>
      <w:r>
        <w:rPr>
          <w:rFonts w:ascii="IFAO-Grec Unicode" w:hAnsi="IFAO-Grec Unicode"/>
          <w:rtl w:val="0"/>
          <w:lang w:val="en-US"/>
        </w:rPr>
        <w:t>The scribes, however, did not reinvent their trade during this time of political change. It was shown above that the format and layout of petitions found in the Herakleopolite nome in the mid-first century BCE correspond closely to what was attested in the Hermopolite nome half a century earlier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"https://papyri.info/hgv/3094"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P.Dion. 11</w:t>
      </w:r>
      <w:r>
        <w:rPr>
          <w:rFonts w:ascii="IFAO-Grec Unicode" w:cs="IFAO-Grec Unicode" w:hAnsi="IFAO-Grec Unicode" w:eastAsia="IFAO-Grec Unicode"/>
        </w:rPr>
        <w:fldChar w:fldCharType="end" w:fldLock="0"/>
      </w:r>
      <w:r>
        <w:rPr>
          <w:rFonts w:ascii="IFAO-Grec Unicode" w:hAnsi="IFAO-Grec Unicode"/>
          <w:rtl w:val="0"/>
          <w:lang w:val="en-US"/>
        </w:rPr>
        <w:t xml:space="preserve">), and that the patterns in use in the reign of Cleopatra do not evolve significantly under the rule of Augustus. Conservatism can also be observed in the practice of Egyptian scribes who translate Egyptian contracts into Greek, retaining the traditional Egyptian format and layout in Soknopaiou Nesos. In the absence of any known handbooks for the writing of documents, we may assume that scribes learned by imitating the work of other scribes. In the Roman period, models were issued and circulated, and it seems likely that this was already the case in the late Ptolemaic period. This would explain a consistent pattern of experimentation in the </w:t>
      </w:r>
      <w:r>
        <w:rPr>
          <w:rFonts w:ascii="IFAO-Grec Unicode" w:hAnsi="IFAO-Grec Unicode"/>
          <w:rtl w:val="0"/>
          <w:lang w:val="pt-PT"/>
        </w:rPr>
        <w:t>grapheia</w:t>
      </w:r>
      <w:r>
        <w:rPr>
          <w:rFonts w:ascii="IFAO-Grec Unicode" w:hAnsi="IFAO-Grec Unicode"/>
          <w:rtl w:val="0"/>
          <w:lang w:val="en-US"/>
        </w:rPr>
        <w:t xml:space="preserve"> in the Arsinoite nome.</w:t>
      </w:r>
    </w:p>
    <w:p>
      <w:pPr>
        <w:pStyle w:val="Body"/>
        <w:rPr>
          <w:rFonts w:ascii="IFAO-Grec Unicode" w:cs="IFAO-Grec Unicode" w:hAnsi="IFAO-Grec Unicode" w:eastAsia="IFAO-Grec Unicode"/>
        </w:rPr>
      </w:pPr>
      <w:r>
        <w:rPr>
          <w:rFonts w:ascii="IFAO-Grec Unicode" w:hAnsi="IFAO-Grec Unicode"/>
          <w:rtl w:val="0"/>
          <w:lang w:val="en-US"/>
        </w:rPr>
        <w:t>A comparison of several clusters, as well as the addition of external documents, shows that scribes working in offices at a high level of the administrative structure tended to follow a simple set of implicit rules to produce their documents. These rules are attested both under Cleopatra and under Augustus. The Athenodoros Archive provided evidence indicating that scribes could prepare a document in several stages: first a fast copy under dictation, then a version that would include the appropriate layout but still required some corrections, and eventually the final version to be circulated. Contrary to the earlier Ptolemaic practice, where both vertical and horizontal formats were in common use, the scribes of the later first century opted mostly for vertical sheets. Letters from the Athenodoros Archive show that, if writers could make a prior assessment of the length of the text to be written, they placed their block of text against a virtual right margin corresponding to the place where the sheet would be detached from the roll after the writing was completed. The intended layout was provided with wide margins at the top and bottom, and a narrower margin on the left. In the best of cases, especially when the text was short, a balanced appearance could be achieved by increasing the line spacing. This resulted in a vertical symmetry, enhanced by the generous top and bottom margins. This pattern, however, is not an innovation from the reign of Cleopatra: it was shown that a set of sixteen bank receipts from the Herakleopolite nome dating all from 82 BCE already displays the same pattern.</w:t>
      </w:r>
    </w:p>
    <w:p>
      <w:pPr>
        <w:pStyle w:val="Body"/>
        <w:rPr>
          <w:rFonts w:ascii="IFAO-Grec Unicode" w:cs="IFAO-Grec Unicode" w:hAnsi="IFAO-Grec Unicode" w:eastAsia="IFAO-Grec Unicode"/>
        </w:rPr>
      </w:pPr>
      <w:r>
        <w:rPr>
          <w:rFonts w:ascii="IFAO-Grec Unicode" w:hAnsi="IFAO-Grec Unicode"/>
          <w:rtl w:val="0"/>
          <w:lang w:val="en-US"/>
        </w:rPr>
        <w:t xml:space="preserve">The top and bottom margins offered space that could be used according to the purpose of documents: a registration docket might be placed at the top, or an additional note at the bottom. In the case of Alexandrian </w:t>
      </w:r>
      <w:r>
        <w:rPr>
          <w:rFonts w:ascii="IFAO-Grec Unicode" w:hAnsi="IFAO-Grec Unicode"/>
          <w:rtl w:val="0"/>
          <w:lang w:val="pt-PT"/>
        </w:rPr>
        <w:t>synchoreseis</w:t>
      </w:r>
      <w:r>
        <w:rPr>
          <w:rFonts w:ascii="IFAO-Grec Unicode" w:hAnsi="IFAO-Grec Unicode"/>
          <w:rtl w:val="0"/>
          <w:lang w:val="en-US"/>
        </w:rPr>
        <w:t>, a taller bottom margin affected the symmetry but made it possible to add the agreement by one of the contracting parties.</w:t>
      </w:r>
    </w:p>
    <w:p>
      <w:pPr>
        <w:pStyle w:val="Body"/>
        <w:rPr>
          <w:rFonts w:ascii="IFAO-Grec Unicode" w:cs="IFAO-Grec Unicode" w:hAnsi="IFAO-Grec Unicode" w:eastAsia="IFAO-Grec Unicode"/>
        </w:rPr>
      </w:pPr>
      <w:r>
        <w:rPr>
          <w:rFonts w:ascii="IFAO-Grec Unicode" w:hAnsi="IFAO-Grec Unicode"/>
          <w:rtl w:val="0"/>
          <w:lang w:val="en-US"/>
        </w:rPr>
        <w:t>The longer the texts, however, the more difficult it became to follow this basic pattern. Line spacing could be made more compact, the margins could also be reduced, but in the end the result might become asymmetrical: the block of text would take up most of the space saved for a margin, or on the contrary leave an excessively ample bottom margin.</w:t>
      </w:r>
    </w:p>
    <w:p>
      <w:pPr>
        <w:pStyle w:val="Body"/>
        <w:rPr>
          <w:rFonts w:ascii="IFAO-Grec Unicode" w:cs="IFAO-Grec Unicode" w:hAnsi="IFAO-Grec Unicode" w:eastAsia="IFAO-Grec Unicode"/>
        </w:rPr>
      </w:pPr>
      <w:r>
        <w:rPr>
          <w:rFonts w:ascii="IFAO-Grec Unicode" w:hAnsi="IFAO-Grec Unicode"/>
          <w:rtl w:val="0"/>
          <w:lang w:val="en-US"/>
        </w:rPr>
        <w:t xml:space="preserve">It seems likely that the scribal offices of the high administration in Alexandria established an implicit standard. The Cleopatra papyrus, together with a handful of other conspicuous examples, show that the pattern described above was applied in a very competent manner by scribes who also knew how to adapt it to some specific needs, as when the sovereign issued an ordinance, or when a high official wrote to a </w:t>
      </w:r>
      <w:r>
        <w:rPr>
          <w:rFonts w:ascii="IFAO-Grec Unicode" w:hAnsi="IFAO-Grec Unicode"/>
          <w:rtl w:val="0"/>
        </w:rPr>
        <w:t>strategos</w:t>
      </w:r>
      <w:r>
        <w:rPr>
          <w:rFonts w:ascii="IFAO-Grec Unicode" w:hAnsi="IFAO-Grec Unicode"/>
          <w:rtl w:val="0"/>
          <w:lang w:val="en-US"/>
        </w:rPr>
        <w:t>. Whereas the general pattern is most visible among documents from the high administration, it was also followed by scribes with a more rudimentary training, who were not quite as skilled at mastering the implicit rules. This is illustrated by the letters that constitute the Tomos of Asklepiades. On the geographical dimension, the Herakleopolite nome is overrepresented in the pattern identified among documents from Cleopatra</w:t>
      </w:r>
      <w:r>
        <w:rPr>
          <w:rFonts w:ascii="IFAO-Grec Unicode" w:hAnsi="IFAO-Grec Unicode" w:hint="default"/>
          <w:rtl w:val="1"/>
        </w:rPr>
        <w:t>’</w:t>
      </w:r>
      <w:r>
        <w:rPr>
          <w:rFonts w:ascii="IFAO-Grec Unicode" w:hAnsi="IFAO-Grec Unicode"/>
          <w:rtl w:val="0"/>
          <w:lang w:val="en-US"/>
        </w:rPr>
        <w:t>s and Augustus</w:t>
      </w:r>
      <w:r>
        <w:rPr>
          <w:rFonts w:ascii="IFAO-Grec Unicode" w:hAnsi="IFAO-Grec Unicode" w:hint="default"/>
          <w:rtl w:val="1"/>
        </w:rPr>
        <w:t xml:space="preserve">’ </w:t>
      </w:r>
      <w:r>
        <w:rPr>
          <w:rFonts w:ascii="IFAO-Grec Unicode" w:hAnsi="IFAO-Grec Unicode"/>
          <w:rtl w:val="0"/>
          <w:lang w:val="en-US"/>
        </w:rPr>
        <w:t>reign, but parallels from the Arsinoite and Oxyrhynchite nomes show that this phenomenon was not restricted to a specific area.</w:t>
      </w:r>
    </w:p>
    <w:p>
      <w:pPr>
        <w:pStyle w:val="Body"/>
        <w:rPr>
          <w:rFonts w:ascii="IFAO-Grec Unicode" w:cs="IFAO-Grec Unicode" w:hAnsi="IFAO-Grec Unicode" w:eastAsia="IFAO-Grec Unicode"/>
        </w:rPr>
      </w:pPr>
      <w:r>
        <w:rPr>
          <w:rFonts w:ascii="IFAO-Grec Unicode" w:hAnsi="IFAO-Grec Unicode"/>
          <w:rtl w:val="0"/>
          <w:lang w:val="en-US"/>
        </w:rPr>
        <w:t>Letters, contracts, petitions and ordinances are not the only types where the basic pattern identified above is represented: declarations for small livestock (sheep and goats) are prepared according to the same general rules, and so are temporary grants of protection, or declarations on oath.</w:t>
      </w:r>
    </w:p>
    <w:p>
      <w:pPr>
        <w:pStyle w:val="Body"/>
        <w:rPr>
          <w:rFonts w:ascii="IFAO-Grec Unicode" w:cs="IFAO-Grec Unicode" w:hAnsi="IFAO-Grec Unicode" w:eastAsia="IFAO-Grec Unicode"/>
        </w:rPr>
      </w:pPr>
      <w:r>
        <w:rPr>
          <w:rFonts w:ascii="IFAO-Grec Unicode" w:hAnsi="IFAO-Grec Unicode"/>
          <w:rtl w:val="0"/>
          <w:lang w:val="en-US"/>
        </w:rPr>
        <w:t xml:space="preserve">Receipts written on ostraca did not require the same skill from scribes who produced a single short block of text. The only conspicuous feature was, in some of the receipts, the enlarged </w:t>
      </w:r>
      <w:r>
        <w:rPr>
          <w:rFonts w:ascii="IFAO-Grec Unicode" w:hAnsi="IFAO-Grec Unicode"/>
          <w:rtl w:val="0"/>
        </w:rPr>
        <w:t>epsilon</w:t>
      </w:r>
      <w:r>
        <w:rPr>
          <w:rFonts w:ascii="IFAO-Grec Unicode" w:hAnsi="IFAO-Grec Unicode"/>
          <w:rtl w:val="0"/>
          <w:lang w:val="en-US"/>
        </w:rPr>
        <w:t xml:space="preserve"> that marked the place of regnal year in the top left corner. Ostraca are nonetheless useful in showing how malleable the standard formulas could become. Receipts in the form of a letter would sometimes display the standard X to Y </w:t>
      </w:r>
      <w:r>
        <w:rPr>
          <w:rFonts w:ascii="IFAO-Grec Unicode" w:hAnsi="IFAO-Grec Unicode" w:hint="default"/>
          <w:rtl w:val="0"/>
        </w:rPr>
        <w:t>χαίρειν</w:t>
      </w:r>
      <w:r>
        <w:rPr>
          <w:rFonts w:ascii="IFAO-Grec Unicode" w:hAnsi="IFAO-Grec Unicode"/>
          <w:rtl w:val="0"/>
          <w:lang w:val="en-US"/>
        </w:rPr>
        <w:t xml:space="preserve">, but often the scribes rearranged the traditional elements, or removed one of them. Coming back to papyri, this is also what the scribes of the high administration did when they used a general pattern corresponding to a letter but adapted it for the Queen to issue an ordinance. Conversely, the idiosyncratic heading </w:t>
      </w:r>
      <w:r>
        <w:rPr>
          <w:rFonts w:ascii="IFAO-Grec Unicode" w:hAnsi="IFAO-Grec Unicode" w:hint="default"/>
          <w:rtl w:val="0"/>
          <w:lang w:val="en-US"/>
        </w:rPr>
        <w:t xml:space="preserve">– </w:t>
      </w:r>
      <w:r>
        <w:rPr>
          <w:rFonts w:ascii="IFAO-Grec Unicode" w:hAnsi="IFAO-Grec Unicode"/>
          <w:rtl w:val="0"/>
          <w:lang w:val="en-US"/>
        </w:rPr>
        <w:t xml:space="preserve">derived from that of a letter </w:t>
      </w:r>
      <w:r>
        <w:rPr>
          <w:rFonts w:ascii="IFAO-Grec Unicode" w:hAnsi="IFAO-Grec Unicode" w:hint="default"/>
          <w:rtl w:val="0"/>
          <w:lang w:val="en-US"/>
        </w:rPr>
        <w:t xml:space="preserve">– </w:t>
      </w:r>
      <w:r>
        <w:rPr>
          <w:rFonts w:ascii="IFAO-Grec Unicode" w:hAnsi="IFAO-Grec Unicode"/>
          <w:rtl w:val="0"/>
          <w:lang w:val="en-US"/>
        </w:rPr>
        <w:t xml:space="preserve">used in </w:t>
      </w:r>
      <w:r>
        <w:rPr>
          <w:rFonts w:ascii="IFAO-Grec Unicode" w:hAnsi="IFAO-Grec Unicode"/>
          <w:rtl w:val="0"/>
          <w:lang w:val="en-US"/>
        </w:rPr>
        <w:t>enteuxeis</w:t>
      </w:r>
      <w:r>
        <w:rPr>
          <w:rFonts w:ascii="IFAO-Grec Unicode" w:hAnsi="IFAO-Grec Unicode"/>
          <w:rtl w:val="0"/>
          <w:lang w:val="en-US"/>
        </w:rPr>
        <w:t xml:space="preserve"> remained unaltered till the end of the Ptolemaic period.</w:t>
      </w:r>
    </w:p>
    <w:p>
      <w:pPr>
        <w:pStyle w:val="Body"/>
        <w:rPr>
          <w:rFonts w:ascii="IFAO-Grec Unicode" w:cs="IFAO-Grec Unicode" w:hAnsi="IFAO-Grec Unicode" w:eastAsia="IFAO-Grec Unicode"/>
          <w:lang w:val="en-US"/>
        </w:rPr>
      </w:pPr>
      <w:r>
        <w:rPr>
          <w:rFonts w:ascii="IFAO-Grec Unicode" w:hAnsi="IFAO-Grec Unicode"/>
          <w:rtl w:val="0"/>
          <w:lang w:val="en-US"/>
        </w:rPr>
        <w:t>The typological pattern of petitions to officials of the Herakleopolite nome rests on models that go back to the second century BCE, and it is still attested in the first century CE. This raises the more general question of whether the shift from the Ptolemaic period (death of Cleopatra) to the Roman period (Augustus</w:t>
      </w:r>
      <w:r>
        <w:rPr>
          <w:rFonts w:ascii="IFAO-Grec Unicode" w:hAnsi="IFAO-Grec Unicode" w:hint="default"/>
          <w:rtl w:val="0"/>
          <w:lang w:val="en-US"/>
        </w:rPr>
        <w:t xml:space="preserve">’ </w:t>
      </w:r>
      <w:r>
        <w:rPr>
          <w:rFonts w:ascii="IFAO-Grec Unicode" w:hAnsi="IFAO-Grec Unicode"/>
          <w:rtl w:val="0"/>
          <w:lang w:val="en-US"/>
        </w:rPr>
        <w:t>seizure of Egypt) also meant a momentous change in the scribal practices in Egypt. In other words, do documents on papyrus become recognizably Roman early in the reign of Augustus? In spite of the black hole in the 30s, there is sufficient evidence to show that the scribes, once they had resumed their activity, did not fundamentally modify the patterns on which they were working.</w:t>
      </w:r>
      <w:r>
        <w:rPr>
          <w:rFonts w:ascii="IFAO-Grec Unicode" w:cs="IFAO-Grec Unicode" w:hAnsi="IFAO-Grec Unicode" w:eastAsia="IFAO-Grec Unicode"/>
          <w:vertAlign w:val="superscript"/>
          <w:lang w:val="en-US"/>
        </w:rPr>
        <w:footnoteReference w:id="142"/>
      </w:r>
      <w:r>
        <w:rPr>
          <w:rFonts w:ascii="IFAO-Grec Unicode" w:hAnsi="IFAO-Grec Unicode"/>
          <w:rtl w:val="0"/>
          <w:lang w:val="en-US"/>
        </w:rPr>
        <w:t xml:space="preserve"> The edict circulated by Proculus in 12 BCE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BGU 16 2558</w:t>
      </w:r>
      <w:r>
        <w:rPr>
          <w:rFonts w:ascii="IFAO-Grec Unicode" w:cs="IFAO-Grec Unicode" w:hAnsi="IFAO-Grec Unicode" w:eastAsia="IFAO-Grec Unicode"/>
        </w:rPr>
        <w:fldChar w:fldCharType="end" w:fldLock="0"/>
      </w:r>
      <w:r>
        <w:rPr>
          <w:rFonts w:ascii="IFAO-Grec Unicode" w:hAnsi="IFAO-Grec Unicode"/>
          <w:rtl w:val="0"/>
          <w:lang w:val="en-US"/>
        </w:rPr>
        <w:t xml:space="preserve">) does not indicate a change in practice among the scribes of the high administration. Likewise, the format and layout of </w:t>
      </w:r>
      <w:r>
        <w:rPr>
          <w:rFonts w:ascii="IFAO-Grec Unicode" w:hAnsi="IFAO-Grec Unicode"/>
          <w:rtl w:val="0"/>
          <w:lang w:val="en-US"/>
        </w:rPr>
        <w:t xml:space="preserve">pistis </w:t>
      </w:r>
      <w:r>
        <w:rPr>
          <w:rFonts w:ascii="IFAO-Grec Unicode" w:hAnsi="IFAO-Grec Unicode"/>
          <w:rtl w:val="0"/>
          <w:lang w:val="en-US"/>
        </w:rPr>
        <w:t>documents remain by and large unaltered for half a century, with a specimen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"https://papyri.info/hgv/23332"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BGU 16 2609</w:t>
      </w:r>
      <w:r>
        <w:rPr>
          <w:rFonts w:ascii="IFAO-Grec Unicode" w:cs="IFAO-Grec Unicode" w:hAnsi="IFAO-Grec Unicode" w:eastAsia="IFAO-Grec Unicode"/>
        </w:rPr>
        <w:fldChar w:fldCharType="end" w:fldLock="0"/>
      </w:r>
      <w:r>
        <w:rPr>
          <w:rFonts w:ascii="IFAO-Grec Unicode" w:hAnsi="IFAO-Grec Unicode"/>
          <w:rtl w:val="0"/>
          <w:lang w:val="en-US"/>
        </w:rPr>
        <w:t xml:space="preserve">) in the year 7 BCE displaying no notable difference. It is also no coincidence that, as noted above, high officials drop the Ptolemaic greeting </w:t>
      </w:r>
      <w:r>
        <w:rPr>
          <w:rFonts w:ascii="IFAO-Grec Unicode" w:hAnsi="IFAO-Grec Unicode" w:hint="default"/>
          <w:rtl w:val="0"/>
        </w:rPr>
        <w:t>ἔρρωσο</w:t>
      </w:r>
      <w:r>
        <w:rPr>
          <w:rFonts w:ascii="IFAO-Grec Unicode" w:hAnsi="IFAO-Grec Unicode"/>
          <w:rtl w:val="0"/>
          <w:lang w:val="en-US"/>
        </w:rPr>
        <w:t xml:space="preserve"> only in the late first century CE, replacing it with a more elaborate </w:t>
      </w:r>
      <w:r>
        <w:rPr>
          <w:rFonts w:ascii="IFAO-Grec Unicode" w:hAnsi="IFAO-Grec Unicode" w:hint="default"/>
          <w:rtl w:val="0"/>
        </w:rPr>
        <w:t>ἐρρῶσθαι</w:t>
      </w:r>
      <w:r>
        <w:rPr>
          <w:rFonts w:ascii="IFAO-Grec Unicode" w:hAnsi="IFAO-Grec Unicode"/>
          <w:rtl w:val="0"/>
          <w:lang w:val="en-US"/>
        </w:rPr>
        <w:t xml:space="preserve"> </w:t>
      </w:r>
      <w:r>
        <w:rPr>
          <w:rFonts w:ascii="IFAO-Grec Unicode" w:hAnsi="IFAO-Grec Unicode" w:hint="default"/>
          <w:rtl w:val="0"/>
        </w:rPr>
        <w:t>βούλομαι</w:t>
      </w:r>
      <w:r>
        <w:rPr>
          <w:rFonts w:ascii="IFAO-Grec Unicode" w:hAnsi="IFAO-Grec Unicode"/>
          <w:rtl w:val="0"/>
          <w:lang w:val="en-US"/>
        </w:rPr>
        <w:t xml:space="preserve">. If a shift took place at all, this is more likely to have happened when the Roman administration asserted a stronger position around the mid-first century CE. Concrete signs of this change are to be found, for example, in the creation of the registries of property, the </w:t>
      </w:r>
      <w:r>
        <w:rPr>
          <w:rFonts w:ascii="IFAO-Grec Unicode" w:hAnsi="IFAO-Grec Unicode" w:hint="default"/>
          <w:rtl w:val="0"/>
        </w:rPr>
        <w:t>δημοσία</w:t>
      </w:r>
      <w:r>
        <w:rPr>
          <w:rFonts w:ascii="IFAO-Grec Unicode" w:hAnsi="IFAO-Grec Unicode"/>
          <w:rtl w:val="0"/>
          <w:lang w:val="en-US"/>
        </w:rPr>
        <w:t xml:space="preserve"> </w:t>
      </w:r>
      <w:r>
        <w:rPr>
          <w:rFonts w:ascii="IFAO-Grec Unicode" w:hAnsi="IFAO-Grec Unicode" w:hint="default"/>
          <w:rtl w:val="0"/>
        </w:rPr>
        <w:t>βιβλιοθήκη</w:t>
      </w:r>
      <w:r>
        <w:rPr>
          <w:rFonts w:ascii="IFAO-Grec Unicode" w:hAnsi="IFAO-Grec Unicode"/>
          <w:rtl w:val="0"/>
          <w:lang w:val="en-US"/>
        </w:rPr>
        <w:t xml:space="preserve"> and the </w:t>
      </w:r>
      <w:r>
        <w:rPr>
          <w:rFonts w:ascii="IFAO-Grec Unicode" w:hAnsi="IFAO-Grec Unicode" w:hint="default"/>
          <w:rtl w:val="0"/>
        </w:rPr>
        <w:t>βιβλιοθήκη</w:t>
      </w:r>
      <w:r>
        <w:rPr>
          <w:rFonts w:ascii="IFAO-Grec Unicode" w:hAnsi="IFAO-Grec Unicode"/>
          <w:rtl w:val="0"/>
          <w:lang w:val="en-US"/>
        </w:rPr>
        <w:t xml:space="preserve"> </w:t>
      </w:r>
      <w:r>
        <w:rPr>
          <w:rFonts w:ascii="IFAO-Grec Unicode" w:hAnsi="IFAO-Grec Unicode" w:hint="default"/>
          <w:rtl w:val="0"/>
        </w:rPr>
        <w:t>ἐγκτήσεων</w:t>
      </w:r>
      <w:r>
        <w:rPr>
          <w:rFonts w:ascii="IFAO-Grec Unicode" w:hAnsi="IFAO-Grec Unicode"/>
          <w:rtl w:val="0"/>
          <w:lang w:val="en-US"/>
        </w:rPr>
        <w:t>, or in the abolition of gymnasia in the villages, together with the establishment of examination of civic status (</w:t>
      </w:r>
      <w:r>
        <w:rPr>
          <w:rFonts w:ascii="IFAO-Grec Unicode" w:hAnsi="IFAO-Grec Unicode" w:hint="default"/>
          <w:rtl w:val="0"/>
        </w:rPr>
        <w:t>ἐπίκρισις</w:t>
      </w:r>
      <w:r>
        <w:rPr>
          <w:rFonts w:ascii="IFAO-Grec Unicode" w:hAnsi="IFAO-Grec Unicode"/>
          <w:rtl w:val="0"/>
          <w:lang w:val="en-US"/>
        </w:rPr>
        <w:t>).</w:t>
      </w:r>
      <w:r>
        <w:rPr>
          <w:rFonts w:ascii="IFAO-Grec Unicode" w:cs="IFAO-Grec Unicode" w:hAnsi="IFAO-Grec Unicode" w:eastAsia="IFAO-Grec Unicode"/>
          <w:vertAlign w:val="superscript"/>
          <w:lang w:val="en-US"/>
        </w:rPr>
        <w:footnoteReference w:id="143"/>
      </w:r>
      <w:r>
        <w:rPr>
          <w:rFonts w:ascii="IFAO-Grec Unicode" w:hAnsi="IFAO-Grec Unicode"/>
          <w:rtl w:val="0"/>
          <w:lang w:val="en-US"/>
        </w:rPr>
        <w:t xml:space="preserve"> But this is another story.</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Fonts w:ascii="IFAO-Grec Unicode" w:hAnsi="IFAO-Grec Unicode"/>
          <w:rtl w:val="0"/>
          <w:lang w:val="en-US"/>
        </w:rPr>
        <w:t>#bibliography</w:t>
      </w: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"https://papyri.info/biblio/97134"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 xml:space="preserve">Baetens, G., Bagnall, R.S., Caputo, C., Mazy, </w:t>
      </w:r>
      <w:r>
        <w:rPr>
          <w:rStyle w:val="Link"/>
          <w:rFonts w:ascii="IFAO-Grec Unicode" w:hAnsi="IFAO-Grec Unicode" w:hint="default"/>
          <w:rtl w:val="0"/>
          <w:lang w:val="fr-FR"/>
        </w:rPr>
        <w:t>É</w:t>
      </w:r>
      <w:r>
        <w:rPr>
          <w:rStyle w:val="Link"/>
          <w:rFonts w:ascii="IFAO-Grec Unicode" w:hAnsi="IFAO-Grec Unicode"/>
          <w:rtl w:val="0"/>
          <w:lang w:val="en-US"/>
        </w:rPr>
        <w:t>., and Ratzan, D.M. (2022)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Ostraka in the collection of New York University</w:t>
      </w:r>
      <w:r>
        <w:rPr>
          <w:rFonts w:ascii="IFAO-Grec Unicode" w:hAnsi="IFAO-Grec Unicode"/>
          <w:rtl w:val="0"/>
          <w:lang w:val="en-US"/>
        </w:rPr>
        <w:t>. New York. [= O.NYU].</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"https://papyri.info/biblio/50460"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Bagnall, R.S. and Bogaert, R. (1975)</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Orders for payment from a banker</w:t>
      </w:r>
      <w:r>
        <w:rPr>
          <w:rFonts w:ascii="IFAO-Grec Unicode" w:hAnsi="IFAO-Grec Unicode" w:hint="default"/>
          <w:rtl w:val="1"/>
        </w:rPr>
        <w:t>’</w:t>
      </w:r>
      <w:r>
        <w:rPr>
          <w:rFonts w:ascii="IFAO-Grec Unicode" w:hAnsi="IFAO-Grec Unicode"/>
          <w:rtl w:val="0"/>
          <w:lang w:val="en-US"/>
        </w:rPr>
        <w:t>s archive: Papyri in the collection of Florida State University</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it-IT"/>
        </w:rPr>
        <w:t>Anc. Soc</w:t>
      </w:r>
      <w:r>
        <w:rPr>
          <w:rFonts w:ascii="IFAO-Grec Unicode" w:hAnsi="IFAO-Grec Unicode"/>
          <w:rtl w:val="0"/>
        </w:rPr>
        <w:t xml:space="preserve">. 6: 79-108 [=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"https://papyri.info/hgv/4211"</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SB 14 11309</w:t>
      </w:r>
      <w:r>
        <w:rPr>
          <w:rFonts w:ascii="IFAO-Grec Unicode" w:cs="IFAO-Grec Unicode" w:hAnsi="IFAO-Grec Unicode" w:eastAsia="IFAO-Grec Unicode"/>
        </w:rPr>
        <w:fldChar w:fldCharType="end" w:fldLock="0"/>
      </w:r>
      <w:r>
        <w:rPr>
          <w:rFonts w:ascii="IFAO-Grec Unicode" w:hAnsi="IFAO-Grec Unicode"/>
          <w:rtl w:val="0"/>
        </w:rPr>
        <w:t>-</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"https://papyri.info/hgv/4230"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11328</w:t>
      </w:r>
      <w:r>
        <w:rPr>
          <w:rFonts w:ascii="IFAO-Grec Unicode" w:cs="IFAO-Grec Unicode" w:hAnsi="IFAO-Grec Unicode" w:eastAsia="IFAO-Grec Unicode"/>
        </w:rPr>
        <w:fldChar w:fldCharType="end" w:fldLock="0"/>
      </w:r>
      <w:r>
        <w:rPr>
          <w:rFonts w:ascii="IFAO-Grec Unicode" w:hAnsi="IFAO-Grec Unicode"/>
          <w:rtl w:val="0"/>
          <w:lang w:val="en-US"/>
        </w:rPr>
        <w:t xml:space="preserve">; repr. in Bogaert, R. (1994), </w:t>
      </w:r>
      <w:r>
        <w:rPr>
          <w:rFonts w:ascii="IFAO-Grec Unicode" w:hAnsi="IFAO-Grec Unicode"/>
          <w:rtl w:val="0"/>
        </w:rPr>
        <w:t>Trapezitica Aegyptiaca</w:t>
      </w:r>
      <w:r>
        <w:rPr>
          <w:rFonts w:ascii="IFAO-Grec Unicode" w:hAnsi="IFAO-Grec Unicode"/>
          <w:rtl w:val="0"/>
        </w:rPr>
        <w:t>. Pap</w:t>
      </w:r>
      <w:r>
        <w:rPr>
          <w:rFonts w:ascii="IFAO-Grec Unicode" w:hAnsi="IFAO-Grec Unicode"/>
          <w:rtl w:val="0"/>
        </w:rPr>
        <w:t>. Flor.</w:t>
      </w:r>
      <w:r>
        <w:rPr>
          <w:rFonts w:ascii="IFAO-Grec Unicode" w:hAnsi="IFAO-Grec Unicode"/>
          <w:rtl w:val="0"/>
          <w:lang w:val="it-IT"/>
        </w:rPr>
        <w:t xml:space="preserve"> XXV, Firenze: 219-244].</w:t>
      </w:r>
      <w:r>
        <w:rPr>
          <w:rFonts w:ascii="IFAO-Grec Unicode" w:hAnsi="IFAO-Grec Unicode"/>
          <w:rtl w:val="0"/>
          <w:lang w:val="de-DE"/>
        </w:rPr>
        <w:t xml:space="preserve">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"https://papyri.info/biblio/19012"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Bagnall, R.S. and Cribiore, R. (2006)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Women</w:t>
      </w:r>
      <w:r>
        <w:rPr>
          <w:rFonts w:ascii="IFAO-Grec Unicode" w:hAnsi="IFAO-Grec Unicode" w:hint="default"/>
          <w:rtl w:val="1"/>
        </w:rPr>
        <w:t>’</w:t>
      </w:r>
      <w:r>
        <w:rPr>
          <w:rFonts w:ascii="IFAO-Grec Unicode" w:hAnsi="IFAO-Grec Unicode"/>
          <w:rtl w:val="0"/>
          <w:lang w:val="en-US"/>
        </w:rPr>
        <w:t xml:space="preserve">s letters from ancient Egypt 300 BC </w:t>
      </w:r>
      <w:r>
        <w:rPr>
          <w:rFonts w:ascii="IFAO-Grec Unicode" w:hAnsi="IFAO-Grec Unicode" w:hint="default"/>
          <w:rtl w:val="0"/>
        </w:rPr>
        <w:t xml:space="preserve">– </w:t>
      </w:r>
      <w:r>
        <w:rPr>
          <w:rFonts w:ascii="IFAO-Grec Unicode" w:hAnsi="IFAO-Grec Unicode"/>
          <w:rtl w:val="0"/>
        </w:rPr>
        <w:t>AD 800</w:t>
      </w:r>
      <w:r>
        <w:rPr>
          <w:rFonts w:ascii="IFAO-Grec Unicode" w:hAnsi="IFAO-Grec Unicode"/>
          <w:rtl w:val="0"/>
        </w:rPr>
        <w:t>. Ann Arbor.</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"https://papyri.info/biblio/17872"</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en-US"/>
        </w:rPr>
        <w:t>Bagnall, R.S. and Derow, P. (2004)</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rtl w:val="0"/>
          <w:lang w:val="en-US"/>
        </w:rPr>
        <w:t>The Hellenistic period. Historical sources in translation</w:t>
      </w:r>
      <w:r>
        <w:rPr>
          <w:rFonts w:ascii="IFAO-Grec Unicode" w:hAnsi="IFAO-Grec Unicode"/>
          <w:rtl w:val="0"/>
          <w:lang w:val="en-US"/>
        </w:rPr>
        <w:t xml:space="preserve">. Revised ed., Malden MA </w:t>
      </w:r>
      <w:r>
        <w:rPr>
          <w:rFonts w:ascii="IFAO-Grec Unicode" w:hAnsi="IFAO-Grec Unicode" w:hint="default"/>
          <w:rtl w:val="0"/>
          <w:lang w:val="en-US"/>
        </w:rPr>
        <w:t>–</w:t>
      </w:r>
      <w:r>
        <w:rPr>
          <w:rFonts w:ascii="IFAO-Grec Unicode" w:hAnsi="IFAO-Grec Unicode"/>
          <w:rtl w:val="0"/>
          <w:lang w:val="en-US"/>
        </w:rPr>
        <w:t xml:space="preserve"> Oxford </w:t>
      </w:r>
      <w:r>
        <w:rPr>
          <w:rFonts w:ascii="IFAO-Grec Unicode" w:hAnsi="IFAO-Grec Unicode" w:hint="default"/>
          <w:rtl w:val="0"/>
          <w:lang w:val="en-US"/>
        </w:rPr>
        <w:t>–</w:t>
      </w:r>
      <w:r>
        <w:rPr>
          <w:rFonts w:ascii="IFAO-Grec Unicode" w:hAnsi="IFAO-Grec Unicode"/>
          <w:rtl w:val="0"/>
          <w:lang w:val="en-US"/>
        </w:rPr>
        <w:t xml:space="preserve"> Victoria.</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"https://doi.org/10/g6mk29"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Bonagura, G., Chang, R.-L., Ferretti, L., Fogarty, S., Nury, E., and Schubert, P. (2019-2026)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fr-FR"/>
        </w:rPr>
        <w:t>grammateus</w:t>
      </w:r>
      <w:r>
        <w:rPr>
          <w:rFonts w:ascii="IFAO-Grec Unicode" w:hAnsi="IFAO-Grec Unicode"/>
          <w:rtl w:val="0"/>
          <w:lang w:val="pt-PT"/>
        </w:rPr>
        <w:t xml:space="preserve"> [dataset as of 02.2023]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"https://grammateus.unige.ch"</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https://grammateus.unige.ch</w:t>
      </w:r>
      <w:r>
        <w:rPr>
          <w:rFonts w:ascii="IFAO-Grec Unicode" w:cs="IFAO-Grec Unicode" w:hAnsi="IFAO-Grec Unicode" w:eastAsia="IFAO-Grec Unicode"/>
        </w:rPr>
        <w:fldChar w:fldCharType="end" w:fldLock="0"/>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"https://papyri.info/biblio/97009"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Bonagura, G., Chang, R.-L., Ferretti, L., Fogarty, S., Nury, E., and Schubert, P. (2023)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 xml:space="preserve">Description of Greek Documentary Papyri: Order to </w:t>
      </w:r>
      <w:r>
        <w:rPr>
          <w:rFonts w:ascii="IFAO-Grec Unicode" w:hAnsi="IFAO-Grec Unicode"/>
          <w:rtl w:val="0"/>
          <w:lang w:val="en-US"/>
        </w:rPr>
        <w:t xml:space="preserve">Pay (grammateus project) [Accessed: May 31, 2024]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"https://grammateus.unige.ch/descriptions/letter_order"</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https://grammateus.unige.ch/descriptions/letter_order</w:t>
      </w:r>
      <w:r>
        <w:rPr>
          <w:rFonts w:ascii="IFAO-Grec Unicode" w:cs="IFAO-Grec Unicode" w:hAnsi="IFAO-Grec Unicode" w:eastAsia="IFAO-Grec Unicode"/>
        </w:rPr>
        <w:fldChar w:fldCharType="end" w:fldLock="0"/>
      </w:r>
      <w:r>
        <w:rPr>
          <w:rFonts w:ascii="IFAO-Grec Unicode" w:hAnsi="IFAO-Grec Unicode"/>
          <w:rtl w:val="0"/>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"https://papyri.info/biblio/86322"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fr-FR"/>
        </w:rPr>
        <w:t>Broux, Y. (2013)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Creating a new local elite: The establishment of the metropolitan orders of Roman Egypt</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APF</w:t>
      </w:r>
      <w:r>
        <w:rPr>
          <w:rFonts w:ascii="IFAO-Grec Unicode" w:hAnsi="IFAO-Grec Unicode"/>
          <w:rtl w:val="0"/>
        </w:rPr>
        <w:t xml:space="preserve"> 59: 143-153.</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"https://papyri.info/biblio/18490"</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en-US"/>
        </w:rPr>
        <w:t>Capponi, L. (2005)</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rtl w:val="0"/>
          <w:lang w:val="en-US"/>
        </w:rPr>
        <w:t>Augustan Egypt. The creation of a Roman province</w:t>
      </w:r>
      <w:r>
        <w:rPr>
          <w:rFonts w:ascii="IFAO-Grec Unicode" w:hAnsi="IFAO-Grec Unicode"/>
          <w:rtl w:val="0"/>
          <w:lang w:val="en-US"/>
        </w:rPr>
        <w:t xml:space="preserve">. New York </w:t>
      </w:r>
      <w:r>
        <w:rPr>
          <w:rFonts w:ascii="IFAO-Grec Unicode" w:hAnsi="IFAO-Grec Unicode" w:hint="default"/>
          <w:rtl w:val="0"/>
          <w:lang w:val="en-US"/>
        </w:rPr>
        <w:t>–</w:t>
      </w:r>
      <w:r>
        <w:rPr>
          <w:rFonts w:ascii="IFAO-Grec Unicode" w:hAnsi="IFAO-Grec Unicode"/>
          <w:rtl w:val="0"/>
          <w:lang w:val="en-US"/>
        </w:rPr>
        <w:t xml:space="preserve"> Milton Park Abingdon</w:t>
      </w:r>
      <w:r>
        <w:rPr>
          <w:rFonts w:ascii="IFAO-Grec Unicode" w:hAnsi="IFAO-Grec Unicode"/>
          <w:rtl w:val="0"/>
          <w:lang w:val="en-US"/>
        </w:rPr>
        <w:t>.</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"https://papyri.info/biblio/86165"</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en-US"/>
        </w:rPr>
        <w:t>Capponi, L. (2016)</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C. Calpurnius Proculus and an example of Greek stenography under Augustus</w:t>
      </w:r>
      <w:r>
        <w:rPr>
          <w:rFonts w:ascii="IFAO-Grec Unicode" w:hAnsi="IFAO-Grec Unicode" w:hint="default"/>
          <w:rtl w:val="0"/>
          <w:lang w:val="en-US"/>
        </w:rPr>
        <w:t>”</w:t>
      </w:r>
      <w:r>
        <w:rPr>
          <w:rFonts w:ascii="IFAO-Grec Unicode" w:hAnsi="IFAO-Grec Unicode"/>
          <w:rtl w:val="0"/>
          <w:lang w:val="en-US"/>
        </w:rPr>
        <w:t xml:space="preserve">, in Derda, T., </w:t>
      </w:r>
      <w:r>
        <w:rPr>
          <w:rFonts w:ascii="Arial Unicode MS" w:cs="Arial Unicode MS" w:hAnsi="Arial Unicode MS" w:eastAsia="Arial Unicode MS" w:hint="cs"/>
          <w:b w:val="0"/>
          <w:bCs w:val="0"/>
          <w:i w:val="0"/>
          <w:iCs w:val="0"/>
          <w:sz w:val="22"/>
          <w:szCs w:val="22"/>
          <w:rtl w:val="1"/>
          <w:lang w:val="he-IL" w:bidi="he-IL"/>
        </w:rPr>
        <w:t>ׅ</w:t>
      </w:r>
      <w:r>
        <w:rPr>
          <w:rFonts w:ascii="IFAO-Grec Unicode" w:hAnsi="IFAO-Grec Unicode" w:hint="default"/>
          <w:rtl w:val="0"/>
          <w:lang w:val="en-US"/>
        </w:rPr>
        <w:t>Ł</w:t>
      </w:r>
      <w:r>
        <w:rPr>
          <w:rFonts w:ascii="IFAO-Grec Unicode" w:hAnsi="IFAO-Grec Unicode"/>
          <w:rtl w:val="0"/>
          <w:lang w:val="en-US"/>
        </w:rPr>
        <w:t xml:space="preserve">ajtar, A., and Urbanik, J. (eds.), </w:t>
      </w:r>
      <w:r>
        <w:rPr>
          <w:rFonts w:ascii="IFAO-Grec Unicode" w:hAnsi="IFAO-Grec Unicode"/>
          <w:rtl w:val="0"/>
          <w:lang w:val="en-US"/>
        </w:rPr>
        <w:t>Proceedings of the 27</w:t>
      </w:r>
      <w:r>
        <w:rPr>
          <w:rFonts w:ascii="IFAO-Grec Unicode" w:hAnsi="IFAO-Grec Unicode"/>
          <w:vertAlign w:val="superscript"/>
          <w:rtl w:val="0"/>
          <w:lang w:val="en-US"/>
        </w:rPr>
        <w:t>th</w:t>
      </w:r>
      <w:r>
        <w:rPr>
          <w:rFonts w:ascii="IFAO-Grec Unicode" w:hAnsi="IFAO-Grec Unicode"/>
          <w:rtl w:val="0"/>
          <w:lang w:val="en-US"/>
        </w:rPr>
        <w:t xml:space="preserve"> international congress of papyrology</w:t>
      </w:r>
      <w:r>
        <w:rPr>
          <w:rFonts w:ascii="IFAO-Grec Unicode" w:hAnsi="IFAO-Grec Unicode"/>
          <w:rtl w:val="0"/>
          <w:lang w:val="en-US"/>
        </w:rPr>
        <w:t>. Warszawa: 1709-1723.</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Causo, S. (2025)</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Medium, procedures and conventions. A framework for analysing the materiality of documents on papyrus</w:t>
      </w:r>
      <w:r>
        <w:rPr>
          <w:rFonts w:ascii="IFAO-Grec Unicode" w:hAnsi="IFAO-Grec Unicode" w:hint="default"/>
          <w:rtl w:val="0"/>
        </w:rPr>
        <w:t>”</w:t>
      </w:r>
      <w:r>
        <w:rPr>
          <w:rFonts w:ascii="IFAO-Grec Unicode" w:hAnsi="IFAO-Grec Unicode"/>
          <w:rtl w:val="0"/>
          <w:lang w:val="de-DE"/>
        </w:rPr>
        <w:t xml:space="preserve">, in Bentein, K. (ed.), </w:t>
      </w:r>
      <w:r>
        <w:rPr>
          <w:rFonts w:ascii="IFAO-Grec Unicode" w:hAnsi="IFAO-Grec Unicode"/>
          <w:rtl w:val="0"/>
          <w:lang w:val="en-US"/>
        </w:rPr>
        <w:t>Everyday communication in Antiquity: Frames and framing</w:t>
      </w:r>
      <w:r>
        <w:rPr>
          <w:rFonts w:ascii="IFAO-Grec Unicode" w:hAnsi="IFAO-Grec Unicode"/>
          <w:rtl w:val="0"/>
        </w:rPr>
        <w:t>. Ghent.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"https://papyri.info/biblio/51280"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Clarysse, W. (1976)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Notes on the use of the iota adscript in the third century B.C.</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C</w:t>
      </w:r>
      <w:r>
        <w:rPr>
          <w:rFonts w:ascii="IFAO-Grec Unicode" w:hAnsi="IFAO-Grec Unicode" w:hint="default"/>
          <w:rtl w:val="0"/>
          <w:lang w:val="fr-FR"/>
        </w:rPr>
        <w:t>É</w:t>
      </w:r>
      <w:r>
        <w:rPr>
          <w:rFonts w:ascii="IFAO-Grec Unicode" w:hAnsi="IFAO-Grec Unicode"/>
          <w:rtl w:val="0"/>
        </w:rPr>
        <w:t xml:space="preserve"> 51: 150-166.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"https://papyri.info/biblio/86668"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Claytor, W.G. (2014)</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Rogue notaries? Two unusual double documents from the late Ptolemaic Fayum</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de-DE"/>
        </w:rPr>
        <w:t xml:space="preserve">JJP </w:t>
      </w:r>
      <w:r>
        <w:rPr>
          <w:rFonts w:ascii="IFAO-Grec Unicode" w:hAnsi="IFAO-Grec Unicode"/>
          <w:rtl w:val="0"/>
          <w:lang w:val="it-IT"/>
        </w:rPr>
        <w:t>44: 93-115.</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"https://papyri.info/biblio/95713"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Claytor, W.G., Litinas, N., and Nabney, E. (2016)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Labor contracts from the Harthotes archive</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BASP</w:t>
      </w:r>
      <w:r>
        <w:rPr>
          <w:rFonts w:ascii="IFAO-Grec Unicode" w:hAnsi="IFAO-Grec Unicode"/>
          <w:rtl w:val="0"/>
        </w:rPr>
        <w:t xml:space="preserve"> 53: 79-119.</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"https://papyri.info/biblio/95716"</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Claytor, W.G. and van Minnen, P. (2021)</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An antichretic loan from early Roman Alexandria</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rtl w:val="0"/>
          <w:lang w:val="en-US"/>
        </w:rPr>
        <w:t>ZPE</w:t>
      </w:r>
      <w:r>
        <w:rPr>
          <w:rFonts w:ascii="IFAO-Grec Unicode" w:hAnsi="IFAO-Grec Unicode"/>
          <w:rtl w:val="0"/>
          <w:lang w:val="en-US"/>
        </w:rPr>
        <w:t xml:space="preserve"> 217: 158-164.</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"https://papyri.info/biblio/97339"</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Essler, H. (2025)</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Die Korrespondenz zu den Papyrus-Grabungen und Survey in Abusir el-Meleq und Darb Gerz (Philadelphia)</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Anal. Pap.</w:t>
      </w:r>
      <w:r>
        <w:rPr>
          <w:rFonts w:ascii="IFAO-Grec Unicode" w:hAnsi="IFAO-Grec Unicode"/>
          <w:rtl w:val="0"/>
        </w:rPr>
        <w:t xml:space="preserve"> 39: 163-217.</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Ferretti, L. (2024)</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hint="default"/>
          <w:rtl w:val="0"/>
          <w:lang w:val="en-US"/>
        </w:rPr>
        <w:t>τῷ</w:t>
      </w:r>
      <w:r>
        <w:rPr>
          <w:rFonts w:ascii="IFAO-Grec Unicode" w:hAnsi="IFAO-Grec Unicode"/>
          <w:rtl w:val="0"/>
          <w:lang w:val="de-DE"/>
        </w:rPr>
        <w:t xml:space="preserve"> </w:t>
      </w:r>
      <w:r>
        <w:rPr>
          <w:rFonts w:ascii="IFAO-Grec Unicode" w:hAnsi="IFAO-Grec Unicode" w:hint="default"/>
          <w:rtl w:val="0"/>
          <w:lang w:val="en-US"/>
        </w:rPr>
        <w:t>δεῖνι</w:t>
      </w:r>
      <w:r>
        <w:rPr>
          <w:rFonts w:ascii="IFAO-Grec Unicode" w:hAnsi="IFAO-Grec Unicode"/>
          <w:rtl w:val="0"/>
          <w:lang w:val="de-DE"/>
        </w:rPr>
        <w:t xml:space="preserve"> </w:t>
      </w:r>
      <w:r>
        <w:rPr>
          <w:rFonts w:ascii="IFAO-Grec Unicode" w:hAnsi="IFAO-Grec Unicode" w:hint="default"/>
          <w:rtl w:val="0"/>
          <w:lang w:val="en-US"/>
        </w:rPr>
        <w:t>παρὰ</w:t>
      </w:r>
      <w:r>
        <w:rPr>
          <w:rFonts w:ascii="IFAO-Grec Unicode" w:hAnsi="IFAO-Grec Unicode"/>
          <w:rtl w:val="0"/>
          <w:lang w:val="de-DE"/>
        </w:rPr>
        <w:t xml:space="preserve"> </w:t>
      </w:r>
      <w:r>
        <w:rPr>
          <w:rFonts w:ascii="IFAO-Grec Unicode" w:hAnsi="IFAO-Grec Unicode" w:hint="default"/>
          <w:rtl w:val="0"/>
          <w:lang w:val="en-US"/>
        </w:rPr>
        <w:t>τοῦ</w:t>
      </w:r>
      <w:r>
        <w:rPr>
          <w:rFonts w:ascii="IFAO-Grec Unicode" w:hAnsi="IFAO-Grec Unicode"/>
          <w:rtl w:val="0"/>
          <w:lang w:val="de-DE"/>
        </w:rPr>
        <w:t xml:space="preserve"> </w:t>
      </w:r>
      <w:r>
        <w:rPr>
          <w:rFonts w:ascii="IFAO-Grec Unicode" w:hAnsi="IFAO-Grec Unicode" w:hint="default"/>
          <w:rtl w:val="0"/>
          <w:lang w:val="en-US"/>
        </w:rPr>
        <w:t>δεῖνος</w:t>
      </w:r>
      <w:r>
        <w:rPr>
          <w:rFonts w:ascii="IFAO-Grec Unicode" w:hAnsi="IFAO-Grec Unicode"/>
          <w:rtl w:val="0"/>
          <w:lang w:val="de-DE"/>
        </w:rPr>
        <w:t xml:space="preserve">. </w:t>
      </w:r>
      <w:r>
        <w:rPr>
          <w:rFonts w:ascii="IFAO-Grec Unicode" w:hAnsi="IFAO-Grec Unicode"/>
          <w:rtl w:val="0"/>
          <w:lang w:val="en-US"/>
        </w:rPr>
        <w:t xml:space="preserve">A history of the hypomnema in Greek papyri from Egypt (300 BCE </w:t>
      </w:r>
      <w:r>
        <w:rPr>
          <w:rFonts w:ascii="IFAO-Grec Unicode" w:hAnsi="IFAO-Grec Unicode" w:hint="default"/>
          <w:rtl w:val="0"/>
          <w:lang w:val="en-US"/>
        </w:rPr>
        <w:t xml:space="preserve">– </w:t>
      </w:r>
      <w:r>
        <w:rPr>
          <w:rFonts w:ascii="IFAO-Grec Unicode" w:hAnsi="IFAO-Grec Unicode"/>
          <w:rtl w:val="0"/>
          <w:lang w:val="en-US"/>
        </w:rPr>
        <w:t>100 CE)</w:t>
      </w:r>
      <w:r>
        <w:rPr>
          <w:rFonts w:ascii="IFAO-Grec Unicode" w:hAnsi="IFAO-Grec Unicode"/>
          <w:rtl w:val="0"/>
          <w:lang w:val="en-US"/>
        </w:rPr>
        <w:t>. Unpublished PhD thesis, University of Geneva.</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"https://papyri.info/biblio/96190"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Ferretti, L., Fogarty, S., Nury, E., and Schubert, P. (2020)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Cession of cleruchic land: from procedure to format</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215: 201-210.</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"https://papyri.info/biblio/97510"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Ferretti, L., Fogarty, S., Nury, E., and Schubert, P. (2023a)</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rtl w:val="0"/>
          <w:lang w:val="en-US"/>
        </w:rPr>
        <w:t>grammateus, Classification of Greek documentary papyri: Transmission of information</w:t>
      </w:r>
      <w:r>
        <w:rPr>
          <w:rFonts w:ascii="IFAO-Grec Unicode" w:hAnsi="IFAO-Grec Unicode"/>
          <w:rtl w:val="0"/>
          <w:lang w:val="en-US"/>
        </w:rPr>
        <w:t xml:space="preserve"> [A</w:t>
      </w:r>
      <w:r>
        <w:rPr>
          <w:rFonts w:ascii="IFAO-Grec Unicode" w:hAnsi="IFAO-Grec Unicode"/>
          <w:rtl w:val="0"/>
          <w:lang w:val="en-US"/>
        </w:rPr>
        <w:t>ccessed: December 12, 2024]</w:t>
      </w:r>
      <w:r>
        <w:rPr>
          <w:rFonts w:ascii="IFAO-Grec Unicode" w:hAnsi="IFAO-Grec Unicode"/>
          <w:rtl w:val="0"/>
          <w:lang w:val="en-US"/>
        </w:rPr>
        <w:t xml:space="preser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"https://grammateus.unige.ch/classification/ti"</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https://grammateus.unige.ch/classification/ti</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"https://doi.org/10/gs9qn2"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https://doi.org/10/gs9qn2</w:t>
      </w:r>
      <w:r>
        <w:rPr>
          <w:rFonts w:ascii="IFAO-Grec Unicode" w:cs="IFAO-Grec Unicode" w:hAnsi="IFAO-Grec Unicode" w:eastAsia="IFAO-Grec Unicode"/>
        </w:rPr>
        <w:fldChar w:fldCharType="end" w:fldLock="0"/>
      </w:r>
      <w:r>
        <w:rPr>
          <w:rFonts w:ascii="IFAO-Grec Unicode" w:hAnsi="IFAO-Grec Unicode"/>
          <w:rtl w:val="0"/>
          <w:lang w:val="en-US"/>
        </w:rPr>
        <w:t>.</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"https://papyri.info/biblio/97413"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Ferretti, L., Fogarty, S., Nury, E., and Schubert, P. (2023b)</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grammateus, Description of Greek Documentary Papyri: Double Document</w:t>
      </w:r>
      <w:r>
        <w:rPr>
          <w:rFonts w:ascii="IFAO-Grec Unicode" w:hAnsi="IFAO-Grec Unicode"/>
          <w:rtl w:val="0"/>
          <w:lang w:val="en-US"/>
        </w:rPr>
        <w:t xml:space="preserve"> [Accessed: September 23]</w:t>
      </w:r>
      <w:r>
        <w:rPr>
          <w:rFonts w:ascii="IFAO-Grec Unicode" w:hAnsi="IFAO-Grec Unicode"/>
          <w:rtl w:val="0"/>
          <w:lang w:val="de-DE"/>
        </w:rPr>
        <w:t>.</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Fonts w:ascii="IFAO-Grec Unicode" w:hAnsi="IFAO-Grec Unicode"/>
          <w:rtl w:val="0"/>
          <w:lang w:val="en-US"/>
        </w:rPr>
        <w:t xml:space="preserve">Fischer-Bovet, C. (2023), </w:t>
      </w:r>
      <w:r>
        <w:rPr>
          <w:rFonts w:ascii="IFAO-Grec Unicode" w:hAnsi="IFAO-Grec Unicode" w:hint="default"/>
          <w:rtl w:val="0"/>
          <w:lang w:val="en-US"/>
        </w:rPr>
        <w:t>“</w:t>
      </w:r>
      <w:r>
        <w:rPr>
          <w:rFonts w:ascii="IFAO-Grec Unicode" w:hAnsi="IFAO-Grec Unicode"/>
          <w:rtl w:val="0"/>
          <w:lang w:val="en-US"/>
        </w:rPr>
        <w:t>Cleopatra VII, 69</w:t>
      </w:r>
      <w:r>
        <w:rPr>
          <w:rFonts w:ascii="IFAO-Grec Unicode" w:hAnsi="IFAO-Grec Unicode" w:hint="default"/>
          <w:rtl w:val="0"/>
          <w:lang w:val="en-US"/>
        </w:rPr>
        <w:t>–</w:t>
      </w:r>
      <w:r>
        <w:rPr>
          <w:rFonts w:ascii="IFAO-Grec Unicode" w:hAnsi="IFAO-Grec Unicode"/>
          <w:rtl w:val="0"/>
          <w:lang w:val="en-US"/>
        </w:rPr>
        <w:t>30 BCE</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rtl w:val="0"/>
          <w:lang w:val="en-US"/>
        </w:rPr>
        <w:t>Oxford Classical Dictionary</w:t>
      </w:r>
      <w:r>
        <w:rPr>
          <w:rFonts w:ascii="IFAO-Grec Unicode" w:hAnsi="IFAO-Grec Unicode"/>
          <w:rtl w:val="0"/>
          <w:lang w:val="en-US"/>
        </w:rPr>
        <w:t xml:space="preserve"> online </w:t>
      </w: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"https://doi.org/10.1093/acrefore/9780199381135.013.1672"</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https://doi.org/10.1093/acrefore/9780199381135.013.1672</w:t>
      </w:r>
      <w:r>
        <w:rPr>
          <w:rFonts w:ascii="IFAO-Grec Unicode" w:cs="IFAO-Grec Unicode" w:hAnsi="IFAO-Grec Unicode" w:eastAsia="IFAO-Grec Unicode"/>
        </w:rPr>
        <w:fldChar w:fldCharType="end" w:fldLock="0"/>
      </w:r>
      <w:r>
        <w:rPr>
          <w:rFonts w:ascii="IFAO-Grec Unicode" w:hAnsi="IFAO-Grec Unicode"/>
          <w:rtl w:val="0"/>
          <w:lang w:val="en-US"/>
        </w:rPr>
        <w:t>.</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"https://papyri.info/biblio/8813"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Gignac. F.T. (1976)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 xml:space="preserve">A grammar of the Greek papyri of the Roman and Byzantine periods. </w:t>
      </w:r>
      <w:r>
        <w:rPr>
          <w:rFonts w:ascii="IFAO-Grec Unicode" w:hAnsi="IFAO-Grec Unicode"/>
          <w:rtl w:val="0"/>
          <w:lang w:val="pt-PT"/>
        </w:rPr>
        <w:t xml:space="preserve">Vol. I, </w:t>
      </w:r>
      <w:r>
        <w:rPr>
          <w:rFonts w:ascii="IFAO-Grec Unicode" w:hAnsi="IFAO-Grec Unicode"/>
          <w:rtl w:val="0"/>
        </w:rPr>
        <w:t>Phonology</w:t>
      </w:r>
      <w:r>
        <w:rPr>
          <w:rFonts w:ascii="IFAO-Grec Unicode" w:hAnsi="IFAO-Grec Unicode"/>
          <w:rtl w:val="0"/>
          <w:lang w:val="it-IT"/>
        </w:rPr>
        <w:t>. Milano.</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"https://papyri.info/biblio/95143"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Grenfell, B.P., Hunt, A.H., and Hogarth, D.G. (1900)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Fay</w:t>
      </w:r>
      <w:r>
        <w:rPr>
          <w:rFonts w:ascii="IFAO-Grec Unicode" w:hAnsi="IFAO-Grec Unicode" w:hint="default"/>
          <w:rtl w:val="0"/>
          <w:lang w:val="fr-FR"/>
        </w:rPr>
        <w:t>û</w:t>
      </w:r>
      <w:r>
        <w:rPr>
          <w:rFonts w:ascii="IFAO-Grec Unicode" w:hAnsi="IFAO-Grec Unicode"/>
          <w:rtl w:val="0"/>
          <w:lang w:val="en-US"/>
        </w:rPr>
        <w:t>m towns and their papyri</w:t>
      </w:r>
      <w:r>
        <w:rPr>
          <w:rFonts w:ascii="IFAO-Grec Unicode" w:hAnsi="IFAO-Grec Unicode"/>
          <w:rtl w:val="0"/>
          <w:lang w:val="pt-PT"/>
        </w:rPr>
        <w:t>. London. [= P.Fay.]</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"https://papyri.info/biblio/67503"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Habermann, W. (1998)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Zur chronologischen Verteilung der papyrologischen Zeugnisse</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122: 144-160.</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de-DE"/>
        </w:rPr>
      </w:pPr>
      <w:r>
        <w:rPr>
          <w:rStyle w:val="Hyperlink.2"/>
          <w:rFonts w:ascii="IFAO-Grec Unicode" w:cs="IFAO-Grec Unicode" w:hAnsi="IFAO-Grec Unicode" w:eastAsia="IFAO-Grec Unicode"/>
        </w:rPr>
        <w:fldChar w:fldCharType="begin" w:fldLock="0"/>
      </w:r>
      <w:r>
        <w:rPr>
          <w:rStyle w:val="Hyperlink.2"/>
          <w:rFonts w:ascii="IFAO-Grec Unicode" w:cs="IFAO-Grec Unicode" w:hAnsi="IFAO-Grec Unicode" w:eastAsia="IFAO-Grec Unicode"/>
        </w:rPr>
        <w:instrText xml:space="preserve"> HYPERLINK "https://papyri.info/biblio/77170"</w:instrText>
      </w:r>
      <w:r>
        <w:rPr>
          <w:rStyle w:val="Hyperlink.2"/>
          <w:rFonts w:ascii="IFAO-Grec Unicode" w:cs="IFAO-Grec Unicode" w:hAnsi="IFAO-Grec Unicode" w:eastAsia="IFAO-Grec Unicode"/>
        </w:rPr>
        <w:fldChar w:fldCharType="separate" w:fldLock="0"/>
      </w:r>
      <w:r>
        <w:rPr>
          <w:rStyle w:val="Hyperlink.2"/>
          <w:rFonts w:ascii="IFAO-Grec Unicode" w:hAnsi="IFAO-Grec Unicode"/>
          <w:rtl w:val="0"/>
          <w:lang w:val="en-US"/>
        </w:rPr>
        <w:t>Haensch, R. (2008)</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The romanity of Roman Egypt: a growing consensus?</w:t>
      </w:r>
      <w:r>
        <w:rPr>
          <w:rFonts w:ascii="IFAO-Grec Unicode" w:hAnsi="IFAO-Grec Unicode" w:hint="default"/>
          <w:rtl w:val="0"/>
          <w:lang w:val="en-US"/>
        </w:rPr>
        <w:t>”</w:t>
      </w:r>
      <w:r>
        <w:rPr>
          <w:rFonts w:ascii="IFAO-Grec Unicode" w:hAnsi="IFAO-Grec Unicode"/>
          <w:rtl w:val="0"/>
          <w:lang w:val="en-US"/>
        </w:rPr>
        <w:t xml:space="preserve">, in Piso, I. (ed.), </w:t>
      </w:r>
      <w:r>
        <w:rPr>
          <w:rFonts w:ascii="IFAO-Grec Unicode" w:hAnsi="IFAO-Grec Unicode"/>
          <w:rtl w:val="0"/>
          <w:lang w:val="en-US"/>
        </w:rPr>
        <w:t>Die r</w:t>
      </w:r>
      <w:r>
        <w:rPr>
          <w:rFonts w:ascii="IFAO-Grec Unicode" w:hAnsi="IFAO-Grec Unicode" w:hint="default"/>
          <w:rtl w:val="0"/>
          <w:lang w:val="en-US"/>
        </w:rPr>
        <w:t>ö</w:t>
      </w:r>
      <w:r>
        <w:rPr>
          <w:rFonts w:ascii="IFAO-Grec Unicode" w:hAnsi="IFAO-Grec Unicode"/>
          <w:rtl w:val="0"/>
          <w:lang w:val="en-US"/>
        </w:rPr>
        <w:t xml:space="preserve">mischen Provinzen. </w:t>
      </w:r>
      <w:r>
        <w:rPr>
          <w:rFonts w:ascii="IFAO-Grec Unicode" w:hAnsi="IFAO-Grec Unicode"/>
          <w:rtl w:val="0"/>
          <w:lang w:val="de-DE"/>
        </w:rPr>
        <w:t>Begriff und Gr</w:t>
      </w:r>
      <w:r>
        <w:rPr>
          <w:rFonts w:ascii="IFAO-Grec Unicode" w:hAnsi="IFAO-Grec Unicode" w:hint="default"/>
          <w:rtl w:val="0"/>
          <w:lang w:val="de-DE"/>
        </w:rPr>
        <w:t>ü</w:t>
      </w:r>
      <w:r>
        <w:rPr>
          <w:rFonts w:ascii="IFAO-Grec Unicode" w:hAnsi="IFAO-Grec Unicode"/>
          <w:rtl w:val="0"/>
          <w:lang w:val="de-DE"/>
        </w:rPr>
        <w:t>ndung</w:t>
      </w:r>
      <w:r>
        <w:rPr>
          <w:rFonts w:ascii="IFAO-Grec Unicode" w:hAnsi="IFAO-Grec Unicode"/>
          <w:rtl w:val="0"/>
          <w:lang w:val="de-DE"/>
        </w:rPr>
        <w:t>. Cluj-Napoca: 81-105.</w:t>
      </w:r>
    </w:p>
    <w:p>
      <w:pPr>
        <w:pStyle w:val="Body"/>
        <w:rPr>
          <w:rFonts w:ascii="IFAO-Grec Unicode" w:cs="IFAO-Grec Unicode" w:hAnsi="IFAO-Grec Unicode" w:eastAsia="IFAO-Grec Unicode"/>
          <w:lang w:val="de-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Haensch, R. and Kreuzsaler, C. (2020)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0"/>
          <w:lang w:val="de-DE"/>
        </w:rPr>
        <w:t xml:space="preserve">“ </w:t>
      </w:r>
      <w:r>
        <w:rPr>
          <w:rFonts w:ascii="IFAO-Grec Unicode" w:hAnsi="IFAO-Grec Unicode"/>
          <w:rtl w:val="0"/>
          <w:lang w:val="de-DE"/>
        </w:rPr>
        <w:t xml:space="preserve">Drei Kandidaten, bitte! Die Rolle des </w:t>
      </w:r>
      <w:r>
        <w:rPr>
          <w:rFonts w:ascii="IFAO-Grec Unicode" w:hAnsi="IFAO-Grec Unicode"/>
          <w:rtl w:val="0"/>
          <w:lang w:val="en-US"/>
        </w:rPr>
        <w:t>praefectus Aegypti</w:t>
      </w:r>
      <w:r>
        <w:rPr>
          <w:rFonts w:ascii="IFAO-Grec Unicode" w:hAnsi="IFAO-Grec Unicode"/>
          <w:rtl w:val="0"/>
          <w:lang w:val="de-DE"/>
        </w:rPr>
        <w:t xml:space="preserve"> bei der Ersatznominierung o</w:t>
      </w:r>
      <w:r>
        <w:rPr>
          <w:rFonts w:ascii="IFAO-Grec Unicode" w:hAnsi="IFAO-Grec Unicode" w:hint="default"/>
          <w:rtl w:val="0"/>
        </w:rPr>
        <w:t>̈</w:t>
      </w:r>
      <w:r>
        <w:rPr>
          <w:rFonts w:ascii="IFAO-Grec Unicode" w:hAnsi="IFAO-Grec Unicode"/>
          <w:rtl w:val="0"/>
          <w:lang w:val="de-DE"/>
        </w:rPr>
        <w:t>ffentlicher Funktionstra</w:t>
      </w:r>
      <w:r>
        <w:rPr>
          <w:rFonts w:ascii="IFAO-Grec Unicode" w:hAnsi="IFAO-Grec Unicode" w:hint="default"/>
          <w:rtl w:val="0"/>
        </w:rPr>
        <w:t>̈</w:t>
      </w:r>
      <w:r>
        <w:rPr>
          <w:rFonts w:ascii="IFAO-Grec Unicode" w:hAnsi="IFAO-Grec Unicode"/>
          <w:rtl w:val="0"/>
          <w:lang w:val="de-DE"/>
        </w:rPr>
        <w:t>ger zu Beginn des 2. Jahrhunderts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fr-FR"/>
        </w:rPr>
        <w:t>Chiron</w:t>
      </w:r>
      <w:r>
        <w:rPr>
          <w:rFonts w:ascii="IFAO-Grec Unicode" w:hAnsi="IFAO-Grec Unicode"/>
          <w:rtl w:val="0"/>
        </w:rPr>
        <w:t xml:space="preserve"> 50: 189-215.</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"https://papyri.info/biblio/75040"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Hagedorn, D. (2006)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Bemerkungen zu Urkunden</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156: 165-168.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"https://papyri.info/biblio/75042"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Hagedorn, D. and J</w:t>
      </w:r>
      <w:r>
        <w:rPr>
          <w:rStyle w:val="Link"/>
          <w:rFonts w:ascii="IFAO-Grec Unicode" w:hAnsi="IFAO-Grec Unicode" w:hint="default"/>
          <w:rtl w:val="0"/>
          <w:lang w:val="sv-SE"/>
        </w:rPr>
        <w:t>ö</w:t>
      </w:r>
      <w:r>
        <w:rPr>
          <w:rStyle w:val="Link"/>
          <w:rFonts w:ascii="IFAO-Grec Unicode" w:hAnsi="IFAO-Grec Unicode"/>
          <w:rtl w:val="0"/>
        </w:rPr>
        <w:t>rdens, A. (2006)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 xml:space="preserve">Ein unbekannter Proculus und das Verbot der </w:t>
      </w:r>
      <w:r>
        <w:rPr>
          <w:rFonts w:ascii="IFAO-Grec Unicode" w:hAnsi="IFAO-Grec Unicode"/>
          <w:rtl w:val="0"/>
          <w:lang w:val="it-IT"/>
        </w:rPr>
        <w:t>paenula</w:t>
      </w:r>
      <w:r>
        <w:rPr>
          <w:rFonts w:ascii="IFAO-Grec Unicode" w:hAnsi="IFAO-Grec Unicode"/>
          <w:rtl w:val="0"/>
          <w:lang w:val="de-DE"/>
        </w:rPr>
        <w:t>: Eine Neuedition von BGU XVI 2558</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156: 169-178.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 xml:space="preserve">Heidelberger Gesamtverzeichnis der griechischen Papyrusurkunden </w:t>
      </w:r>
      <w:r>
        <w:rPr>
          <w:rFonts w:ascii="IFAO-Grec Unicode" w:hAnsi="IFAO-Grec Unicode" w:hint="default"/>
          <w:rtl w:val="0"/>
          <w:lang w:val="sv-SE"/>
        </w:rPr>
        <w:t>Ä</w:t>
      </w:r>
      <w:r>
        <w:rPr>
          <w:rFonts w:ascii="IFAO-Grec Unicode" w:hAnsi="IFAO-Grec Unicode"/>
          <w:rtl w:val="0"/>
          <w:lang w:val="nl-NL"/>
        </w:rPr>
        <w:t>gyptens</w:t>
      </w:r>
      <w:r>
        <w:rPr>
          <w:rFonts w:ascii="IFAO-Grec Unicode" w:hAnsi="IFAO-Grec Unicode"/>
          <w:rtl w:val="0"/>
        </w:rPr>
        <w:t xml:space="preserve"> (</w:t>
      </w:r>
      <w:r>
        <w:rPr>
          <w:rFonts w:ascii="IFAO-Grec Unicode" w:hAnsi="IFAO-Grec Unicode"/>
          <w:rtl w:val="0"/>
        </w:rPr>
        <w:t>HGV</w:t>
      </w:r>
      <w:r>
        <w:rPr>
          <w:rFonts w:ascii="IFAO-Grec Unicode" w:hAnsi="IFAO-Grec Unicode"/>
          <w:rtl w:val="0"/>
        </w:rPr>
        <w:t xml:space="preserv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"https://aquila.zaw.uni-heidelberg.de/"</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https://aquila.zaw.uni-heidelberg.de</w:t>
      </w:r>
      <w:r>
        <w:rPr>
          <w:rFonts w:ascii="IFAO-Grec Unicode" w:cs="IFAO-Grec Unicode" w:hAnsi="IFAO-Grec Unicode" w:eastAsia="IFAO-Grec Unicode"/>
        </w:rPr>
        <w:fldChar w:fldCharType="end" w:fldLock="0"/>
      </w:r>
      <w:r>
        <w:rPr>
          <w:rStyle w:val="Link"/>
          <w:rFonts w:ascii="IFAO-Grec Unicode" w:hAnsi="IFAO-Grec Unicode"/>
          <w:rtl w:val="0"/>
        </w:rPr>
        <w:t xml:space="preserve"> </w:t>
      </w:r>
      <w:r>
        <w:rPr>
          <w:rFonts w:ascii="IFAO-Grec Unicode" w:hAnsi="IFAO-Grec Unicode"/>
          <w:rtl w:val="0"/>
          <w:lang w:val="en-US"/>
        </w:rPr>
        <w:t>(consulted throughout 2024).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"https://papyri.info/biblio/75095"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Hoogendijk, F.A.J. (2006)</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 xml:space="preserve">P.Vindob. G 31933: Griechische </w:t>
      </w:r>
      <w:r>
        <w:rPr>
          <w:rFonts w:ascii="IFAO-Grec Unicode" w:hAnsi="IFAO-Grec Unicode" w:hint="default"/>
          <w:rtl w:val="0"/>
          <w:lang w:val="de-DE"/>
        </w:rPr>
        <w:t>Ü</w:t>
      </w:r>
      <w:r>
        <w:rPr>
          <w:rFonts w:ascii="IFAO-Grec Unicode" w:hAnsi="IFAO-Grec Unicode"/>
          <w:rtl w:val="0"/>
          <w:lang w:val="de-DE"/>
        </w:rPr>
        <w:t>bersetzung einer demotisch-griechischen Hauskaufurkunde</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156: 199-216.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"https://papyri.info/biblio/4139"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Husselman, E.M., Boak, A.E.R., and Edgerton, W.F. (1944)</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Papyri from Tebtunis, Part II</w:t>
      </w:r>
      <w:r>
        <w:rPr>
          <w:rFonts w:ascii="IFAO-Grec Unicode" w:hAnsi="IFAO-Grec Unicode"/>
          <w:rtl w:val="0"/>
          <w:lang w:val="de-DE"/>
        </w:rPr>
        <w:t xml:space="preserve">. Ann Arbor </w:t>
      </w:r>
      <w:r>
        <w:rPr>
          <w:rFonts w:ascii="IFAO-Grec Unicode" w:hAnsi="IFAO-Grec Unicode" w:hint="default"/>
          <w:rtl w:val="0"/>
        </w:rPr>
        <w:t xml:space="preserve">– </w:t>
      </w:r>
      <w:r>
        <w:rPr>
          <w:rFonts w:ascii="IFAO-Grec Unicode" w:hAnsi="IFAO-Grec Unicode"/>
          <w:rtl w:val="0"/>
        </w:rPr>
        <w:t>London. [= P.Mich. 5]</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"https://papyri.info/biblio/70176"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J</w:t>
      </w:r>
      <w:r>
        <w:rPr>
          <w:rStyle w:val="Link"/>
          <w:rFonts w:ascii="IFAO-Grec Unicode" w:hAnsi="IFAO-Grec Unicode" w:hint="default"/>
          <w:rtl w:val="0"/>
          <w:lang w:val="sv-SE"/>
        </w:rPr>
        <w:t>ö</w:t>
      </w:r>
      <w:r>
        <w:rPr>
          <w:rStyle w:val="Link"/>
          <w:rFonts w:ascii="IFAO-Grec Unicode" w:hAnsi="IFAO-Grec Unicode"/>
          <w:rtl w:val="0"/>
        </w:rPr>
        <w:t>rdens, A. (2001)</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Papyri und private Archive. Ein Diskussionsbeitrag zur papyrologischen Terminologie</w:t>
      </w:r>
      <w:r>
        <w:rPr>
          <w:rFonts w:ascii="IFAO-Grec Unicode" w:hAnsi="IFAO-Grec Unicode" w:hint="default"/>
          <w:rtl w:val="0"/>
        </w:rPr>
        <w:t>”</w:t>
      </w:r>
      <w:r>
        <w:rPr>
          <w:rFonts w:ascii="IFAO-Grec Unicode" w:hAnsi="IFAO-Grec Unicode"/>
          <w:rtl w:val="0"/>
          <w:lang w:val="en-US"/>
        </w:rPr>
        <w:t>, in Cantarella, E. and Th</w:t>
      </w:r>
      <w:r>
        <w:rPr>
          <w:rFonts w:ascii="IFAO-Grec Unicode" w:hAnsi="IFAO-Grec Unicode" w:hint="default"/>
          <w:rtl w:val="0"/>
        </w:rPr>
        <w:t>ü</w:t>
      </w:r>
      <w:r>
        <w:rPr>
          <w:rFonts w:ascii="IFAO-Grec Unicode" w:hAnsi="IFAO-Grec Unicode"/>
          <w:rtl w:val="0"/>
          <w:lang w:val="pt-PT"/>
        </w:rPr>
        <w:t xml:space="preserve">r, G. (eds.), </w:t>
      </w:r>
      <w:r>
        <w:rPr>
          <w:rFonts w:ascii="IFAO-Grec Unicode" w:hAnsi="IFAO-Grec Unicode"/>
          <w:rtl w:val="0"/>
          <w:lang w:val="de-DE"/>
        </w:rPr>
        <w:t>Symposion 1997. Vortr</w:t>
      </w:r>
      <w:r>
        <w:rPr>
          <w:rFonts w:ascii="IFAO-Grec Unicode" w:hAnsi="IFAO-Grec Unicode" w:hint="default"/>
          <w:rtl w:val="0"/>
        </w:rPr>
        <w:t>ä</w:t>
      </w:r>
      <w:r>
        <w:rPr>
          <w:rFonts w:ascii="IFAO-Grec Unicode" w:hAnsi="IFAO-Grec Unicode"/>
          <w:rtl w:val="0"/>
          <w:lang w:val="de-DE"/>
        </w:rPr>
        <w:t xml:space="preserve">ge zur griechischen und hellenistischen Rechtsgeschichte (Altafiumara, 8. </w:t>
      </w:r>
      <w:r>
        <w:rPr>
          <w:rFonts w:ascii="IFAO-Grec Unicode" w:hAnsi="IFAO-Grec Unicode" w:hint="default"/>
          <w:rtl w:val="0"/>
        </w:rPr>
        <w:t xml:space="preserve">– </w:t>
      </w:r>
      <w:r>
        <w:rPr>
          <w:rFonts w:ascii="IFAO-Grec Unicode" w:hAnsi="IFAO-Grec Unicode"/>
          <w:rtl w:val="0"/>
        </w:rPr>
        <w:t>14. September 1997)</w:t>
      </w:r>
      <w:r>
        <w:rPr>
          <w:rFonts w:ascii="IFAO-Grec Unicode" w:hAnsi="IFAO-Grec Unicode"/>
          <w:rtl w:val="0"/>
        </w:rPr>
        <w:t>. K</w:t>
      </w:r>
      <w:r>
        <w:rPr>
          <w:rFonts w:ascii="IFAO-Grec Unicode" w:hAnsi="IFAO-Grec Unicode" w:hint="default"/>
          <w:rtl w:val="0"/>
          <w:lang w:val="sv-SE"/>
        </w:rPr>
        <w:t>ö</w:t>
      </w:r>
      <w:r>
        <w:rPr>
          <w:rFonts w:ascii="IFAO-Grec Unicode" w:hAnsi="IFAO-Grec Unicode"/>
          <w:rtl w:val="0"/>
          <w:lang w:val="de-DE"/>
        </w:rPr>
        <w:t xml:space="preserve">ln </w:t>
      </w:r>
      <w:r>
        <w:rPr>
          <w:rFonts w:ascii="IFAO-Grec Unicode" w:hAnsi="IFAO-Grec Unicode" w:hint="default"/>
          <w:rtl w:val="0"/>
        </w:rPr>
        <w:t xml:space="preserve">– </w:t>
      </w:r>
      <w:r>
        <w:rPr>
          <w:rFonts w:ascii="IFAO-Grec Unicode" w:hAnsi="IFAO-Grec Unicode"/>
          <w:rtl w:val="0"/>
          <w:lang w:val="de-DE"/>
        </w:rPr>
        <w:t xml:space="preserve">Weimar </w:t>
      </w:r>
      <w:r>
        <w:rPr>
          <w:rFonts w:ascii="IFAO-Grec Unicode" w:hAnsi="IFAO-Grec Unicode" w:hint="default"/>
          <w:rtl w:val="0"/>
        </w:rPr>
        <w:t xml:space="preserve">– </w:t>
      </w:r>
      <w:r>
        <w:rPr>
          <w:rFonts w:ascii="IFAO-Grec Unicode" w:hAnsi="IFAO-Grec Unicode"/>
          <w:rtl w:val="0"/>
        </w:rPr>
        <w:t>Wien: 253-268.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"https://papyri.info/biblio/96417"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J</w:t>
      </w:r>
      <w:r>
        <w:rPr>
          <w:rStyle w:val="Link"/>
          <w:rFonts w:ascii="IFAO-Grec Unicode" w:hAnsi="IFAO-Grec Unicode" w:hint="default"/>
          <w:rtl w:val="0"/>
          <w:lang w:val="sv-SE"/>
        </w:rPr>
        <w:t>ö</w:t>
      </w:r>
      <w:r>
        <w:rPr>
          <w:rStyle w:val="Link"/>
          <w:rFonts w:ascii="IFAO-Grec Unicode" w:hAnsi="IFAO-Grec Unicode"/>
          <w:rtl w:val="0"/>
        </w:rPr>
        <w:t>rdens, A. (2017)</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 xml:space="preserve">Entwurf und Reinschrift </w:t>
      </w:r>
      <w:r>
        <w:rPr>
          <w:rFonts w:ascii="IFAO-Grec Unicode" w:hAnsi="IFAO-Grec Unicode" w:hint="default"/>
          <w:rtl w:val="0"/>
        </w:rPr>
        <w:t xml:space="preserve">– </w:t>
      </w:r>
      <w:r>
        <w:rPr>
          <w:rFonts w:ascii="IFAO-Grec Unicode" w:hAnsi="IFAO-Grec Unicode"/>
          <w:rtl w:val="0"/>
          <w:lang w:val="de-DE"/>
        </w:rPr>
        <w:t>oder: Wie bitte ich um Entlassung aus der Untersuchungshaft</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fr-FR"/>
        </w:rPr>
        <w:t>Chiron</w:t>
      </w:r>
      <w:r>
        <w:rPr>
          <w:rFonts w:ascii="IFAO-Grec Unicode" w:hAnsi="IFAO-Grec Unicode"/>
          <w:rtl w:val="0"/>
        </w:rPr>
        <w:t xml:space="preserve"> 47: 271-302.</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de-DE"/>
        </w:rPr>
      </w:pP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"https://papyri.info/biblio/71200"</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Kruse, Th. (2002)</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rtl w:val="0"/>
          <w:lang w:val="de-DE"/>
        </w:rPr>
        <w:t>Der k</w:t>
      </w:r>
      <w:r>
        <w:rPr>
          <w:rFonts w:ascii="IFAO-Grec Unicode" w:hAnsi="IFAO-Grec Unicode" w:hint="default"/>
          <w:rtl w:val="0"/>
          <w:lang w:val="de-DE"/>
        </w:rPr>
        <w:t>ö</w:t>
      </w:r>
      <w:r>
        <w:rPr>
          <w:rFonts w:ascii="IFAO-Grec Unicode" w:hAnsi="IFAO-Grec Unicode"/>
          <w:rtl w:val="0"/>
          <w:lang w:val="de-DE"/>
        </w:rPr>
        <w:t xml:space="preserve">nigliche Schreiber und die Gauverwaltung. Untersuchungen zur Verwaltungsgeschichte </w:t>
      </w:r>
      <w:r>
        <w:rPr>
          <w:rFonts w:ascii="IFAO-Grec Unicode" w:hAnsi="IFAO-Grec Unicode" w:hint="default"/>
          <w:rtl w:val="0"/>
          <w:lang w:val="de-DE"/>
        </w:rPr>
        <w:t>Ä</w:t>
      </w:r>
      <w:r>
        <w:rPr>
          <w:rFonts w:ascii="IFAO-Grec Unicode" w:hAnsi="IFAO-Grec Unicode"/>
          <w:rtl w:val="0"/>
          <w:lang w:val="de-DE"/>
        </w:rPr>
        <w:t xml:space="preserve">gyptens in der Zeit von Augustus bis Philippus Arabs (30 v.Chr. </w:t>
      </w:r>
      <w:r>
        <w:rPr>
          <w:rFonts w:ascii="IFAO-Grec Unicode" w:hAnsi="IFAO-Grec Unicode" w:hint="default"/>
          <w:rtl w:val="0"/>
          <w:lang w:val="de-DE"/>
        </w:rPr>
        <w:t xml:space="preserve">– </w:t>
      </w:r>
      <w:r>
        <w:rPr>
          <w:rFonts w:ascii="IFAO-Grec Unicode" w:hAnsi="IFAO-Grec Unicode"/>
          <w:rtl w:val="0"/>
          <w:lang w:val="de-DE"/>
        </w:rPr>
        <w:t>245 n.Chr.)</w:t>
      </w:r>
      <w:r>
        <w:rPr>
          <w:rFonts w:ascii="IFAO-Grec Unicode" w:hAnsi="IFAO-Grec Unicode"/>
          <w:rtl w:val="0"/>
          <w:lang w:val="de-DE"/>
        </w:rPr>
        <w:t>. 2 vols., M</w:t>
      </w:r>
      <w:r>
        <w:rPr>
          <w:rFonts w:ascii="IFAO-Grec Unicode" w:hAnsi="IFAO-Grec Unicode" w:hint="default"/>
          <w:rtl w:val="0"/>
          <w:lang w:val="de-DE"/>
        </w:rPr>
        <w:t>ü</w:t>
      </w:r>
      <w:r>
        <w:rPr>
          <w:rFonts w:ascii="IFAO-Grec Unicode" w:hAnsi="IFAO-Grec Unicode"/>
          <w:rtl w:val="0"/>
          <w:lang w:val="de-DE"/>
        </w:rPr>
        <w:t xml:space="preserve">nchen </w:t>
      </w:r>
      <w:r>
        <w:rPr>
          <w:rFonts w:ascii="IFAO-Grec Unicode" w:hAnsi="IFAO-Grec Unicode" w:hint="default"/>
          <w:rtl w:val="0"/>
          <w:lang w:val="en-US"/>
        </w:rPr>
        <w:t>–</w:t>
      </w:r>
      <w:r>
        <w:rPr>
          <w:rFonts w:ascii="IFAO-Grec Unicode" w:hAnsi="IFAO-Grec Unicode"/>
          <w:rtl w:val="0"/>
          <w:lang w:val="de-DE"/>
        </w:rPr>
        <w:t xml:space="preserve"> Leipzig).</w:t>
      </w:r>
    </w:p>
    <w:p>
      <w:pPr>
        <w:pStyle w:val="Body"/>
        <w:rPr>
          <w:rFonts w:ascii="IFAO-Grec Unicode" w:cs="IFAO-Grec Unicode" w:hAnsi="IFAO-Grec Unicode" w:eastAsia="IFAO-Grec Unicode"/>
          <w:lang w:val="de-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"https://papyri.info/biblio/81050"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Langellotti, M. (2012)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rPr>
        <w:t>L</w:t>
      </w:r>
      <w:r>
        <w:rPr>
          <w:rFonts w:ascii="IFAO-Grec Unicode" w:hAnsi="IFAO-Grec Unicode" w:hint="default"/>
          <w:rtl w:val="1"/>
        </w:rPr>
        <w:t>’</w:t>
      </w:r>
      <w:r>
        <w:rPr>
          <w:rFonts w:ascii="IFAO-Grec Unicode" w:hAnsi="IFAO-Grec Unicode"/>
          <w:rtl w:val="0"/>
          <w:lang w:val="it-IT"/>
        </w:rPr>
        <w:t>allevamento di pecore e capre nell</w:t>
      </w:r>
      <w:r>
        <w:rPr>
          <w:rFonts w:ascii="IFAO-Grec Unicode" w:hAnsi="IFAO-Grec Unicode" w:hint="default"/>
          <w:rtl w:val="1"/>
        </w:rPr>
        <w:t>’</w:t>
      </w:r>
      <w:r>
        <w:rPr>
          <w:rFonts w:ascii="IFAO-Grec Unicode" w:hAnsi="IFAO-Grec Unicode"/>
          <w:rtl w:val="0"/>
          <w:lang w:val="it-IT"/>
        </w:rPr>
        <w:t>Egitto romano: aspetti economici e sociali</w:t>
      </w:r>
      <w:r>
        <w:rPr>
          <w:rFonts w:ascii="IFAO-Grec Unicode" w:hAnsi="IFAO-Grec Unicode"/>
          <w:rtl w:val="0"/>
          <w:lang w:val="it-IT"/>
        </w:rPr>
        <w:t>. Bari.</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"https://papyri.info/biblio/97506"</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Legras, B. (2021)</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rPr>
        <w:t>Cl</w:t>
      </w:r>
      <w:r>
        <w:rPr>
          <w:rFonts w:ascii="IFAO-Grec Unicode" w:hAnsi="IFAO-Grec Unicode" w:hint="default"/>
          <w:rtl w:val="0"/>
          <w:lang w:val="fr-FR"/>
        </w:rPr>
        <w:t>é</w:t>
      </w:r>
      <w:r>
        <w:rPr>
          <w:rFonts w:ascii="IFAO-Grec Unicode" w:hAnsi="IFAO-Grec Unicode"/>
          <w:rtl w:val="0"/>
        </w:rPr>
        <w:t>op</w:t>
      </w:r>
      <w:r>
        <w:rPr>
          <w:rFonts w:ascii="IFAO-Grec Unicode" w:hAnsi="IFAO-Grec Unicode" w:hint="default"/>
          <w:rtl w:val="0"/>
        </w:rPr>
        <w:t>â</w:t>
      </w:r>
      <w:r>
        <w:rPr>
          <w:rFonts w:ascii="IFAO-Grec Unicode" w:hAnsi="IFAO-Grec Unicode"/>
          <w:rtl w:val="0"/>
          <w:lang w:val="fr-FR"/>
        </w:rPr>
        <w:t>tre l</w:t>
      </w:r>
      <w:r>
        <w:rPr>
          <w:rFonts w:ascii="IFAO-Grec Unicode" w:hAnsi="IFAO-Grec Unicode" w:hint="default"/>
          <w:rtl w:val="0"/>
          <w:lang w:val="fr-FR"/>
        </w:rPr>
        <w:t>’É</w:t>
      </w:r>
      <w:r>
        <w:rPr>
          <w:rFonts w:ascii="IFAO-Grec Unicode" w:hAnsi="IFAO-Grec Unicode"/>
          <w:rtl w:val="0"/>
          <w:lang w:val="fr-FR"/>
        </w:rPr>
        <w:t>gyptienne</w:t>
      </w:r>
      <w:r>
        <w:rPr>
          <w:rFonts w:ascii="IFAO-Grec Unicode" w:hAnsi="IFAO-Grec Unicode"/>
          <w:rtl w:val="0"/>
          <w:lang w:val="pt-PT"/>
        </w:rPr>
        <w:t>. Paris.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7"/>
          <w:rFonts w:ascii="IFAO-Grec Unicode" w:cs="IFAO-Grec Unicode" w:hAnsi="IFAO-Grec Unicode" w:eastAsia="IFAO-Grec Unicode"/>
        </w:rPr>
        <w:fldChar w:fldCharType="begin" w:fldLock="0"/>
      </w:r>
      <w:r>
        <w:rPr>
          <w:rStyle w:val="Hyperlink.7"/>
          <w:rFonts w:ascii="IFAO-Grec Unicode" w:cs="IFAO-Grec Unicode" w:hAnsi="IFAO-Grec Unicode" w:eastAsia="IFAO-Grec Unicode"/>
        </w:rPr>
        <w:instrText xml:space="preserve"> HYPERLINK "https://papyri.info/biblio/9474"</w:instrText>
      </w:r>
      <w:r>
        <w:rPr>
          <w:rStyle w:val="Hyperlink.7"/>
          <w:rFonts w:ascii="IFAO-Grec Unicode" w:cs="IFAO-Grec Unicode" w:hAnsi="IFAO-Grec Unicode" w:eastAsia="IFAO-Grec Unicode"/>
        </w:rPr>
        <w:fldChar w:fldCharType="separate" w:fldLock="0"/>
      </w:r>
      <w:r>
        <w:rPr>
          <w:rStyle w:val="Hyperlink.7"/>
          <w:rFonts w:ascii="IFAO-Grec Unicode" w:hAnsi="IFAO-Grec Unicode"/>
          <w:rtl w:val="0"/>
          <w:lang w:val="fr-FR"/>
        </w:rPr>
        <w:t>Lenger, M.-Th. (1980)</w:t>
      </w:r>
      <w:r>
        <w:rPr>
          <w:rFonts w:ascii="IFAO-Grec Unicode" w:cs="IFAO-Grec Unicode" w:hAnsi="IFAO-Grec Unicode" w:eastAsia="IFAO-Grec Unicode"/>
        </w:rPr>
        <w:fldChar w:fldCharType="end" w:fldLock="0"/>
      </w:r>
      <w:r>
        <w:rPr>
          <w:rFonts w:ascii="IFAO-Grec Unicode" w:hAnsi="IFAO-Grec Unicode"/>
          <w:rtl w:val="0"/>
          <w:lang w:val="fr-FR"/>
        </w:rPr>
        <w:t xml:space="preserve">, </w:t>
      </w:r>
      <w:r>
        <w:rPr>
          <w:rFonts w:ascii="IFAO-Grec Unicode" w:hAnsi="IFAO-Grec Unicode"/>
          <w:rtl w:val="0"/>
          <w:lang w:val="fr-FR"/>
        </w:rPr>
        <w:t>Corpus des ordonnances des Ptol</w:t>
      </w:r>
      <w:r>
        <w:rPr>
          <w:rFonts w:ascii="IFAO-Grec Unicode" w:hAnsi="IFAO-Grec Unicode" w:hint="default"/>
          <w:rtl w:val="0"/>
          <w:lang w:val="fr-FR"/>
        </w:rPr>
        <w:t>é</w:t>
      </w:r>
      <w:r>
        <w:rPr>
          <w:rFonts w:ascii="IFAO-Grec Unicode" w:hAnsi="IFAO-Grec Unicode"/>
          <w:rtl w:val="0"/>
          <w:lang w:val="fr-FR"/>
        </w:rPr>
        <w:t>m</w:t>
      </w:r>
      <w:r>
        <w:rPr>
          <w:rFonts w:ascii="IFAO-Grec Unicode" w:hAnsi="IFAO-Grec Unicode" w:hint="default"/>
          <w:rtl w:val="0"/>
          <w:lang w:val="fr-FR"/>
        </w:rPr>
        <w:t>é</w:t>
      </w:r>
      <w:r>
        <w:rPr>
          <w:rFonts w:ascii="IFAO-Grec Unicode" w:hAnsi="IFAO-Grec Unicode"/>
          <w:rtl w:val="0"/>
          <w:lang w:val="fr-FR"/>
        </w:rPr>
        <w:t>es</w:t>
      </w:r>
      <w:r>
        <w:rPr>
          <w:rFonts w:ascii="IFAO-Grec Unicode" w:hAnsi="IFAO-Grec Unicode"/>
          <w:rtl w:val="0"/>
          <w:lang w:val="fr-FR"/>
        </w:rPr>
        <w:t xml:space="preserve">. </w:t>
      </w:r>
      <w:r>
        <w:rPr>
          <w:rFonts w:ascii="IFAO-Grec Unicode" w:hAnsi="IFAO-Grec Unicode"/>
          <w:rtl w:val="0"/>
          <w:lang w:val="en-US"/>
        </w:rPr>
        <w:t>Revised edition with addenda and corrections, Bruxelles. [= C.Ord. Ptol.]</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"https://papyri.info/biblio/55882"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Maehler, H. (1983)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Egypt under the last Ptolemies. In memory of Sir Eric Turner</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da-DK"/>
        </w:rPr>
        <w:t>BICS</w:t>
      </w:r>
      <w:r>
        <w:rPr>
          <w:rFonts w:ascii="IFAO-Grec Unicode" w:hAnsi="IFAO-Grec Unicode"/>
          <w:rtl w:val="0"/>
          <w:lang w:val="pt-PT"/>
        </w:rPr>
        <w:t xml:space="preserve"> 30: 1-16.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7"/>
          <w:rFonts w:ascii="IFAO-Grec Unicode" w:cs="IFAO-Grec Unicode" w:hAnsi="IFAO-Grec Unicode" w:eastAsia="IFAO-Grec Unicode"/>
        </w:rPr>
        <w:fldChar w:fldCharType="begin" w:fldLock="0"/>
      </w:r>
      <w:r>
        <w:rPr>
          <w:rStyle w:val="Hyperlink.7"/>
          <w:rFonts w:ascii="IFAO-Grec Unicode" w:cs="IFAO-Grec Unicode" w:hAnsi="IFAO-Grec Unicode" w:eastAsia="IFAO-Grec Unicode"/>
        </w:rPr>
        <w:instrText xml:space="preserve"> HYPERLINK "https://papyri.info/biblio/96192"</w:instrText>
      </w:r>
      <w:r>
        <w:rPr>
          <w:rStyle w:val="Hyperlink.7"/>
          <w:rFonts w:ascii="IFAO-Grec Unicode" w:cs="IFAO-Grec Unicode" w:hAnsi="IFAO-Grec Unicode" w:eastAsia="IFAO-Grec Unicode"/>
        </w:rPr>
        <w:fldChar w:fldCharType="separate" w:fldLock="0"/>
      </w:r>
      <w:r>
        <w:rPr>
          <w:rStyle w:val="Hyperlink.7"/>
          <w:rFonts w:ascii="IFAO-Grec Unicode" w:hAnsi="IFAO-Grec Unicode"/>
          <w:rtl w:val="0"/>
          <w:lang w:val="fr-FR"/>
        </w:rPr>
        <w:t>Mascellari, R. (2021)</w:t>
      </w:r>
      <w:r>
        <w:rPr>
          <w:rFonts w:ascii="IFAO-Grec Unicode" w:cs="IFAO-Grec Unicode" w:hAnsi="IFAO-Grec Unicode" w:eastAsia="IFAO-Grec Unicode"/>
        </w:rPr>
        <w:fldChar w:fldCharType="end" w:fldLock="0"/>
      </w:r>
      <w:r>
        <w:rPr>
          <w:rFonts w:ascii="IFAO-Grec Unicode" w:hAnsi="IFAO-Grec Unicode"/>
          <w:rtl w:val="0"/>
          <w:lang w:val="fr-FR"/>
        </w:rPr>
        <w:t xml:space="preserve">, </w:t>
      </w:r>
      <w:r>
        <w:rPr>
          <w:rFonts w:ascii="IFAO-Grec Unicode" w:hAnsi="IFAO-Grec Unicode"/>
          <w:rtl w:val="0"/>
          <w:lang w:val="fr-FR"/>
        </w:rPr>
        <w:t>La lingua delle petizioni nell</w:t>
      </w:r>
      <w:r>
        <w:rPr>
          <w:rFonts w:ascii="IFAO-Grec Unicode" w:hAnsi="IFAO-Grec Unicode" w:hint="default"/>
          <w:rtl w:val="0"/>
          <w:lang w:val="fr-FR"/>
        </w:rPr>
        <w:t>’</w:t>
      </w:r>
      <w:r>
        <w:rPr>
          <w:rFonts w:ascii="IFAO-Grec Unicode" w:hAnsi="IFAO-Grec Unicode"/>
          <w:rtl w:val="0"/>
          <w:lang w:val="fr-FR"/>
        </w:rPr>
        <w:t xml:space="preserve">Egitto romano. </w:t>
      </w:r>
      <w:r>
        <w:rPr>
          <w:rFonts w:ascii="IFAO-Grec Unicode" w:hAnsi="IFAO-Grec Unicode"/>
          <w:rtl w:val="0"/>
          <w:lang w:val="en-US"/>
        </w:rPr>
        <w:t>Evoluzione di lessico, formule e procedure dal 30 a.C. al 300 d.C.</w:t>
      </w:r>
      <w:r>
        <w:rPr>
          <w:rFonts w:ascii="IFAO-Grec Unicode" w:hAnsi="IFAO-Grec Unicode"/>
          <w:rtl w:val="0"/>
          <w:lang w:val="en-US"/>
        </w:rPr>
        <w:t xml:space="preserve"> 2 vols., Firenze.</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Style w:val="Hyperlink.0"/>
          <w:rFonts w:ascii="IFAO-Grec Unicode" w:cs="IFAO-Grec Unicode" w:hAnsi="IFAO-Grec Unicode" w:eastAsia="IFAO-Grec Unicode"/>
        </w:rPr>
        <w:fldChar w:fldCharType="begin" w:fldLock="0"/>
      </w:r>
      <w:r>
        <w:rPr>
          <w:rStyle w:val="Hyperlink.0"/>
          <w:rFonts w:ascii="IFAO-Grec Unicode" w:cs="IFAO-Grec Unicode" w:hAnsi="IFAO-Grec Unicode" w:eastAsia="IFAO-Grec Unicode"/>
        </w:rPr>
        <w:instrText xml:space="preserve"> HYPERLINK "https://papyri.info/biblio/96953"</w:instrText>
      </w:r>
      <w:r>
        <w:rPr>
          <w:rStyle w:val="Hyperlink.0"/>
          <w:rFonts w:ascii="IFAO-Grec Unicode" w:cs="IFAO-Grec Unicode" w:hAnsi="IFAO-Grec Unicode" w:eastAsia="IFAO-Grec Unicode"/>
        </w:rPr>
        <w:fldChar w:fldCharType="separate" w:fldLock="0"/>
      </w:r>
      <w:r>
        <w:rPr>
          <w:rStyle w:val="Hyperlink.0"/>
          <w:rFonts w:ascii="IFAO-Grec Unicode" w:hAnsi="IFAO-Grec Unicode"/>
          <w:rtl w:val="0"/>
          <w:lang w:val="en-US"/>
        </w:rPr>
        <w:t>Mascellari, R. (2024)</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 xml:space="preserve">Il saluto conclusivo nelle lettere degli alti funzionari provinziali: </w:t>
      </w:r>
      <w:r>
        <w:rPr>
          <w:rFonts w:ascii="IFAO-Grec Unicode" w:hAnsi="IFAO-Grec Unicode" w:hint="default"/>
          <w:rtl w:val="0"/>
          <w:lang w:val="en-US"/>
        </w:rPr>
        <w:t>ἐρρῶσθαι</w:t>
      </w:r>
      <w:r>
        <w:rPr>
          <w:rFonts w:ascii="IFAO-Grec Unicode" w:hAnsi="IFAO-Grec Unicode" w:hint="default"/>
          <w:rtl w:val="0"/>
          <w:lang w:val="en-US"/>
        </w:rPr>
        <w:t xml:space="preserve"> … </w:t>
      </w:r>
      <w:r>
        <w:rPr>
          <w:rFonts w:ascii="IFAO-Grec Unicode" w:hAnsi="IFAO-Grec Unicode" w:hint="default"/>
          <w:rtl w:val="0"/>
          <w:lang w:val="en-US"/>
        </w:rPr>
        <w:t>βούλομαι</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rtl w:val="0"/>
          <w:lang w:val="en-US"/>
        </w:rPr>
        <w:t>APF</w:t>
      </w:r>
      <w:r>
        <w:rPr>
          <w:rFonts w:ascii="IFAO-Grec Unicode" w:hAnsi="IFAO-Grec Unicode"/>
          <w:rtl w:val="0"/>
          <w:lang w:val="en-US"/>
        </w:rPr>
        <w:t xml:space="preserve"> 70: 78-96.</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McConnell, J.R., Sigl, M., Plunkett, G., Burke, A., Kim, W.M., Raible, C.C., Wilson, A.I., Manning, J.G., Ludlow, F., Chellman, N.J., Innes, H.M., Yang, Z., Larsen. J.F., Schaefer, J.R., Kipfstuhl, S., Nojtabavi, S., Whilhelms, F., Opel, Th., Meyer, H., and Steffensen, J.P. (2020)</w:t>
      </w:r>
      <w:r>
        <w:rPr>
          <w:rFonts w:ascii="IFAO-Grec Unicode" w:cs="IFAO-Grec Unicode" w:hAnsi="IFAO-Grec Unicode" w:eastAsia="IFAO-Grec Unicode"/>
        </w:rPr>
        <w:fldChar w:fldCharType="end" w:fldLock="0"/>
      </w:r>
      <w:r>
        <w:rPr>
          <w:rFonts w:ascii="IFAO-Grec Unicode" w:hAnsi="IFAO-Grec Unicode"/>
          <w:rtl w:val="0"/>
          <w:lang w:val="en-US"/>
        </w:rPr>
        <w:t xml:space="preserve">, </w:t>
      </w:r>
      <w:r>
        <w:rPr>
          <w:rFonts w:ascii="IFAO-Grec Unicode" w:hAnsi="IFAO-Grec Unicode" w:hint="default"/>
          <w:rtl w:val="0"/>
          <w:lang w:val="en-US"/>
        </w:rPr>
        <w:t>“</w:t>
      </w:r>
      <w:r>
        <w:rPr>
          <w:rFonts w:ascii="IFAO-Grec Unicode" w:hAnsi="IFAO-Grec Unicode"/>
          <w:rtl w:val="0"/>
          <w:lang w:val="en-US"/>
        </w:rPr>
        <w:t>Extreme climate after massive eruption in Alaska</w:t>
      </w:r>
      <w:r>
        <w:rPr>
          <w:rFonts w:ascii="IFAO-Grec Unicode" w:hAnsi="IFAO-Grec Unicode" w:hint="default"/>
          <w:rtl w:val="0"/>
          <w:lang w:val="en-US"/>
        </w:rPr>
        <w:t>’</w:t>
      </w:r>
      <w:r>
        <w:rPr>
          <w:rFonts w:ascii="IFAO-Grec Unicode" w:hAnsi="IFAO-Grec Unicode"/>
          <w:rtl w:val="0"/>
          <w:lang w:val="en-US"/>
        </w:rPr>
        <w:t>s Okmok volcano in 43 BCE and effects on the late Roman Republic and Ptolemaic Kingdom</w:t>
      </w:r>
      <w:r>
        <w:rPr>
          <w:rFonts w:ascii="IFAO-Grec Unicode" w:hAnsi="IFAO-Grec Unicode" w:hint="default"/>
          <w:rtl w:val="0"/>
          <w:lang w:val="en-US"/>
        </w:rPr>
        <w:t>”</w:t>
      </w:r>
      <w:r>
        <w:rPr>
          <w:rFonts w:ascii="IFAO-Grec Unicode" w:hAnsi="IFAO-Grec Unicode"/>
          <w:rtl w:val="0"/>
          <w:lang w:val="en-US"/>
        </w:rPr>
        <w:t xml:space="preserve">, </w:t>
      </w:r>
      <w:r>
        <w:rPr>
          <w:rFonts w:ascii="IFAO-Grec Unicode" w:hAnsi="IFAO-Grec Unicode"/>
          <w:rtl w:val="0"/>
          <w:lang w:val="en-US"/>
        </w:rPr>
        <w:t>PNAS</w:t>
      </w:r>
      <w:r>
        <w:rPr>
          <w:rFonts w:ascii="IFAO-Grec Unicode" w:hAnsi="IFAO-Grec Unicode"/>
          <w:rtl w:val="0"/>
          <w:lang w:val="en-US"/>
        </w:rPr>
        <w:t xml:space="preserve"> 117: 15443-15449</w:t>
      </w:r>
      <w:r>
        <w:rPr>
          <w:rFonts w:ascii="IFAO-Grec Unicode" w:hAnsi="IFAO-Grec Unicode"/>
          <w:rtl w:val="0"/>
          <w:lang w:val="en-US"/>
        </w:rPr>
        <w:t xml:space="preserve"> </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"https://papyri.info/biblio/80628"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Monson, A. (2012)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From the Ptolemies to the Romans. Political and economic change in Egypt</w:t>
      </w:r>
      <w:r>
        <w:rPr>
          <w:rFonts w:ascii="IFAO-Grec Unicode" w:hAnsi="IFAO-Grec Unicode"/>
          <w:rtl w:val="0"/>
          <w:lang w:val="en-US"/>
        </w:rPr>
        <w:t>. Cambridge.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"https://papyri.info/biblio/95733"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Monte, A. (2018)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de-DE"/>
        </w:rPr>
        <w:t>Neue Quellen zum griechisch-r</w:t>
      </w:r>
      <w:r>
        <w:rPr>
          <w:rFonts w:ascii="IFAO-Grec Unicode" w:hAnsi="IFAO-Grec Unicode" w:hint="default"/>
          <w:rtl w:val="0"/>
          <w:lang w:val="sv-SE"/>
        </w:rPr>
        <w:t>ö</w:t>
      </w:r>
      <w:r>
        <w:rPr>
          <w:rFonts w:ascii="IFAO-Grec Unicode" w:hAnsi="IFAO-Grec Unicode"/>
          <w:rtl w:val="0"/>
          <w:lang w:val="de-DE"/>
        </w:rPr>
        <w:t xml:space="preserve">misch-byzantinischen </w:t>
      </w:r>
      <w:r>
        <w:rPr>
          <w:rFonts w:ascii="IFAO-Grec Unicode" w:hAnsi="IFAO-Grec Unicode" w:hint="default"/>
          <w:rtl w:val="0"/>
          <w:lang w:val="sv-SE"/>
        </w:rPr>
        <w:t>Ä</w:t>
      </w:r>
      <w:r>
        <w:rPr>
          <w:rFonts w:ascii="IFAO-Grec Unicode" w:hAnsi="IFAO-Grec Unicode"/>
          <w:rtl w:val="0"/>
          <w:lang w:val="de-DE"/>
        </w:rPr>
        <w:t>gypten: Erstedition von f</w:t>
      </w:r>
      <w:r>
        <w:rPr>
          <w:rFonts w:ascii="IFAO-Grec Unicode" w:hAnsi="IFAO-Grec Unicode" w:hint="default"/>
          <w:rtl w:val="0"/>
        </w:rPr>
        <w:t>ü</w:t>
      </w:r>
      <w:r>
        <w:rPr>
          <w:rFonts w:ascii="IFAO-Grec Unicode" w:hAnsi="IFAO-Grec Unicode"/>
          <w:rtl w:val="0"/>
          <w:lang w:val="de-DE"/>
        </w:rPr>
        <w:t>nfzehn griechischen Papyrustexten der Berliner Papyrussammlung</w:t>
      </w:r>
      <w:r>
        <w:rPr>
          <w:rFonts w:ascii="IFAO-Grec Unicode" w:hAnsi="IFAO-Grec Unicode"/>
          <w:rtl w:val="0"/>
          <w:lang w:val="en-US"/>
        </w:rPr>
        <w:t>. Unpublished PhD thesis, Humboldt Universit</w:t>
      </w:r>
      <w:r>
        <w:rPr>
          <w:rFonts w:ascii="IFAO-Grec Unicode" w:hAnsi="IFAO-Grec Unicode" w:hint="default"/>
          <w:rtl w:val="0"/>
        </w:rPr>
        <w:t>ä</w:t>
      </w:r>
      <w:r>
        <w:rPr>
          <w:rFonts w:ascii="IFAO-Grec Unicode" w:hAnsi="IFAO-Grec Unicode"/>
          <w:rtl w:val="0"/>
          <w:lang w:val="de-DE"/>
        </w:rPr>
        <w:t xml:space="preserve">t zu Berlin, available online </w:t>
      </w: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"https://doi.org/10.18452/21422"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https://doi.org/10.18452/21422</w:t>
      </w:r>
      <w:r>
        <w:rPr>
          <w:rFonts w:ascii="IFAO-Grec Unicode" w:cs="IFAO-Grec Unicode" w:hAnsi="IFAO-Grec Unicode" w:eastAsia="IFAO-Grec Unicode"/>
        </w:rPr>
        <w:fldChar w:fldCharType="end" w:fldLock="0"/>
      </w:r>
      <w:r>
        <w:rPr>
          <w:rFonts w:ascii="IFAO-Grec Unicode" w:hAnsi="IFAO-Grec Unicode"/>
          <w:rtl w:val="0"/>
          <w:lang w:val="pt-PT"/>
        </w:rPr>
        <w:t>. [= P.Berl. Monte]</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"https://papyri.info/biblio/42278"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Peremans, W. and van</w:t>
      </w:r>
      <w:r>
        <w:rPr>
          <w:rStyle w:val="Link"/>
          <w:rFonts w:ascii="IFAO-Grec Unicode" w:hAnsi="IFAO-Grec Unicode" w:hint="default"/>
          <w:rtl w:val="1"/>
        </w:rPr>
        <w:t>’</w:t>
      </w:r>
      <w:r>
        <w:rPr>
          <w:rStyle w:val="Link"/>
          <w:rFonts w:ascii="IFAO-Grec Unicode" w:hAnsi="IFAO-Grec Unicode"/>
          <w:rtl w:val="0"/>
          <w:lang w:val="it-IT"/>
        </w:rPr>
        <w:t>t Dack, E. (1957)</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fr-FR"/>
        </w:rPr>
        <w:t>Notes concernant PSI VIII 969</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Eos</w:t>
      </w:r>
      <w:r>
        <w:rPr>
          <w:rFonts w:ascii="IFAO-Grec Unicode" w:hAnsi="IFAO-Grec Unicode"/>
          <w:rtl w:val="0"/>
        </w:rPr>
        <w:t xml:space="preserve"> 48: 121-132 [= </w:t>
      </w:r>
      <w:r>
        <w:rPr>
          <w:rFonts w:ascii="IFAO-Grec Unicode" w:hAnsi="IFAO-Grec Unicode"/>
          <w:rtl w:val="0"/>
          <w:lang w:val="de-DE"/>
        </w:rPr>
        <w:t>Symbolae Raphaeli Taubenschlag dedicatae</w:t>
      </w:r>
      <w:r>
        <w:rPr>
          <w:rFonts w:ascii="IFAO-Grec Unicode" w:hAnsi="IFAO-Grec Unicode"/>
          <w:rtl w:val="0"/>
          <w:lang w:val="pt-PT"/>
        </w:rPr>
        <w:t xml:space="preserve"> II].</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"https://papyri.info/biblio/3159"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Preisendanz, K. (1933)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de-DE"/>
        </w:rPr>
        <w:t>Papyrusfunde und Papyrusforschung</w:t>
      </w:r>
      <w:r>
        <w:rPr>
          <w:rFonts w:ascii="IFAO-Grec Unicode" w:hAnsi="IFAO-Grec Unicode"/>
          <w:rtl w:val="0"/>
          <w:lang w:val="de-DE"/>
        </w:rPr>
        <w:t>. Leipzig.</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"https://papyri.info/biblio/9517"</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Ricketts, L.M. (1980)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The administration of Ptolemaic Egypt under Cleopatra VII</w:t>
      </w:r>
      <w:r>
        <w:rPr>
          <w:rFonts w:ascii="IFAO-Grec Unicode" w:hAnsi="IFAO-Grec Unicode"/>
          <w:rtl w:val="0"/>
        </w:rPr>
        <w:t>. Microfilm PhD diss., Ann Arbor.</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"https://papyri.info/biblio/62631"</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Ricketts, L.M. (1992)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The administration of late Ptolemaic Egypt</w:t>
      </w:r>
      <w:r>
        <w:rPr>
          <w:rFonts w:ascii="IFAO-Grec Unicode" w:hAnsi="IFAO-Grec Unicode" w:hint="default"/>
          <w:rtl w:val="0"/>
        </w:rPr>
        <w:t>”</w:t>
      </w:r>
      <w:r>
        <w:rPr>
          <w:rFonts w:ascii="IFAO-Grec Unicode" w:hAnsi="IFAO-Grec Unicode"/>
          <w:rtl w:val="0"/>
          <w:lang w:val="de-DE"/>
        </w:rPr>
        <w:t xml:space="preserve">, in Johnson, J.H. (ed.), </w:t>
      </w:r>
      <w:r>
        <w:rPr>
          <w:rFonts w:ascii="IFAO-Grec Unicode" w:hAnsi="IFAO-Grec Unicode"/>
          <w:rtl w:val="0"/>
          <w:lang w:val="en-US"/>
        </w:rPr>
        <w:t>Life in a multicultural society: Egypt from Cambyses to Constantine and beyond</w:t>
      </w:r>
      <w:r>
        <w:rPr>
          <w:rFonts w:ascii="IFAO-Grec Unicode" w:hAnsi="IFAO-Grec Unicode"/>
          <w:rtl w:val="0"/>
        </w:rPr>
        <w:t>.</w:t>
      </w:r>
      <w:r>
        <w:rPr>
          <w:rFonts w:ascii="IFAO-Grec Unicode" w:hAnsi="IFAO-Grec Unicode"/>
          <w:rtl w:val="0"/>
        </w:rPr>
        <w:t xml:space="preserve"> </w:t>
      </w:r>
      <w:r>
        <w:rPr>
          <w:rFonts w:ascii="IFAO-Grec Unicode" w:hAnsi="IFAO-Grec Unicode"/>
          <w:rtl w:val="0"/>
          <w:lang w:val="it-IT"/>
        </w:rPr>
        <w:t>Chicago: 275-281.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"https://papyri.info/biblio/4877"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Roberts, C.H. and Turner, E.G. (1952)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Catalogue of the Greek and Latin papyri in the John Rylands Library, Manchester</w:t>
      </w:r>
      <w:r>
        <w:rPr>
          <w:rFonts w:ascii="IFAO-Grec Unicode" w:hAnsi="IFAO-Grec Unicode"/>
          <w:rtl w:val="0"/>
          <w:lang w:val="pt-PT"/>
        </w:rPr>
        <w:t>. Manchester. [= P.Ryl. 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lang w:val="en-US"/>
        </w:rPr>
      </w:pPr>
      <w:r>
        <w:rPr>
          <w:rStyle w:val="Hyperlink.7"/>
          <w:rFonts w:ascii="IFAO-Grec Unicode" w:cs="IFAO-Grec Unicode" w:hAnsi="IFAO-Grec Unicode" w:eastAsia="IFAO-Grec Unicode"/>
        </w:rPr>
        <w:fldChar w:fldCharType="begin" w:fldLock="0"/>
      </w:r>
      <w:r>
        <w:rPr>
          <w:rStyle w:val="Hyperlink.7"/>
          <w:rFonts w:ascii="IFAO-Grec Unicode" w:cs="IFAO-Grec Unicode" w:hAnsi="IFAO-Grec Unicode" w:eastAsia="IFAO-Grec Unicode"/>
        </w:rPr>
        <w:instrText xml:space="preserve"> HYPERLINK "https://papyri.info/biblio/17122"</w:instrText>
      </w:r>
      <w:r>
        <w:rPr>
          <w:rStyle w:val="Hyperlink.7"/>
          <w:rFonts w:ascii="IFAO-Grec Unicode" w:cs="IFAO-Grec Unicode" w:hAnsi="IFAO-Grec Unicode" w:eastAsia="IFAO-Grec Unicode"/>
        </w:rPr>
        <w:fldChar w:fldCharType="separate" w:fldLock="0"/>
      </w:r>
      <w:r>
        <w:rPr>
          <w:rStyle w:val="Hyperlink.7"/>
          <w:rFonts w:ascii="IFAO-Grec Unicode" w:hAnsi="IFAO-Grec Unicode"/>
          <w:rtl w:val="0"/>
          <w:lang w:val="fr-FR"/>
        </w:rPr>
        <w:t>Salmenkivi, E. (2002)</w:t>
      </w:r>
      <w:r>
        <w:rPr>
          <w:rFonts w:ascii="IFAO-Grec Unicode" w:cs="IFAO-Grec Unicode" w:hAnsi="IFAO-Grec Unicode" w:eastAsia="IFAO-Grec Unicode"/>
        </w:rPr>
        <w:fldChar w:fldCharType="end" w:fldLock="0"/>
      </w:r>
      <w:r>
        <w:rPr>
          <w:rFonts w:ascii="IFAO-Grec Unicode" w:hAnsi="IFAO-Grec Unicode"/>
          <w:rtl w:val="0"/>
          <w:lang w:val="fr-FR"/>
        </w:rPr>
        <w:t xml:space="preserve">, </w:t>
      </w:r>
      <w:r>
        <w:rPr>
          <w:rFonts w:ascii="IFAO-Grec Unicode" w:hAnsi="IFAO-Grec Unicode"/>
          <w:rtl w:val="0"/>
          <w:lang w:val="fr-FR"/>
        </w:rPr>
        <w:t xml:space="preserve">Cartonnage papyri in context. </w:t>
      </w:r>
      <w:r>
        <w:rPr>
          <w:rFonts w:ascii="IFAO-Grec Unicode" w:hAnsi="IFAO-Grec Unicode"/>
          <w:rtl w:val="0"/>
          <w:lang w:val="en-US"/>
        </w:rPr>
        <w:t>New Ptolemaic documents from Abu Sir al-Malaq</w:t>
      </w:r>
      <w:r>
        <w:rPr>
          <w:rFonts w:ascii="IFAO-Grec Unicode" w:hAnsi="IFAO-Grec Unicode"/>
          <w:rtl w:val="0"/>
          <w:lang w:val="en-US"/>
        </w:rPr>
        <w:t>. Helsinki. [= P.Berl. Salmen.]</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lang w:val="en-US"/>
        </w:rPr>
      </w:pPr>
      <w:r>
        <w:rPr>
          <w:rStyle w:val="Hyperlink.3"/>
          <w:rFonts w:ascii="IFAO-Grec Unicode" w:cs="IFAO-Grec Unicode" w:hAnsi="IFAO-Grec Unicode" w:eastAsia="IFAO-Grec Unicode"/>
        </w:rPr>
        <w:fldChar w:fldCharType="begin" w:fldLock="0"/>
      </w:r>
      <w:r>
        <w:rPr>
          <w:rStyle w:val="Hyperlink.3"/>
          <w:rFonts w:ascii="IFAO-Grec Unicode" w:cs="IFAO-Grec Unicode" w:hAnsi="IFAO-Grec Unicode" w:eastAsia="IFAO-Grec Unicode"/>
        </w:rPr>
        <w:instrText xml:space="preserve"> HYPERLINK "https://papyri.info/biblio/16165"</w:instrText>
      </w:r>
      <w:r>
        <w:rPr>
          <w:rStyle w:val="Hyperlink.3"/>
          <w:rFonts w:ascii="IFAO-Grec Unicode" w:cs="IFAO-Grec Unicode" w:hAnsi="IFAO-Grec Unicode" w:eastAsia="IFAO-Grec Unicode"/>
        </w:rPr>
        <w:fldChar w:fldCharType="separate" w:fldLock="0"/>
      </w:r>
      <w:r>
        <w:rPr>
          <w:rStyle w:val="Hyperlink.3"/>
          <w:rFonts w:ascii="IFAO-Grec Unicode" w:hAnsi="IFAO-Grec Unicode"/>
          <w:rtl w:val="0"/>
          <w:lang w:val="de-DE"/>
        </w:rPr>
        <w:t>Sarischouli, P. (2000)</w:t>
      </w:r>
      <w:r>
        <w:rPr>
          <w:rFonts w:ascii="IFAO-Grec Unicode" w:cs="IFAO-Grec Unicode" w:hAnsi="IFAO-Grec Unicode" w:eastAsia="IFAO-Grec Unicode"/>
        </w:rPr>
        <w:fldChar w:fldCharType="end" w:fldLock="0"/>
      </w:r>
      <w:r>
        <w:rPr>
          <w:rFonts w:ascii="IFAO-Grec Unicode" w:hAnsi="IFAO-Grec Unicode"/>
          <w:rtl w:val="0"/>
          <w:lang w:val="de-DE"/>
        </w:rPr>
        <w:t xml:space="preserve">, </w:t>
      </w:r>
      <w:r>
        <w:rPr>
          <w:rFonts w:ascii="IFAO-Grec Unicode" w:hAnsi="IFAO-Grec Unicode" w:hint="default"/>
          <w:rtl w:val="0"/>
          <w:lang w:val="de-DE"/>
        </w:rPr>
        <w:t>“</w:t>
      </w:r>
      <w:r>
        <w:rPr>
          <w:rFonts w:ascii="IFAO-Grec Unicode" w:hAnsi="IFAO-Grec Unicode"/>
          <w:rtl w:val="0"/>
          <w:lang w:val="de-DE"/>
        </w:rPr>
        <w:t>Sp</w:t>
      </w:r>
      <w:r>
        <w:rPr>
          <w:rFonts w:ascii="IFAO-Grec Unicode" w:hAnsi="IFAO-Grec Unicode" w:hint="default"/>
          <w:rtl w:val="0"/>
          <w:lang w:val="de-DE"/>
        </w:rPr>
        <w:t>ä</w:t>
      </w:r>
      <w:r>
        <w:rPr>
          <w:rFonts w:ascii="IFAO-Grec Unicode" w:hAnsi="IFAO-Grec Unicode"/>
          <w:rtl w:val="0"/>
          <w:lang w:val="de-DE"/>
        </w:rPr>
        <w:t>tptolem</w:t>
      </w:r>
      <w:r>
        <w:rPr>
          <w:rFonts w:ascii="IFAO-Grec Unicode" w:hAnsi="IFAO-Grec Unicode" w:hint="default"/>
          <w:rtl w:val="0"/>
          <w:lang w:val="de-DE"/>
        </w:rPr>
        <w:t>ä</w:t>
      </w:r>
      <w:r>
        <w:rPr>
          <w:rFonts w:ascii="IFAO-Grec Unicode" w:hAnsi="IFAO-Grec Unicode"/>
          <w:rtl w:val="0"/>
          <w:lang w:val="de-DE"/>
        </w:rPr>
        <w:t xml:space="preserve">ische Urkunden: </w:t>
      </w:r>
      <w:r>
        <w:rPr>
          <w:rFonts w:ascii="IFAO-Grec Unicode" w:hAnsi="IFAO-Grec Unicode" w:hint="default"/>
          <w:rtl w:val="0"/>
          <w:lang w:val="en-US"/>
        </w:rPr>
        <w:t>ΣΥΓΧΩΡΗΣΙΣ</w:t>
      </w:r>
      <w:r>
        <w:rPr>
          <w:rFonts w:ascii="IFAO-Grec Unicode" w:hAnsi="IFAO-Grec Unicode"/>
          <w:rtl w:val="0"/>
          <w:lang w:val="de-DE"/>
        </w:rPr>
        <w:t>-Vertrag und Eide</w:t>
      </w:r>
      <w:r>
        <w:rPr>
          <w:rFonts w:ascii="IFAO-Grec Unicode" w:hAnsi="IFAO-Grec Unicode" w:hint="default"/>
          <w:rtl w:val="0"/>
          <w:lang w:val="de-DE"/>
        </w:rPr>
        <w:t>”</w:t>
      </w:r>
      <w:r>
        <w:rPr>
          <w:rFonts w:ascii="IFAO-Grec Unicode" w:hAnsi="IFAO-Grec Unicode"/>
          <w:rtl w:val="0"/>
          <w:lang w:val="de-DE"/>
        </w:rPr>
        <w:t xml:space="preserve">, in Melaerts, H. (ed.), </w:t>
      </w:r>
      <w:r>
        <w:rPr>
          <w:rFonts w:ascii="IFAO-Grec Unicode" w:hAnsi="IFAO-Grec Unicode"/>
          <w:rtl w:val="0"/>
          <w:lang w:val="de-DE"/>
        </w:rPr>
        <w:t>Papyri in honorem Johannis Bingen octogenarii</w:t>
      </w:r>
      <w:r>
        <w:rPr>
          <w:rFonts w:ascii="IFAO-Grec Unicode" w:hAnsi="IFAO-Grec Unicode"/>
          <w:rtl w:val="0"/>
          <w:lang w:val="de-DE"/>
        </w:rPr>
        <w:t xml:space="preserve">. </w:t>
      </w:r>
      <w:r>
        <w:rPr>
          <w:rFonts w:ascii="IFAO-Grec Unicode" w:hAnsi="IFAO-Grec Unicode"/>
          <w:rtl w:val="0"/>
          <w:lang w:val="en-US"/>
        </w:rPr>
        <w:t>Leuven: 213-228. [= P.Bingen 45-47]</w:t>
      </w:r>
    </w:p>
    <w:p>
      <w:pPr>
        <w:pStyle w:val="Body"/>
        <w:rPr>
          <w:rFonts w:ascii="IFAO-Grec Unicode" w:cs="IFAO-Grec Unicode" w:hAnsi="IFAO-Grec Unicode" w:eastAsia="IFAO-Grec Unicode"/>
          <w:lang w:val="en-US"/>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"https://papyri.info/biblio/95860"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Sarri, A. (2018)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Material aspects of letter writing in the Graeco-Roman world</w:t>
      </w:r>
      <w:r>
        <w:rPr>
          <w:rFonts w:ascii="IFAO-Grec Unicode" w:hAnsi="IFAO-Grec Unicode"/>
          <w:rtl w:val="0"/>
          <w:lang w:val="de-DE"/>
        </w:rPr>
        <w:t xml:space="preserve">. Berlin </w:t>
      </w:r>
      <w:r>
        <w:rPr>
          <w:rFonts w:ascii="IFAO-Grec Unicode" w:hAnsi="IFAO-Grec Unicode" w:hint="default"/>
          <w:rtl w:val="0"/>
        </w:rPr>
        <w:t xml:space="preserve">– </w:t>
      </w:r>
      <w:r>
        <w:rPr>
          <w:rFonts w:ascii="IFAO-Grec Unicode" w:hAnsi="IFAO-Grec Unicode"/>
          <w:rtl w:val="0"/>
          <w:lang w:val="en-US"/>
        </w:rPr>
        <w:t>Boston.</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"https://papyri.info/biblio/34630"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Sch</w:t>
      </w:r>
      <w:r>
        <w:rPr>
          <w:rStyle w:val="Link"/>
          <w:rFonts w:ascii="IFAO-Grec Unicode" w:hAnsi="IFAO-Grec Unicode" w:hint="default"/>
          <w:rtl w:val="0"/>
        </w:rPr>
        <w:t>ä</w:t>
      </w:r>
      <w:r>
        <w:rPr>
          <w:rStyle w:val="Link"/>
          <w:rFonts w:ascii="IFAO-Grec Unicode" w:hAnsi="IFAO-Grec Unicode"/>
          <w:rtl w:val="0"/>
        </w:rPr>
        <w:t>fer, D. (1933)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Zu den ptolem</w:t>
      </w:r>
      <w:r>
        <w:rPr>
          <w:rFonts w:ascii="IFAO-Grec Unicode" w:hAnsi="IFAO-Grec Unicode" w:hint="default"/>
          <w:rtl w:val="0"/>
        </w:rPr>
        <w:t>ä</w:t>
      </w:r>
      <w:r>
        <w:rPr>
          <w:rFonts w:ascii="IFAO-Grec Unicode" w:hAnsi="IFAO-Grec Unicode"/>
          <w:rtl w:val="0"/>
          <w:lang w:val="de-DE"/>
        </w:rPr>
        <w:t xml:space="preserve">ischen </w:t>
      </w:r>
      <w:r>
        <w:rPr>
          <w:rFonts w:ascii="IFAO-Grec Unicode" w:hAnsi="IFAO-Grec Unicode"/>
          <w:rtl w:val="0"/>
        </w:rPr>
        <w:t>pisteis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fr-FR"/>
        </w:rPr>
        <w:t>Philologus</w:t>
      </w:r>
      <w:r>
        <w:rPr>
          <w:rFonts w:ascii="IFAO-Grec Unicode" w:hAnsi="IFAO-Grec Unicode"/>
          <w:rtl w:val="0"/>
          <w:lang w:val="it-IT"/>
        </w:rPr>
        <w:t xml:space="preserve"> 88: 296-301.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Schram, V. (2023)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rPr>
        <w:t>L</w:t>
      </w:r>
      <w:r>
        <w:rPr>
          <w:rFonts w:ascii="IFAO-Grec Unicode" w:hAnsi="IFAO-Grec Unicode" w:hint="default"/>
          <w:rtl w:val="1"/>
        </w:rPr>
        <w:t>’</w:t>
      </w:r>
      <w:r>
        <w:rPr>
          <w:rFonts w:ascii="IFAO-Grec Unicode" w:hAnsi="IFAO-Grec Unicode"/>
          <w:rtl w:val="0"/>
          <w:lang w:val="fr-FR"/>
        </w:rPr>
        <w:t>arbre et le bois dans l</w:t>
      </w:r>
      <w:r>
        <w:rPr>
          <w:rFonts w:ascii="IFAO-Grec Unicode" w:hAnsi="IFAO-Grec Unicode" w:hint="default"/>
          <w:rtl w:val="0"/>
          <w:lang w:val="fr-FR"/>
        </w:rPr>
        <w:t>’É</w:t>
      </w:r>
      <w:r>
        <w:rPr>
          <w:rFonts w:ascii="IFAO-Grec Unicode" w:hAnsi="IFAO-Grec Unicode"/>
          <w:rtl w:val="0"/>
          <w:lang w:val="nl-NL"/>
        </w:rPr>
        <w:t>gypte gr</w:t>
      </w:r>
      <w:r>
        <w:rPr>
          <w:rFonts w:ascii="IFAO-Grec Unicode" w:hAnsi="IFAO-Grec Unicode" w:hint="default"/>
          <w:rtl w:val="0"/>
          <w:lang w:val="fr-FR"/>
        </w:rPr>
        <w:t>é</w:t>
      </w:r>
      <w:r>
        <w:rPr>
          <w:rFonts w:ascii="IFAO-Grec Unicode" w:hAnsi="IFAO-Grec Unicode"/>
          <w:rtl w:val="0"/>
          <w:lang w:val="fr-FR"/>
        </w:rPr>
        <w:t>co-romaine</w:t>
      </w:r>
      <w:r>
        <w:rPr>
          <w:rFonts w:ascii="IFAO-Grec Unicode" w:hAnsi="IFAO-Grec Unicode"/>
          <w:rtl w:val="0"/>
          <w:lang w:val="pt-PT"/>
        </w:rPr>
        <w:t>. Paris.</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"https://papyri.info/biblio/96313"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Schubart, W. (1913)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Alexandrinische Urkunden aus der Zeit des Augustus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APF</w:t>
      </w:r>
      <w:r>
        <w:rPr>
          <w:rFonts w:ascii="IFAO-Grec Unicode" w:hAnsi="IFAO-Grec Unicode"/>
          <w:rtl w:val="0"/>
        </w:rPr>
        <w:t xml:space="preserve"> 5: 35-131.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"https://papyri.info/biblio/3169"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Schubart, W. and Sch</w:t>
      </w:r>
      <w:r>
        <w:rPr>
          <w:rStyle w:val="Link"/>
          <w:rFonts w:ascii="IFAO-Grec Unicode" w:hAnsi="IFAO-Grec Unicode" w:hint="default"/>
          <w:rtl w:val="0"/>
        </w:rPr>
        <w:t>ä</w:t>
      </w:r>
      <w:r>
        <w:rPr>
          <w:rStyle w:val="Link"/>
          <w:rFonts w:ascii="IFAO-Grec Unicode" w:hAnsi="IFAO-Grec Unicode"/>
          <w:rtl w:val="0"/>
        </w:rPr>
        <w:t>fer, D. (1933)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rPr>
        <w:t>Sp</w:t>
      </w:r>
      <w:r>
        <w:rPr>
          <w:rFonts w:ascii="IFAO-Grec Unicode" w:hAnsi="IFAO-Grec Unicode" w:hint="default"/>
          <w:rtl w:val="0"/>
        </w:rPr>
        <w:t>ä</w:t>
      </w:r>
      <w:r>
        <w:rPr>
          <w:rFonts w:ascii="IFAO-Grec Unicode" w:hAnsi="IFAO-Grec Unicode"/>
          <w:rtl w:val="0"/>
        </w:rPr>
        <w:t>tptolem</w:t>
      </w:r>
      <w:r>
        <w:rPr>
          <w:rFonts w:ascii="IFAO-Grec Unicode" w:hAnsi="IFAO-Grec Unicode" w:hint="default"/>
          <w:rtl w:val="0"/>
        </w:rPr>
        <w:t>ä</w:t>
      </w:r>
      <w:r>
        <w:rPr>
          <w:rFonts w:ascii="IFAO-Grec Unicode" w:hAnsi="IFAO-Grec Unicode"/>
          <w:rtl w:val="0"/>
          <w:lang w:val="de-DE"/>
        </w:rPr>
        <w:t>ische Papyri aus amtlichen B</w:t>
      </w:r>
      <w:r>
        <w:rPr>
          <w:rFonts w:ascii="IFAO-Grec Unicode" w:hAnsi="IFAO-Grec Unicode" w:hint="default"/>
          <w:rtl w:val="0"/>
        </w:rPr>
        <w:t>ü</w:t>
      </w:r>
      <w:r>
        <w:rPr>
          <w:rFonts w:ascii="IFAO-Grec Unicode" w:hAnsi="IFAO-Grec Unicode"/>
          <w:rtl w:val="0"/>
          <w:lang w:val="de-DE"/>
        </w:rPr>
        <w:t>ros des Herakleopolites</w:t>
      </w:r>
      <w:r>
        <w:rPr>
          <w:rFonts w:ascii="IFAO-Grec Unicode" w:hAnsi="IFAO-Grec Unicode"/>
          <w:rtl w:val="0"/>
          <w:lang w:val="pt-PT"/>
        </w:rPr>
        <w:t>. Berlin. [= BGU 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"https://papyri.info/biblio/96179"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Schubert, P. (2018)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Warrants: some further considerations on their typology</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BASP</w:t>
      </w:r>
      <w:r>
        <w:rPr>
          <w:rFonts w:ascii="IFAO-Grec Unicode" w:hAnsi="IFAO-Grec Unicode"/>
          <w:rtl w:val="0"/>
        </w:rPr>
        <w:t xml:space="preserve"> 55: 253-274.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"https://papyri.info/biblio/96189"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Schubert, P. (2019)</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Transmission of cleruchic land. A model to describe the procedure</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de-DE"/>
        </w:rPr>
        <w:t>AFP</w:t>
      </w:r>
      <w:r>
        <w:rPr>
          <w:rFonts w:ascii="IFAO-Grec Unicode" w:hAnsi="IFAO-Grec Unicode"/>
          <w:rtl w:val="0"/>
        </w:rPr>
        <w:t xml:space="preserve"> 65: 280-316.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en-US"/>
        </w:rPr>
        <w:t xml:space="preserve">Schubert, P. (2025, forthcoming), </w:t>
      </w:r>
      <w:r>
        <w:rPr>
          <w:rFonts w:ascii="IFAO-Grec Unicode" w:hAnsi="IFAO-Grec Unicode" w:hint="default"/>
          <w:rtl w:val="1"/>
          <w:lang w:val="ar-SA" w:bidi="ar-SA"/>
        </w:rPr>
        <w:t>“</w:t>
      </w:r>
      <w:r>
        <w:rPr>
          <w:rFonts w:ascii="IFAO-Grec Unicode" w:hAnsi="IFAO-Grec Unicode"/>
          <w:rtl w:val="0"/>
          <w:lang w:val="fr-FR"/>
        </w:rPr>
        <w:t>Comment s</w:t>
      </w:r>
      <w:r>
        <w:rPr>
          <w:rFonts w:ascii="IFAO-Grec Unicode" w:hAnsi="IFAO-Grec Unicode" w:hint="default"/>
          <w:rtl w:val="1"/>
        </w:rPr>
        <w:t>’</w:t>
      </w:r>
      <w:r>
        <w:rPr>
          <w:rFonts w:ascii="IFAO-Grec Unicode" w:hAnsi="IFAO-Grec Unicode"/>
          <w:rtl w:val="0"/>
          <w:lang w:val="fr-FR"/>
        </w:rPr>
        <w:t xml:space="preserve">adresser poliment </w:t>
      </w:r>
      <w:r>
        <w:rPr>
          <w:rFonts w:ascii="IFAO-Grec Unicode" w:hAnsi="IFAO-Grec Unicode" w:hint="default"/>
          <w:rtl w:val="0"/>
        </w:rPr>
        <w:t xml:space="preserve">à </w:t>
      </w:r>
      <w:r>
        <w:rPr>
          <w:rFonts w:ascii="IFAO-Grec Unicode" w:hAnsi="IFAO-Grec Unicode"/>
          <w:rtl w:val="0"/>
          <w:lang w:val="fr-FR"/>
        </w:rPr>
        <w:t xml:space="preserve">une reine: une note </w:t>
      </w:r>
      <w:r>
        <w:rPr>
          <w:rFonts w:ascii="IFAO-Grec Unicode" w:hAnsi="IFAO-Grec Unicode" w:hint="default"/>
          <w:rtl w:val="0"/>
        </w:rPr>
        <w:t xml:space="preserve">à </w:t>
      </w:r>
      <w:r>
        <w:rPr>
          <w:rFonts w:ascii="IFAO-Grec Unicode" w:hAnsi="IFAO-Grec Unicode"/>
          <w:rtl w:val="0"/>
          <w:lang w:val="pt-PT"/>
        </w:rPr>
        <w:t>propos de SB VI 9065</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C</w:t>
      </w:r>
      <w:r>
        <w:rPr>
          <w:rFonts w:ascii="IFAO-Grec Unicode" w:hAnsi="IFAO-Grec Unicode" w:hint="default"/>
          <w:rtl w:val="0"/>
          <w:lang w:val="fr-FR"/>
        </w:rPr>
        <w:t>É</w:t>
      </w:r>
      <w:r>
        <w:rPr>
          <w:rFonts w:ascii="IFAO-Grec Unicode" w:hAnsi="IFAO-Grec Unicode"/>
          <w:rtl w:val="0"/>
        </w:rPr>
        <w:t xml:space="preserve"> 100.</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"https://papyri.info/biblio/44403"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Skeat, T.C. (1962)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Notes on Ptolemaic chronology</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JEA</w:t>
      </w:r>
      <w:r>
        <w:rPr>
          <w:rFonts w:ascii="IFAO-Grec Unicode" w:hAnsi="IFAO-Grec Unicode"/>
          <w:rtl w:val="0"/>
        </w:rPr>
        <w:t xml:space="preserve"> 48: 100-105.</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"https://papyri.info/biblio/10067"</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Thomas, J.D. (1982)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The epistrategos in Ptolemaic and Roman Egypt. Part 2: The Roman epistrategos</w:t>
      </w:r>
      <w:r>
        <w:rPr>
          <w:rFonts w:ascii="IFAO-Grec Unicode" w:hAnsi="IFAO-Grec Unicode"/>
          <w:rtl w:val="0"/>
        </w:rPr>
        <w:t>. Opladen.</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"https://papyri.info/biblio/64400"</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Thompson, D.J. (1994)</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rPr>
        <w:t>Egypt, 146-31 B.C.</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CAH</w:t>
      </w:r>
      <w:r>
        <w:rPr>
          <w:rFonts w:ascii="IFAO-Grec Unicode" w:hAnsi="IFAO-Grec Unicode"/>
          <w:vertAlign w:val="superscript"/>
          <w:rtl w:val="0"/>
        </w:rPr>
        <w:t>2</w:t>
      </w:r>
      <w:r>
        <w:rPr>
          <w:rFonts w:ascii="IFAO-Grec Unicode" w:hAnsi="IFAO-Grec Unicode"/>
          <w:rtl w:val="0"/>
        </w:rPr>
        <w:t xml:space="preserve"> IX: 310-326.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"https://papyri.info/biblio/69610"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van Minnen, P. (2000)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An official act of Cleopatra</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it-IT"/>
        </w:rPr>
        <w:t>Anc. Soc.</w:t>
      </w:r>
      <w:r>
        <w:rPr>
          <w:rFonts w:ascii="IFAO-Grec Unicode" w:hAnsi="IFAO-Grec Unicode"/>
          <w:rtl w:val="0"/>
        </w:rPr>
        <w:t xml:space="preserve"> 30: 29-34. </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"https://papyri.info/biblio/70565"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van Minnen, P. (2001)</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Further thoughts on the Cleopatra papyrus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APF</w:t>
      </w:r>
      <w:r>
        <w:rPr>
          <w:rFonts w:ascii="IFAO-Grec Unicode" w:hAnsi="IFAO-Grec Unicode"/>
          <w:rtl w:val="0"/>
        </w:rPr>
        <w:t xml:space="preserve"> 47: 74-80.</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"https://papyri.info/biblio/72702"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van Minnen, P. (2003)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A royal ordinance of Cleopatra and related documents</w:t>
      </w:r>
      <w:r>
        <w:rPr>
          <w:rFonts w:ascii="IFAO-Grec Unicode" w:hAnsi="IFAO-Grec Unicode" w:hint="default"/>
          <w:rtl w:val="0"/>
        </w:rPr>
        <w:t>”</w:t>
      </w:r>
      <w:r>
        <w:rPr>
          <w:rFonts w:ascii="IFAO-Grec Unicode" w:hAnsi="IFAO-Grec Unicode"/>
          <w:rtl w:val="0"/>
          <w:lang w:val="en-US"/>
        </w:rPr>
        <w:t xml:space="preserve">, in Walker, S. and Ashton, S.-A. (eds.), </w:t>
      </w:r>
      <w:r>
        <w:rPr>
          <w:rFonts w:ascii="IFAO-Grec Unicode" w:hAnsi="IFAO-Grec Unicode"/>
          <w:rtl w:val="0"/>
          <w:lang w:val="en-US"/>
        </w:rPr>
        <w:t>Cleopatra reassessed</w:t>
      </w:r>
      <w:r>
        <w:rPr>
          <w:rFonts w:ascii="IFAO-Grec Unicode" w:hAnsi="IFAO-Grec Unicode"/>
          <w:rtl w:val="0"/>
        </w:rPr>
        <w:t>. London: 35-44.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"https://papyri.info/biblio/96060"</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van Minnen, P. (2022)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 xml:space="preserve">Romans in Egypt before the Constitutio Antoniniana: When, where, and why? </w:t>
      </w:r>
      <w:r>
        <w:rPr>
          <w:rFonts w:ascii="IFAO-Grec Unicode" w:hAnsi="IFAO-Grec Unicode" w:hint="default"/>
          <w:rtl w:val="0"/>
        </w:rPr>
        <w:t>”</w:t>
      </w:r>
      <w:r>
        <w:rPr>
          <w:rFonts w:ascii="IFAO-Grec Unicode" w:hAnsi="IFAO-Grec Unicode"/>
          <w:rtl w:val="0"/>
          <w:lang w:val="it-IT"/>
        </w:rPr>
        <w:t>, in Capasso, M., Davoli, P., and Pell</w:t>
      </w:r>
      <w:r>
        <w:rPr>
          <w:rFonts w:ascii="IFAO-Grec Unicode" w:hAnsi="IFAO-Grec Unicode" w:hint="default"/>
          <w:rtl w:val="0"/>
          <w:lang w:val="fr-FR"/>
        </w:rPr>
        <w:t>é</w:t>
      </w:r>
      <w:r>
        <w:rPr>
          <w:rFonts w:ascii="IFAO-Grec Unicode" w:hAnsi="IFAO-Grec Unicode"/>
          <w:rtl w:val="0"/>
          <w:lang w:val="pt-PT"/>
        </w:rPr>
        <w:t xml:space="preserve">, N. (eds.), </w:t>
      </w:r>
      <w:r>
        <w:rPr>
          <w:rFonts w:ascii="IFAO-Grec Unicode" w:hAnsi="IFAO-Grec Unicode"/>
          <w:rtl w:val="0"/>
          <w:lang w:val="en-US"/>
        </w:rPr>
        <w:t>Proceedings of the 29</w:t>
      </w:r>
      <w:r>
        <w:rPr>
          <w:rFonts w:ascii="IFAO-Grec Unicode" w:hAnsi="IFAO-Grec Unicode"/>
          <w:vertAlign w:val="superscript"/>
          <w:rtl w:val="0"/>
          <w:lang w:val="en-US"/>
        </w:rPr>
        <w:t>th</w:t>
      </w:r>
      <w:r>
        <w:rPr>
          <w:rFonts w:ascii="IFAO-Grec Unicode" w:hAnsi="IFAO-Grec Unicode"/>
          <w:rtl w:val="0"/>
          <w:lang w:val="en-US"/>
        </w:rPr>
        <w:t xml:space="preserve"> international congress of papyrology. Lecce, 28 July </w:t>
      </w:r>
      <w:r>
        <w:rPr>
          <w:rFonts w:ascii="IFAO-Grec Unicode" w:hAnsi="IFAO-Grec Unicode" w:hint="default"/>
          <w:rtl w:val="0"/>
        </w:rPr>
        <w:t xml:space="preserve">– </w:t>
      </w:r>
      <w:r>
        <w:rPr>
          <w:rFonts w:ascii="IFAO-Grec Unicode" w:hAnsi="IFAO-Grec Unicode"/>
          <w:rtl w:val="0"/>
        </w:rPr>
        <w:t>3 August 2019</w:t>
      </w:r>
      <w:r>
        <w:rPr>
          <w:rFonts w:ascii="IFAO-Grec Unicode" w:hAnsi="IFAO-Grec Unicode"/>
          <w:rtl w:val="0"/>
          <w:lang w:val="it-IT"/>
        </w:rPr>
        <w:t>. Lecce: 1002</w:t>
      </w:r>
      <w:r>
        <w:rPr>
          <w:rFonts w:ascii="IFAO-Grec Unicode" w:hAnsi="IFAO-Grec Unicode" w:hint="default"/>
          <w:rtl w:val="0"/>
        </w:rPr>
        <w:t>–</w:t>
      </w:r>
      <w:r>
        <w:rPr>
          <w:rFonts w:ascii="IFAO-Grec Unicode" w:hAnsi="IFAO-Grec Unicode"/>
          <w:rtl w:val="0"/>
        </w:rPr>
        <w:t>1025.</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"https://papyri.info/biblio/97282"</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van Minnen, P. (2023)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 xml:space="preserve">The diplomatics of </w:t>
      </w:r>
      <w:r>
        <w:rPr>
          <w:rFonts w:ascii="IFAO-Grec Unicode" w:hAnsi="IFAO-Grec Unicode"/>
          <w:rtl w:val="0"/>
          <w:lang w:val="pt-PT"/>
        </w:rPr>
        <w:t>synchoreseis</w:t>
      </w:r>
      <w:r>
        <w:rPr>
          <w:rFonts w:ascii="IFAO-Grec Unicode" w:hAnsi="IFAO-Grec Unicode"/>
          <w:rtl w:val="0"/>
          <w:lang w:val="en-US"/>
        </w:rPr>
        <w:t xml:space="preserve"> that are not drafts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de-DE"/>
        </w:rPr>
        <w:t>JJP</w:t>
      </w:r>
      <w:r>
        <w:rPr>
          <w:rFonts w:ascii="IFAO-Grec Unicode" w:hAnsi="IFAO-Grec Unicode"/>
          <w:rtl w:val="0"/>
        </w:rPr>
        <w:t xml:space="preserve"> 53: 81-114.</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"https://papyri.info/biblio/81067"</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pt-PT"/>
        </w:rPr>
        <w:t>Vierros, M. (2012)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en-US"/>
        </w:rPr>
        <w:t>Bilingual notaries in Hellenistic Egypt</w:t>
      </w:r>
      <w:r>
        <w:rPr>
          <w:rFonts w:ascii="IFAO-Grec Unicode" w:hAnsi="IFAO-Grec Unicode"/>
          <w:rtl w:val="0"/>
        </w:rPr>
        <w:t xml:space="preserve">. </w:t>
      </w:r>
      <w:r>
        <w:rPr>
          <w:rFonts w:ascii="IFAO-Grec Unicode" w:hAnsi="IFAO-Grec Unicode"/>
          <w:rtl w:val="0"/>
        </w:rPr>
        <w:t>Coll. Hell.</w:t>
      </w:r>
      <w:r>
        <w:rPr>
          <w:rFonts w:ascii="IFAO-Grec Unicode" w:hAnsi="IFAO-Grec Unicode"/>
          <w:rtl w:val="0"/>
        </w:rPr>
        <w:t xml:space="preserve"> 5, Brussel.</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"https://papyri.info/biblio/89085"</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de-DE"/>
        </w:rPr>
        <w:t>Wasserstein, D.J. (2014)</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rPr>
        <w:t>Cleopatra</w:t>
      </w:r>
      <w:r>
        <w:rPr>
          <w:rFonts w:ascii="IFAO-Grec Unicode" w:hAnsi="IFAO-Grec Unicode" w:hint="default"/>
          <w:rtl w:val="1"/>
        </w:rPr>
        <w:t>’</w:t>
      </w:r>
      <w:r>
        <w:rPr>
          <w:rFonts w:ascii="IFAO-Grec Unicode" w:hAnsi="IFAO-Grec Unicode"/>
          <w:rtl w:val="0"/>
          <w:lang w:val="fr-FR"/>
        </w:rPr>
        <w:t>s tongues</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lang w:val="de-DE"/>
        </w:rPr>
        <w:t>SCI</w:t>
      </w:r>
      <w:r>
        <w:rPr>
          <w:rFonts w:ascii="IFAO-Grec Unicode" w:hAnsi="IFAO-Grec Unicode"/>
          <w:rtl w:val="0"/>
        </w:rPr>
        <w:t xml:space="preserve"> 33: 275-281.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"https://papyri.info/biblio/97502"</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en-US"/>
        </w:rPr>
        <w:t>Wessely, C. (1900)</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it-IT"/>
        </w:rPr>
        <w:t>Papyrorum scripturae Graecae specimina isagogica</w:t>
      </w:r>
      <w:r>
        <w:rPr>
          <w:rFonts w:ascii="IFAO-Grec Unicode" w:hAnsi="IFAO-Grec Unicode"/>
          <w:rtl w:val="0"/>
          <w:lang w:val="de-DE"/>
        </w:rPr>
        <w:t>. Leipzig.</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Fonts w:ascii="IFAO-Grec Unicode" w:hAnsi="IFAO-Grec Unicode"/>
          <w:rtl w:val="0"/>
          <w:lang w:val="de-DE"/>
        </w:rPr>
        <w:t xml:space="preserve">Wilcken, U. (1899), </w:t>
      </w:r>
      <w:r>
        <w:rPr>
          <w:rFonts w:ascii="IFAO-Grec Unicode" w:hAnsi="IFAO-Grec Unicode"/>
          <w:rtl w:val="0"/>
          <w:lang w:val="de-DE"/>
        </w:rPr>
        <w:t>Griechische Ostraka aus Aegypten und Nubien</w:t>
      </w:r>
      <w:r>
        <w:rPr>
          <w:rFonts w:ascii="IFAO-Grec Unicode" w:hAnsi="IFAO-Grec Unicode"/>
          <w:rtl w:val="0"/>
          <w:lang w:val="de-DE"/>
        </w:rPr>
        <w:t xml:space="preserve">. Vol. I. Leipzig </w:t>
      </w:r>
      <w:r>
        <w:rPr>
          <w:rFonts w:ascii="IFAO-Grec Unicode" w:hAnsi="IFAO-Grec Unicode" w:hint="default"/>
          <w:rtl w:val="0"/>
        </w:rPr>
        <w:t xml:space="preserve">– </w:t>
      </w:r>
      <w:r>
        <w:rPr>
          <w:rFonts w:ascii="IFAO-Grec Unicode" w:hAnsi="IFAO-Grec Unicode"/>
          <w:rtl w:val="0"/>
        </w:rPr>
        <w:t>Berlin.</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"https://papyri.info/biblio/95039"</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nl-NL"/>
        </w:rPr>
        <w:t>Wilcken, U. (1927)</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de-DE"/>
        </w:rPr>
        <w:t>Urkunden der Ptolem</w:t>
      </w:r>
      <w:r>
        <w:rPr>
          <w:rFonts w:ascii="IFAO-Grec Unicode" w:hAnsi="IFAO-Grec Unicode" w:hint="default"/>
          <w:rtl w:val="0"/>
        </w:rPr>
        <w:t>ä</w:t>
      </w:r>
      <w:r>
        <w:rPr>
          <w:rFonts w:ascii="IFAO-Grec Unicode" w:hAnsi="IFAO-Grec Unicode"/>
          <w:rtl w:val="0"/>
          <w:lang w:val="de-DE"/>
        </w:rPr>
        <w:t>erzeit (</w:t>
      </w:r>
      <w:r>
        <w:rPr>
          <w:rFonts w:ascii="IFAO-Grec Unicode" w:hAnsi="IFAO-Grec Unicode" w:hint="default"/>
          <w:rtl w:val="0"/>
        </w:rPr>
        <w:t>ä</w:t>
      </w:r>
      <w:r>
        <w:rPr>
          <w:rFonts w:ascii="IFAO-Grec Unicode" w:hAnsi="IFAO-Grec Unicode"/>
          <w:rtl w:val="0"/>
          <w:lang w:val="de-DE"/>
        </w:rPr>
        <w:t>ltere Funde)</w:t>
      </w:r>
      <w:r>
        <w:rPr>
          <w:rFonts w:ascii="IFAO-Grec Unicode" w:hAnsi="IFAO-Grec Unicode"/>
          <w:rtl w:val="0"/>
          <w:lang w:val="de-DE"/>
        </w:rPr>
        <w:t xml:space="preserve">. Vol. I. Berlin </w:t>
      </w:r>
      <w:r>
        <w:rPr>
          <w:rFonts w:ascii="IFAO-Grec Unicode" w:hAnsi="IFAO-Grec Unicode" w:hint="default"/>
          <w:rtl w:val="0"/>
        </w:rPr>
        <w:t xml:space="preserve">– </w:t>
      </w:r>
      <w:r>
        <w:rPr>
          <w:rFonts w:ascii="IFAO-Grec Unicode" w:hAnsi="IFAO-Grec Unicode"/>
          <w:rtl w:val="0"/>
          <w:lang w:val="de-DE"/>
        </w:rPr>
        <w:t>Leipzig. [= UPZ 1]</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"https://papyri.info/biblio/51128"</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Wolff, H.-J. (1975)</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The so-called private protocol</w:t>
      </w:r>
      <w:r>
        <w:rPr>
          <w:rFonts w:ascii="IFAO-Grec Unicode" w:hAnsi="IFAO-Grec Unicode" w:hint="default"/>
          <w:rtl w:val="0"/>
        </w:rPr>
        <w:t>”</w:t>
      </w:r>
      <w:r>
        <w:rPr>
          <w:rFonts w:ascii="IFAO-Grec Unicode" w:hAnsi="IFAO-Grec Unicode"/>
          <w:rtl w:val="0"/>
          <w:lang w:val="en-US"/>
        </w:rPr>
        <w:t xml:space="preserve">, in Rea, J.R. and Turner, E.G., </w:t>
      </w:r>
      <w:r>
        <w:rPr>
          <w:rFonts w:ascii="IFAO-Grec Unicode" w:hAnsi="IFAO-Grec Unicode"/>
          <w:rtl w:val="0"/>
          <w:lang w:val="en-US"/>
        </w:rPr>
        <w:t>Proceedings of the XIV</w:t>
      </w:r>
      <w:r>
        <w:rPr>
          <w:rFonts w:ascii="IFAO-Grec Unicode" w:hAnsi="IFAO-Grec Unicode"/>
          <w:vertAlign w:val="superscript"/>
          <w:rtl w:val="0"/>
          <w:lang w:val="en-US"/>
        </w:rPr>
        <w:t>th</w:t>
      </w:r>
      <w:r>
        <w:rPr>
          <w:rFonts w:ascii="IFAO-Grec Unicode" w:hAnsi="IFAO-Grec Unicode"/>
          <w:rtl w:val="0"/>
          <w:lang w:val="en-US"/>
        </w:rPr>
        <w:t xml:space="preserve"> international congress of papyrologists, Oxford, 24-31 July 1974</w:t>
      </w:r>
      <w:r>
        <w:rPr>
          <w:rFonts w:ascii="IFAO-Grec Unicode" w:hAnsi="IFAO-Grec Unicode"/>
          <w:rtl w:val="0"/>
        </w:rPr>
        <w:t>. London: 349-356.</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"https://papyri.info/biblio/9194"</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Wolff, H.-J. (1978)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rtl w:val="0"/>
          <w:lang w:val="de-DE"/>
        </w:rPr>
        <w:t xml:space="preserve">Das Recht der griechischen Papyri </w:t>
      </w:r>
      <w:r>
        <w:rPr>
          <w:rFonts w:ascii="IFAO-Grec Unicode" w:hAnsi="IFAO-Grec Unicode" w:hint="default"/>
          <w:rtl w:val="0"/>
          <w:lang w:val="sv-SE"/>
        </w:rPr>
        <w:t>Ä</w:t>
      </w:r>
      <w:r>
        <w:rPr>
          <w:rFonts w:ascii="IFAO-Grec Unicode" w:hAnsi="IFAO-Grec Unicode"/>
          <w:rtl w:val="0"/>
          <w:lang w:val="de-DE"/>
        </w:rPr>
        <w:t>gyptens in der Zeit der Ptolemaeer und des Prinzipats II: Organisation und Kontrolle des privaten Rechtsverkehrs</w:t>
      </w:r>
      <w:r>
        <w:rPr>
          <w:rFonts w:ascii="IFAO-Grec Unicode" w:hAnsi="IFAO-Grec Unicode"/>
          <w:rtl w:val="0"/>
        </w:rPr>
        <w:t>. M</w:t>
      </w:r>
      <w:r>
        <w:rPr>
          <w:rFonts w:ascii="IFAO-Grec Unicode" w:hAnsi="IFAO-Grec Unicode" w:hint="default"/>
          <w:rtl w:val="0"/>
        </w:rPr>
        <w:t>ü</w:t>
      </w:r>
      <w:r>
        <w:rPr>
          <w:rFonts w:ascii="IFAO-Grec Unicode" w:hAnsi="IFAO-Grec Unicode"/>
          <w:rtl w:val="0"/>
        </w:rPr>
        <w:t>nchen.</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"https://papyri.info/biblio/77513"</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Yiftach-Firanko, U. (2008)</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en-US"/>
        </w:rPr>
        <w:t>Who killed the double document in Ptolemaic Egypt?</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APF</w:t>
      </w:r>
      <w:r>
        <w:rPr>
          <w:rFonts w:ascii="IFAO-Grec Unicode" w:hAnsi="IFAO-Grec Unicode"/>
          <w:rtl w:val="0"/>
        </w:rPr>
        <w:t xml:space="preserve"> 54: 203-218.</w:t>
      </w:r>
    </w:p>
    <w:p>
      <w:pPr>
        <w:pStyle w:val="Body"/>
        <w:rPr>
          <w:rFonts w:ascii="IFAO-Grec Unicode" w:cs="IFAO-Grec Unicode" w:hAnsi="IFAO-Grec Unicode" w:eastAsia="IFAO-Grec Unicode"/>
        </w:rPr>
      </w:pPr>
    </w:p>
    <w:p>
      <w:pPr>
        <w:pStyle w:val="Body"/>
        <w:rPr>
          <w:rFonts w:ascii="IFAO-Grec Unicode" w:cs="IFAO-Grec Unicode" w:hAnsi="IFAO-Grec Unicode" w:eastAsia="IFAO-Grec Unicode"/>
        </w:rPr>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"https://papyri.info/biblio/54814"</w:instrText>
      </w:r>
      <w:r>
        <w:rPr>
          <w:rStyle w:val="Link"/>
          <w:rFonts w:ascii="IFAO-Grec Unicode" w:cs="IFAO-Grec Unicode" w:hAnsi="IFAO-Grec Unicode" w:eastAsia="IFAO-Grec Unicode"/>
        </w:rPr>
        <w:fldChar w:fldCharType="separate" w:fldLock="0"/>
      </w:r>
      <w:r>
        <w:rPr>
          <w:rStyle w:val="Link"/>
          <w:rFonts w:ascii="IFAO-Grec Unicode" w:hAnsi="IFAO-Grec Unicode"/>
          <w:rtl w:val="0"/>
          <w:lang w:val="it-IT"/>
        </w:rPr>
        <w:t>Youtie, H.C. (1973)</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rPr>
        <w:t>P. Mich. Inv. 6051 = Sammelbuch V 7532</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12: 161-171</w:t>
      </w:r>
      <w:r>
        <w:rPr>
          <w:rFonts w:ascii="IFAO-Grec Unicode" w:hAnsi="IFAO-Grec Unicode"/>
          <w:rtl w:val="0"/>
          <w:lang w:val="de-DE"/>
        </w:rPr>
        <w:t>.</w:t>
      </w:r>
    </w:p>
    <w:p>
      <w:pPr>
        <w:pStyle w:val="Body"/>
        <w:rPr>
          <w:rFonts w:ascii="IFAO-Grec Unicode" w:cs="IFAO-Grec Unicode" w:hAnsi="IFAO-Grec Unicode" w:eastAsia="IFAO-Grec Unicode"/>
        </w:rPr>
      </w:pPr>
    </w:p>
    <w:p>
      <w:pPr>
        <w:pStyle w:val="Body"/>
      </w:pPr>
      <w:r>
        <w:rPr>
          <w:rStyle w:val="Link"/>
          <w:rFonts w:ascii="IFAO-Grec Unicode" w:cs="IFAO-Grec Unicode" w:hAnsi="IFAO-Grec Unicode" w:eastAsia="IFAO-Grec Unicode"/>
        </w:rPr>
        <w:fldChar w:fldCharType="begin" w:fldLock="0"/>
      </w:r>
      <w:r>
        <w:rPr>
          <w:rStyle w:val="Link"/>
          <w:rFonts w:ascii="IFAO-Grec Unicode" w:cs="IFAO-Grec Unicode" w:hAnsi="IFAO-Grec Unicode" w:eastAsia="IFAO-Grec Unicode"/>
        </w:rPr>
        <w:instrText xml:space="preserve"> HYPERLINK "https://papyri.info/biblio/71505"</w:instrText>
      </w:r>
      <w:r>
        <w:rPr>
          <w:rStyle w:val="Link"/>
          <w:rFonts w:ascii="IFAO-Grec Unicode" w:cs="IFAO-Grec Unicode" w:hAnsi="IFAO-Grec Unicode" w:eastAsia="IFAO-Grec Unicode"/>
        </w:rPr>
        <w:fldChar w:fldCharType="separate" w:fldLock="0"/>
      </w:r>
      <w:r>
        <w:rPr>
          <w:rStyle w:val="Link"/>
          <w:rFonts w:ascii="IFAO-Grec Unicode" w:hAnsi="IFAO-Grec Unicode"/>
          <w:rtl w:val="0"/>
        </w:rPr>
        <w:t>Zimmermann, K. (2002)</w:t>
      </w:r>
      <w:r>
        <w:rPr>
          <w:rFonts w:ascii="IFAO-Grec Unicode" w:cs="IFAO-Grec Unicode" w:hAnsi="IFAO-Grec Unicode" w:eastAsia="IFAO-Grec Unicode"/>
        </w:rPr>
        <w:fldChar w:fldCharType="end" w:fldLock="0"/>
      </w:r>
      <w:r>
        <w:rPr>
          <w:rFonts w:ascii="IFAO-Grec Unicode" w:hAnsi="IFAO-Grec Unicode"/>
          <w:rtl w:val="0"/>
        </w:rPr>
        <w:t xml:space="preserve">, </w:t>
      </w:r>
      <w:r>
        <w:rPr>
          <w:rFonts w:ascii="IFAO-Grec Unicode" w:hAnsi="IFAO-Grec Unicode" w:hint="default"/>
          <w:rtl w:val="1"/>
          <w:lang w:val="ar-SA" w:bidi="ar-SA"/>
        </w:rPr>
        <w:t>“</w:t>
      </w:r>
      <w:r>
        <w:rPr>
          <w:rFonts w:ascii="IFAO-Grec Unicode" w:hAnsi="IFAO-Grec Unicode"/>
          <w:rtl w:val="0"/>
          <w:lang w:val="de-DE"/>
        </w:rPr>
        <w:t>P. Bingen 45: Eine Steuerbefreiung f</w:t>
      </w:r>
      <w:r>
        <w:rPr>
          <w:rFonts w:ascii="IFAO-Grec Unicode" w:hAnsi="IFAO-Grec Unicode" w:hint="default"/>
          <w:rtl w:val="0"/>
        </w:rPr>
        <w:t>ü</w:t>
      </w:r>
      <w:r>
        <w:rPr>
          <w:rFonts w:ascii="IFAO-Grec Unicode" w:hAnsi="IFAO-Grec Unicode"/>
          <w:rtl w:val="0"/>
          <w:lang w:val="de-DE"/>
        </w:rPr>
        <w:t>r Q. Cascellius, adressiert an Kaisarion</w:t>
      </w:r>
      <w:r>
        <w:rPr>
          <w:rFonts w:ascii="IFAO-Grec Unicode" w:hAnsi="IFAO-Grec Unicode" w:hint="default"/>
          <w:rtl w:val="0"/>
        </w:rPr>
        <w:t>”</w:t>
      </w:r>
      <w:r>
        <w:rPr>
          <w:rFonts w:ascii="IFAO-Grec Unicode" w:hAnsi="IFAO-Grec Unicode"/>
          <w:rtl w:val="0"/>
        </w:rPr>
        <w:t xml:space="preserve">, </w:t>
      </w:r>
      <w:r>
        <w:rPr>
          <w:rFonts w:ascii="IFAO-Grec Unicode" w:hAnsi="IFAO-Grec Unicode"/>
          <w:rtl w:val="0"/>
        </w:rPr>
        <w:t>ZPE</w:t>
      </w:r>
      <w:r>
        <w:rPr>
          <w:rFonts w:ascii="IFAO-Grec Unicode" w:hAnsi="IFAO-Grec Unicode"/>
          <w:rtl w:val="0"/>
        </w:rPr>
        <w:t xml:space="preserve"> 138: 133-139.</w:t>
      </w:r>
    </w:p>
    <w:sectPr>
      <w:headerReference w:type="default" r:id="rId4"/>
      <w:footerReference w:type="default" r:id="rId5"/>
      <w:pgSz w:w="11900" w:h="16840" w:orient="portrait"/>
      <w:pgMar w:top="1417" w:right="1417" w:bottom="1417"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IFAO-Grec Unicod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046"/>
        <w:tab w:val="clear" w:pos="9072"/>
      </w:tabs>
    </w:pPr>
    <w:r>
      <w:rPr>
        <w:lang w:val="fr-FR"/>
      </w:rPr>
      <w:tab/>
    </w:r>
    <w:r>
      <w:rPr>
        <w:rtl w:val="0"/>
        <w:lang w:val="fr-FR"/>
      </w:rPr>
      <w:fldChar w:fldCharType="begin" w:fldLock="0"/>
    </w:r>
    <w:r>
      <w:rPr>
        <w:rtl w:val="0"/>
        <w:lang w:val="fr-FR"/>
      </w:rPr>
      <w:instrText xml:space="preserve"> PAGE </w:instrText>
    </w:r>
    <w:r>
      <w:rPr>
        <w:rtl w:val="0"/>
        <w:lang w:val="fr-FR"/>
      </w:rPr>
      <w:fldChar w:fldCharType="separate" w:fldLock="0"/>
    </w:r>
    <w:r>
      <w:rPr>
        <w:rtl w:val="0"/>
        <w:lang w:val="fr-FR"/>
      </w:rPr>
    </w:r>
    <w:r>
      <w:rPr>
        <w:rtl w:val="0"/>
        <w:lang w:val="fr-FR"/>
      </w:rPr>
      <w:fldChar w:fldCharType="end" w:fldLock="0"/>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"https://papyri.info/biblio/44403"</w:instrText>
      </w:r>
      <w:r>
        <w:rPr>
          <w:rStyle w:val="Hyperlink.0"/>
          <w:lang w:val="en-US"/>
        </w:rPr>
        <w:fldChar w:fldCharType="separate" w:fldLock="0"/>
      </w:r>
      <w:r>
        <w:rPr>
          <w:rStyle w:val="Hyperlink.0"/>
          <w:rtl w:val="0"/>
          <w:lang w:val="en-US"/>
        </w:rPr>
        <w:t>Skeat 1962</w:t>
      </w:r>
      <w:r>
        <w:rPr>
          <w:lang w:val="en-US"/>
        </w:rPr>
        <w:fldChar w:fldCharType="end" w:fldLock="0"/>
      </w:r>
      <w:r>
        <w:rPr>
          <w:rtl w:val="0"/>
          <w:lang w:val="en-US"/>
        </w:rPr>
        <w:t xml:space="preserve">: 100: </w:t>
      </w:r>
      <w:r>
        <w:rPr>
          <w:rtl w:val="0"/>
          <w:lang w:val="en-US"/>
        </w:rPr>
        <w:t>“</w:t>
      </w:r>
      <w:r>
        <w:rPr>
          <w:rtl w:val="0"/>
          <w:lang w:val="en-US"/>
        </w:rPr>
        <w:t>blacked-out landscape</w:t>
      </w:r>
      <w:r>
        <w:rPr>
          <w:rtl w:val="0"/>
          <w:lang w:val="en-US"/>
        </w:rPr>
        <w:t>”</w:t>
      </w:r>
      <w:r>
        <w:rPr>
          <w:rtl w:val="0"/>
          <w:lang w:val="en-US"/>
        </w:rPr>
        <w:t xml:space="preserve">; </w:t>
      </w:r>
      <w:r>
        <w:rPr>
          <w:rStyle w:val="Hyperlink.0"/>
          <w:lang w:val="en-US"/>
        </w:rPr>
        <w:fldChar w:fldCharType="begin" w:fldLock="0"/>
      </w:r>
      <w:r>
        <w:rPr>
          <w:rStyle w:val="Hyperlink.0"/>
          <w:lang w:val="en-US"/>
        </w:rPr>
        <w:instrText xml:space="preserve"> HYPERLINK "https://papyri.info/biblio/67503"</w:instrText>
      </w:r>
      <w:r>
        <w:rPr>
          <w:rStyle w:val="Hyperlink.0"/>
          <w:lang w:val="en-US"/>
        </w:rPr>
        <w:fldChar w:fldCharType="separate" w:fldLock="0"/>
      </w:r>
      <w:r>
        <w:rPr>
          <w:rStyle w:val="Hyperlink.0"/>
          <w:rtl w:val="0"/>
          <w:lang w:val="en-US"/>
        </w:rPr>
        <w:t>Habermann 1998</w:t>
      </w:r>
      <w:r>
        <w:rPr>
          <w:lang w:val="en-US"/>
        </w:rPr>
        <w:fldChar w:fldCharType="end" w:fldLock="0"/>
      </w:r>
      <w:r>
        <w:rPr>
          <w:rtl w:val="0"/>
          <w:lang w:val="en-US"/>
        </w:rPr>
        <w:t xml:space="preserve">: 148-150; </w:t>
      </w:r>
      <w:r>
        <w:rPr>
          <w:rStyle w:val="Hyperlink.0"/>
          <w:lang w:val="en-US"/>
        </w:rPr>
        <w:fldChar w:fldCharType="begin" w:fldLock="0"/>
      </w:r>
      <w:r>
        <w:rPr>
          <w:rStyle w:val="Hyperlink.0"/>
          <w:lang w:val="en-US"/>
        </w:rPr>
        <w:instrText xml:space="preserve"> HYPERLINK "https://papyri.info/biblio/77170"</w:instrText>
      </w:r>
      <w:r>
        <w:rPr>
          <w:rStyle w:val="Hyperlink.0"/>
          <w:lang w:val="en-US"/>
        </w:rPr>
        <w:fldChar w:fldCharType="separate" w:fldLock="0"/>
      </w:r>
      <w:r>
        <w:rPr>
          <w:rStyle w:val="Hyperlink.0"/>
          <w:rtl w:val="0"/>
          <w:lang w:val="en-US"/>
        </w:rPr>
        <w:t>Haensch 2008</w:t>
      </w:r>
      <w:r>
        <w:rPr>
          <w:lang w:val="en-US"/>
        </w:rPr>
        <w:fldChar w:fldCharType="end" w:fldLock="0"/>
      </w:r>
      <w:r>
        <w:rPr>
          <w:rtl w:val="0"/>
          <w:lang w:val="en-US"/>
        </w:rPr>
        <w:t xml:space="preserve">: 82; </w:t>
      </w:r>
      <w:r>
        <w:rPr>
          <w:rStyle w:val="Hyperlink.0"/>
          <w:lang w:val="en-US"/>
        </w:rPr>
        <w:fldChar w:fldCharType="begin" w:fldLock="0"/>
      </w:r>
      <w:r>
        <w:rPr>
          <w:rStyle w:val="Hyperlink.0"/>
          <w:lang w:val="en-US"/>
        </w:rPr>
        <w:instrText xml:space="preserve"> HYPERLINK "https://papyri.info/biblio/80628"</w:instrText>
      </w:r>
      <w:r>
        <w:rPr>
          <w:rStyle w:val="Hyperlink.0"/>
          <w:lang w:val="en-US"/>
        </w:rPr>
        <w:fldChar w:fldCharType="separate" w:fldLock="0"/>
      </w:r>
      <w:r>
        <w:rPr>
          <w:rStyle w:val="Hyperlink.0"/>
          <w:rtl w:val="0"/>
          <w:lang w:val="en-US"/>
        </w:rPr>
        <w:t>Monson 2012</w:t>
      </w:r>
      <w:r>
        <w:rPr>
          <w:lang w:val="en-US"/>
        </w:rPr>
        <w:fldChar w:fldCharType="end" w:fldLock="0"/>
      </w:r>
      <w:r>
        <w:rPr>
          <w:rtl w:val="0"/>
          <w:lang w:val="en-US"/>
        </w:rPr>
        <w:t xml:space="preserve">: 4-5: </w:t>
      </w:r>
      <w:r>
        <w:rPr>
          <w:rtl w:val="0"/>
          <w:lang w:val="en-US"/>
        </w:rPr>
        <w:t>“</w:t>
      </w:r>
      <w:r>
        <w:rPr>
          <w:rtl w:val="0"/>
          <w:lang w:val="en-US"/>
        </w:rPr>
        <w:t xml:space="preserve">The transitional period </w:t>
      </w:r>
      <w:r>
        <w:rPr>
          <w:rtl w:val="0"/>
          <w:lang w:val="en-US"/>
        </w:rPr>
        <w:t xml:space="preserve">– </w:t>
      </w:r>
      <w:r>
        <w:rPr>
          <w:rtl w:val="0"/>
          <w:lang w:val="en-US"/>
        </w:rPr>
        <w:t xml:space="preserve">the decades before and after 30 BCE </w:t>
      </w:r>
      <w:r>
        <w:rPr>
          <w:rtl w:val="0"/>
          <w:lang w:val="en-US"/>
        </w:rPr>
        <w:t xml:space="preserve">– </w:t>
      </w:r>
      <w:r>
        <w:rPr>
          <w:rtl w:val="0"/>
          <w:lang w:val="en-US"/>
        </w:rPr>
        <w:t>is one of the worst-documented in the whole Greco-Roman period in Egypt.</w:t>
      </w:r>
      <w:r>
        <w:rPr>
          <w:rtl w:val="0"/>
          <w:lang w:val="en-US"/>
        </w:rPr>
        <w:t>”</w:t>
      </w:r>
    </w:p>
  </w:footnote>
  <w:footnote w:id="2">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"https://papyri.info/biblio/10067"</w:instrText>
      </w:r>
      <w:r>
        <w:rPr>
          <w:rStyle w:val="Link"/>
        </w:rPr>
        <w:fldChar w:fldCharType="separate" w:fldLock="0"/>
      </w:r>
      <w:r>
        <w:rPr>
          <w:rStyle w:val="Link"/>
          <w:rtl w:val="0"/>
        </w:rPr>
        <w:t>Thomas 1982</w:t>
      </w:r>
      <w:r>
        <w:rPr/>
        <w:fldChar w:fldCharType="end" w:fldLock="0"/>
      </w:r>
      <w:r>
        <w:rPr>
          <w:rtl w:val="0"/>
          <w:lang w:val="en-US"/>
        </w:rPr>
        <w:t>: 179-180.</w:t>
      </w:r>
    </w:p>
  </w:footnote>
  <w:footnote w:id="3">
    <w:p>
      <w:pPr>
        <w:pStyle w:val="footnote text"/>
      </w:pPr>
      <w:r>
        <w:rPr>
          <w:vertAlign w:val="superscript"/>
        </w:rPr>
        <w:footnoteRef/>
      </w:r>
      <w:r>
        <w:rPr>
          <w:rtl w:val="0"/>
          <w:lang w:val="en-US"/>
        </w:rPr>
        <w:t xml:space="preserve"> As a matter of simplification, Augustus will be the preferred name in this survey, although he bears this title only from 27 BCE onwards. Gaius Octavius first became Gaius Iulius Caesar Octavianus through his adoption by Julius Caesar in 45 BCE (hence the name Octavian), and he is consistently named Caesar in papyri, but this title will be avoided whenever possible, to prevent a confusion with Octavian</w:t>
      </w:r>
      <w:r>
        <w:rPr>
          <w:rtl w:val="0"/>
          <w:lang w:val="en-US"/>
        </w:rPr>
        <w:t>’</w:t>
      </w:r>
      <w:r>
        <w:rPr>
          <w:rtl w:val="0"/>
          <w:lang w:val="en-US"/>
        </w:rPr>
        <w:t xml:space="preserve">s adoptive father. </w:t>
      </w:r>
    </w:p>
  </w:footnote>
  <w:footnote w:id="4">
    <w:p>
      <w:pPr>
        <w:pStyle w:val="footnote text"/>
      </w:pPr>
      <w:r>
        <w:rPr>
          <w:vertAlign w:val="superscript"/>
        </w:rPr>
        <w:footnoteRef/>
      </w:r>
      <w:r>
        <w:rPr>
          <w:rtl w:val="0"/>
          <w:lang w:val="en-US"/>
        </w:rPr>
        <w:t xml:space="preserve"> </w:t>
      </w:r>
      <w:r>
        <w:rPr>
          <w:rtl w:val="0"/>
          <w:lang w:val="en-US"/>
        </w:rPr>
        <w:t xml:space="preserve">The methodological aspects surrounding the concept of archive have been described in detail by </w:t>
      </w:r>
      <w:r>
        <w:rPr>
          <w:rStyle w:val="Hyperlink.0"/>
          <w:lang w:val="en-US"/>
        </w:rPr>
        <w:fldChar w:fldCharType="begin" w:fldLock="0"/>
      </w:r>
      <w:r>
        <w:rPr>
          <w:rStyle w:val="Hyperlink.0"/>
          <w:lang w:val="en-US"/>
        </w:rPr>
        <w:instrText xml:space="preserve"> HYPERLINK "https://papyri.info/biblio/70176"</w:instrText>
      </w:r>
      <w:r>
        <w:rPr>
          <w:rStyle w:val="Hyperlink.0"/>
          <w:lang w:val="en-US"/>
        </w:rPr>
        <w:fldChar w:fldCharType="separate" w:fldLock="0"/>
      </w:r>
      <w:r>
        <w:rPr>
          <w:rStyle w:val="Hyperlink.0"/>
          <w:rtl w:val="0"/>
          <w:lang w:val="en-US"/>
        </w:rPr>
        <w:t>J</w:t>
      </w:r>
      <w:r>
        <w:rPr>
          <w:rStyle w:val="Hyperlink.0"/>
          <w:rtl w:val="0"/>
          <w:lang w:val="en-US"/>
        </w:rPr>
        <w:t>ö</w:t>
      </w:r>
      <w:r>
        <w:rPr>
          <w:rStyle w:val="Hyperlink.0"/>
          <w:rtl w:val="0"/>
          <w:lang w:val="en-US"/>
        </w:rPr>
        <w:t>rdens 2001</w:t>
      </w:r>
      <w:r>
        <w:rPr/>
        <w:fldChar w:fldCharType="end" w:fldLock="0"/>
      </w:r>
      <w:r>
        <w:rPr>
          <w:rtl w:val="0"/>
          <w:lang w:val="en-US"/>
        </w:rPr>
        <w:t>: 256-264.</w:t>
      </w:r>
    </w:p>
  </w:footnote>
  <w:footnote w:id="5">
    <w:p>
      <w:pPr>
        <w:pStyle w:val="footnote text"/>
      </w:pPr>
      <w:r>
        <w:rPr>
          <w:vertAlign w:val="superscript"/>
        </w:rPr>
        <w:footnoteRef/>
      </w:r>
      <w:r>
        <w:rPr>
          <w:rtl w:val="0"/>
          <w:lang w:val="en-US"/>
        </w:rPr>
        <w:t xml:space="preserve"> Hereditary succession among scribes in the Ptolemaic administration may have contributed to this phenomenon; </w:t>
      </w:r>
      <w:r>
        <w:rPr>
          <w:rStyle w:val="Link"/>
        </w:rPr>
        <w:fldChar w:fldCharType="begin" w:fldLock="0"/>
      </w:r>
      <w:r>
        <w:rPr>
          <w:rStyle w:val="Link"/>
        </w:rPr>
        <w:instrText xml:space="preserve"> HYPERLINK "https://papyri.info/biblio/9517"</w:instrText>
      </w:r>
      <w:r>
        <w:rPr>
          <w:rStyle w:val="Link"/>
        </w:rPr>
        <w:fldChar w:fldCharType="separate" w:fldLock="0"/>
      </w:r>
      <w:r>
        <w:rPr>
          <w:rStyle w:val="Link"/>
          <w:rtl w:val="0"/>
        </w:rPr>
        <w:t>Ricketts 1980</w:t>
      </w:r>
      <w:r>
        <w:rPr/>
        <w:fldChar w:fldCharType="end" w:fldLock="0"/>
      </w:r>
      <w:r>
        <w:rPr>
          <w:rtl w:val="0"/>
          <w:lang w:val="en-US"/>
        </w:rPr>
        <w:t>: 107-108.</w:t>
      </w:r>
    </w:p>
  </w:footnote>
  <w:footnote w:id="6">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"https://papyri.info/biblio/18490"</w:instrText>
      </w:r>
      <w:r>
        <w:rPr>
          <w:rStyle w:val="Link"/>
        </w:rPr>
        <w:fldChar w:fldCharType="separate" w:fldLock="0"/>
      </w:r>
      <w:r>
        <w:rPr>
          <w:rStyle w:val="Link"/>
          <w:rtl w:val="0"/>
        </w:rPr>
        <w:t>Capponi 2005</w:t>
      </w:r>
      <w:r>
        <w:rPr/>
        <w:fldChar w:fldCharType="end" w:fldLock="0"/>
      </w:r>
      <w:r>
        <w:rPr>
          <w:rtl w:val="0"/>
          <w:lang w:val="en-US"/>
        </w:rPr>
        <w:t>: 7.</w:t>
      </w:r>
    </w:p>
  </w:footnote>
  <w:footnote w:id="7">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"https://papyri.info/biblio/64400"</w:instrText>
      </w:r>
      <w:r>
        <w:rPr>
          <w:rStyle w:val="Link"/>
        </w:rPr>
        <w:fldChar w:fldCharType="separate" w:fldLock="0"/>
      </w:r>
      <w:r>
        <w:rPr>
          <w:rStyle w:val="Link"/>
          <w:rtl w:val="0"/>
        </w:rPr>
        <w:t>Thompson 1994</w:t>
      </w:r>
      <w:r>
        <w:rPr/>
        <w:fldChar w:fldCharType="end" w:fldLock="0"/>
      </w:r>
      <w:r>
        <w:rPr>
          <w:rtl w:val="0"/>
          <w:lang w:val="en-US"/>
        </w:rPr>
        <w:t xml:space="preserve">: 323: </w:t>
      </w:r>
      <w:r>
        <w:rPr>
          <w:rtl w:val="0"/>
          <w:lang w:val="en-US"/>
        </w:rPr>
        <w:t>“</w:t>
      </w:r>
      <w:r>
        <w:rPr>
          <w:rtl w:val="0"/>
          <w:lang w:val="en-US"/>
        </w:rPr>
        <w:t>The early years of Cleopatra</w:t>
      </w:r>
      <w:r>
        <w:rPr>
          <w:rtl w:val="0"/>
          <w:lang w:val="en-US"/>
        </w:rPr>
        <w:t>’</w:t>
      </w:r>
      <w:r>
        <w:rPr>
          <w:rtl w:val="0"/>
          <w:lang w:val="en-US"/>
        </w:rPr>
        <w:t>s reign were particularly hard in the countryside as natural disaster combined with political problems.</w:t>
      </w:r>
      <w:r>
        <w:rPr>
          <w:rtl w:val="0"/>
          <w:lang w:val="en-US"/>
        </w:rPr>
        <w:t xml:space="preserve">” </w:t>
      </w:r>
      <w:r>
        <w:rPr>
          <w:rStyle w:val="Link"/>
        </w:rPr>
        <w:fldChar w:fldCharType="begin" w:fldLock="0"/>
      </w:r>
      <w:r>
        <w:rPr>
          <w:rStyle w:val="Link"/>
        </w:rPr>
        <w:instrText xml:space="preserve"> HYPERLINK "https://papyri.info/biblio/55882"</w:instrText>
      </w:r>
      <w:r>
        <w:rPr>
          <w:rStyle w:val="Link"/>
        </w:rPr>
        <w:fldChar w:fldCharType="separate" w:fldLock="0"/>
      </w:r>
      <w:r>
        <w:rPr>
          <w:rStyle w:val="Link"/>
          <w:rtl w:val="0"/>
        </w:rPr>
        <w:t>Maehler 1983</w:t>
      </w:r>
      <w:r>
        <w:rPr/>
        <w:fldChar w:fldCharType="end" w:fldLock="0"/>
      </w:r>
      <w:r>
        <w:rPr>
          <w:rtl w:val="0"/>
          <w:lang w:val="en-US"/>
        </w:rPr>
        <w:t xml:space="preserve">: 6-8 argues for a positive view of the situation in Egypt during the reign of Cleopatra; this is also the position held by </w:t>
      </w:r>
      <w:r>
        <w:rPr>
          <w:rStyle w:val="Link"/>
        </w:rPr>
        <w:fldChar w:fldCharType="begin" w:fldLock="0"/>
      </w:r>
      <w:r>
        <w:rPr>
          <w:rStyle w:val="Link"/>
        </w:rPr>
        <w:instrText xml:space="preserve"> HYPERLINK "https://papyri.info/biblio/62631"</w:instrText>
      </w:r>
      <w:r>
        <w:rPr>
          <w:rStyle w:val="Link"/>
        </w:rPr>
        <w:fldChar w:fldCharType="separate" w:fldLock="0"/>
      </w:r>
      <w:r>
        <w:rPr>
          <w:rStyle w:val="Link"/>
          <w:rtl w:val="0"/>
        </w:rPr>
        <w:t>Ricketts 1992</w:t>
      </w:r>
      <w:r>
        <w:rPr/>
        <w:fldChar w:fldCharType="end" w:fldLock="0"/>
      </w:r>
      <w:r>
        <w:rPr>
          <w:rtl w:val="0"/>
          <w:lang w:val="en-US"/>
        </w:rPr>
        <w:t xml:space="preserve">: 275, and esp. 277: </w:t>
      </w:r>
      <w:r>
        <w:rPr>
          <w:rtl w:val="0"/>
          <w:lang w:val="en-US"/>
        </w:rPr>
        <w:t>“</w:t>
      </w:r>
      <w:r>
        <w:rPr>
          <w:rtl w:val="0"/>
          <w:lang w:val="en-US"/>
        </w:rPr>
        <w:t>There is nothing of the disaster in Cleopatra</w:t>
      </w:r>
      <w:r>
        <w:rPr>
          <w:rtl w:val="0"/>
          <w:lang w:val="en-US"/>
        </w:rPr>
        <w:t>’</w:t>
      </w:r>
      <w:r>
        <w:rPr>
          <w:rtl w:val="0"/>
          <w:lang w:val="en-US"/>
        </w:rPr>
        <w:t>s reign, however, of which Seneca writes and modern authors suggest.</w:t>
      </w:r>
      <w:r>
        <w:rPr>
          <w:rtl w:val="0"/>
          <w:lang w:val="en-US"/>
        </w:rPr>
        <w:t>”</w:t>
      </w:r>
    </w:p>
  </w:footnote>
  <w:footnote w:id="8">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"https://papyri.info/biblio/97503"</w:instrText>
      </w:r>
      <w:r>
        <w:rPr>
          <w:rStyle w:val="Link"/>
        </w:rPr>
        <w:fldChar w:fldCharType="separate" w:fldLock="0"/>
      </w:r>
      <w:r>
        <w:rPr>
          <w:rStyle w:val="Link"/>
          <w:rtl w:val="0"/>
        </w:rPr>
        <w:t>McConnell et al. 2020</w:t>
      </w:r>
      <w:r>
        <w:rPr/>
        <w:fldChar w:fldCharType="end" w:fldLock="0"/>
      </w:r>
      <w:r>
        <w:rPr>
          <w:rtl w:val="0"/>
          <w:lang w:val="en-US"/>
        </w:rPr>
        <w:t>.</w:t>
      </w:r>
    </w:p>
  </w:footnote>
  <w:footnote w:id="9">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"https://doi.org/10.1093/acrefore/9780199381135.013.1672"</w:instrText>
      </w:r>
      <w:r>
        <w:rPr>
          <w:rStyle w:val="Hyperlink.0"/>
          <w:lang w:val="en-US"/>
        </w:rPr>
        <w:fldChar w:fldCharType="separate" w:fldLock="0"/>
      </w:r>
      <w:r>
        <w:rPr>
          <w:rStyle w:val="Hyperlink.0"/>
          <w:rtl w:val="0"/>
          <w:lang w:val="en-US"/>
        </w:rPr>
        <w:t>Fischer-Bovet 2023</w:t>
      </w:r>
      <w:r>
        <w:rPr/>
        <w:fldChar w:fldCharType="end" w:fldLock="0"/>
      </w:r>
      <w:r>
        <w:rPr>
          <w:rtl w:val="0"/>
          <w:lang w:val="en-US"/>
        </w:rPr>
        <w:t xml:space="preserve">: </w:t>
      </w:r>
      <w:r>
        <w:rPr>
          <w:rtl w:val="0"/>
          <w:lang w:val="en-US"/>
        </w:rPr>
        <w:t>“</w:t>
      </w:r>
      <w:r>
        <w:rPr>
          <w:rtl w:val="0"/>
          <w:lang w:val="en-US"/>
        </w:rPr>
        <w:t>In the years that followed Caesar</w:t>
      </w:r>
      <w:r>
        <w:rPr>
          <w:rtl w:val="0"/>
          <w:lang w:val="en-US"/>
        </w:rPr>
        <w:t>’</w:t>
      </w:r>
      <w:r>
        <w:rPr>
          <w:rtl w:val="0"/>
          <w:lang w:val="en-US"/>
        </w:rPr>
        <w:t>s assassination, Cleopatra had to negotiate carefully with the different players in the Roman civil war to maintain Egypt and Cyprus</w:t>
      </w:r>
      <w:r>
        <w:rPr>
          <w:rtl w:val="0"/>
          <w:lang w:val="en-US"/>
        </w:rPr>
        <w:t>’</w:t>
      </w:r>
      <w:r>
        <w:rPr>
          <w:rtl w:val="0"/>
          <w:lang w:val="en-US"/>
        </w:rPr>
        <w:t>s independence while at the same time facing bad Nile floods in Egypt (43</w:t>
      </w:r>
      <w:r>
        <w:rPr>
          <w:rtl w:val="0"/>
          <w:lang w:val="en-US"/>
        </w:rPr>
        <w:t>–</w:t>
      </w:r>
      <w:r>
        <w:rPr>
          <w:rtl w:val="0"/>
          <w:lang w:val="en-US"/>
        </w:rPr>
        <w:t>42 BCE).</w:t>
      </w:r>
      <w:r>
        <w:rPr>
          <w:rtl w:val="0"/>
          <w:lang w:val="en-US"/>
        </w:rPr>
        <w:t xml:space="preserve">” </w:t>
      </w:r>
      <w:r>
        <w:rPr>
          <w:rStyle w:val="Hyperlink.0"/>
          <w:lang w:val="en-US"/>
        </w:rPr>
        <w:fldChar w:fldCharType="begin" w:fldLock="0"/>
      </w:r>
      <w:r>
        <w:rPr>
          <w:rStyle w:val="Hyperlink.0"/>
          <w:lang w:val="en-US"/>
        </w:rPr>
        <w:instrText xml:space="preserve"> HYPERLINK "https://papyri.info/biblio/97503"</w:instrText>
      </w:r>
      <w:r>
        <w:rPr>
          <w:rStyle w:val="Hyperlink.0"/>
          <w:lang w:val="en-US"/>
        </w:rPr>
        <w:fldChar w:fldCharType="separate" w:fldLock="0"/>
      </w:r>
      <w:r>
        <w:rPr>
          <w:rStyle w:val="Hyperlink.0"/>
          <w:rtl w:val="0"/>
          <w:lang w:val="en-US"/>
        </w:rPr>
        <w:t>McConnell et al. 2020</w:t>
      </w:r>
      <w:r>
        <w:rPr/>
        <w:fldChar w:fldCharType="end" w:fldLock="0"/>
      </w:r>
      <w:r>
        <w:rPr>
          <w:rtl w:val="0"/>
          <w:lang w:val="en-US"/>
        </w:rPr>
        <w:t xml:space="preserve">: 15447 cite notably (for the year 43 BCE) App. </w:t>
      </w:r>
      <w:r>
        <w:rPr>
          <w:i w:val="1"/>
          <w:iCs w:val="1"/>
          <w:rtl w:val="0"/>
          <w:lang w:val="en-US"/>
        </w:rPr>
        <w:t xml:space="preserve">Bell. civ. </w:t>
      </w:r>
      <w:r>
        <w:rPr>
          <w:rtl w:val="0"/>
          <w:lang w:val="en-US"/>
        </w:rPr>
        <w:t xml:space="preserve">4.8.61: </w:t>
      </w:r>
      <w:r>
        <w:rPr>
          <w:rtl w:val="0"/>
          <w:lang w:val="en-US"/>
        </w:rPr>
        <w:t>ἡ βασιλὶς δὲ Κασσίῳ μὲν προύφερε λιμὸν ὁμοῦ καὶ λοιμὸν ἐνοχλοῦντα τότε Αἰγύπτῳ “</w:t>
      </w:r>
      <w:r>
        <w:rPr>
          <w:rtl w:val="0"/>
          <w:lang w:val="en-US"/>
        </w:rPr>
        <w:t>The queen opposed to Cassius the famine as well as the pestilence affecting Egypt at the time.</w:t>
      </w:r>
      <w:r>
        <w:rPr>
          <w:rtl w:val="0"/>
          <w:lang w:val="en-US"/>
        </w:rPr>
        <w:t xml:space="preserve">” </w:t>
      </w:r>
      <w:r>
        <w:rPr>
          <w:rtl w:val="0"/>
          <w:lang w:val="en-US"/>
        </w:rPr>
        <w:t xml:space="preserve">They also mention an inscription from Thebes, dated around 39 BCE, OGIS 194.10 (= </w:t>
      </w:r>
      <w:r>
        <w:rPr>
          <w:rStyle w:val="Hyperlink.0"/>
          <w:lang w:val="en-US"/>
        </w:rPr>
        <w:fldChar w:fldCharType="begin" w:fldLock="0"/>
      </w:r>
      <w:r>
        <w:rPr>
          <w:rStyle w:val="Hyperlink.0"/>
          <w:lang w:val="en-US"/>
        </w:rPr>
        <w:instrText xml:space="preserve"> HYPERLINK "http://www.trismegistos.org/text/6325"</w:instrText>
      </w:r>
      <w:r>
        <w:rPr>
          <w:rStyle w:val="Hyperlink.0"/>
          <w:lang w:val="en-US"/>
        </w:rPr>
        <w:fldChar w:fldCharType="separate" w:fldLock="0"/>
      </w:r>
      <w:r>
        <w:rPr>
          <w:rStyle w:val="Hyperlink.0"/>
          <w:rtl w:val="0"/>
          <w:lang w:val="en-US"/>
        </w:rPr>
        <w:t>TM 6325</w:t>
      </w:r>
      <w:r>
        <w:rPr/>
        <w:fldChar w:fldCharType="end" w:fldLock="0"/>
      </w:r>
      <w:r>
        <w:rPr>
          <w:rtl w:val="0"/>
          <w:lang w:val="en-US"/>
        </w:rPr>
        <w:t>): [</w:t>
      </w:r>
      <w:r>
        <w:rPr>
          <w:rtl w:val="0"/>
          <w:lang w:val="en-US"/>
        </w:rPr>
        <w:t>ἐπιγιγνομένης τῆς</w:t>
      </w:r>
      <w:r>
        <w:rPr>
          <w:rtl w:val="0"/>
          <w:lang w:val="en-US"/>
        </w:rPr>
        <w:t xml:space="preserve">] </w:t>
      </w:r>
      <w:r>
        <w:rPr>
          <w:rtl w:val="0"/>
          <w:lang w:val="en-US"/>
        </w:rPr>
        <w:t>σκληρᾶς σιτοδείας ἐκ τῆς γενομένης ἀνιστορήτου ἀπορίας “</w:t>
      </w:r>
      <w:r>
        <w:rPr>
          <w:rtl w:val="0"/>
          <w:lang w:val="en-US"/>
        </w:rPr>
        <w:t>when a harsh famine [was caused] by the unparalleled paucity</w:t>
      </w:r>
      <w:r>
        <w:rPr>
          <w:rtl w:val="0"/>
          <w:lang w:val="en-US"/>
        </w:rPr>
        <w:t>”</w:t>
      </w:r>
      <w:r>
        <w:rPr>
          <w:rtl w:val="0"/>
          <w:lang w:val="en-US"/>
        </w:rPr>
        <w:t>.</w:t>
      </w:r>
    </w:p>
  </w:footnote>
  <w:footnote w:id="1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"https://papyri.info/biblio/97503"</w:instrText>
      </w:r>
      <w:r>
        <w:rPr>
          <w:rStyle w:val="Link"/>
        </w:rPr>
        <w:fldChar w:fldCharType="separate" w:fldLock="0"/>
      </w:r>
      <w:r>
        <w:rPr>
          <w:rStyle w:val="Link"/>
          <w:rtl w:val="0"/>
          <w:lang w:val="en-US"/>
        </w:rPr>
        <w:t>McConnell at al. 2020</w:t>
      </w:r>
      <w:r>
        <w:rPr/>
        <w:fldChar w:fldCharType="end" w:fldLock="0"/>
      </w:r>
      <w:r>
        <w:rPr>
          <w:rtl w:val="0"/>
          <w:lang w:val="en-US"/>
        </w:rPr>
        <w:t xml:space="preserve">: 15447: </w:t>
      </w:r>
      <w:r>
        <w:rPr>
          <w:rtl w:val="0"/>
          <w:lang w:val="en-US"/>
        </w:rPr>
        <w:t>“</w:t>
      </w:r>
      <w:r>
        <w:rPr>
          <w:rtl w:val="0"/>
          <w:lang w:val="en-US"/>
        </w:rPr>
        <w:t>It is (</w:t>
      </w:r>
      <w:r>
        <w:rPr>
          <w:rtl w:val="0"/>
          <w:lang w:val="en-US"/>
        </w:rPr>
        <w:t>…</w:t>
      </w:r>
      <w:r>
        <w:rPr>
          <w:rtl w:val="0"/>
          <w:lang w:val="en-US"/>
        </w:rPr>
        <w:t>) challenging to establish direct links between Okmok II and the demise of the long-lasting Ptolemaic dynasty in Egypt.</w:t>
      </w:r>
      <w:r>
        <w:rPr>
          <w:rtl w:val="0"/>
          <w:lang w:val="en-US"/>
        </w:rPr>
        <w:t>”</w:t>
      </w:r>
    </w:p>
  </w:footnote>
  <w:footnote w:id="11">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"https://papyri.info/biblio/17122"</w:instrText>
      </w:r>
      <w:r>
        <w:rPr>
          <w:rStyle w:val="Hyperlink.0"/>
          <w:lang w:val="en-US"/>
        </w:rPr>
        <w:fldChar w:fldCharType="separate" w:fldLock="0"/>
      </w:r>
      <w:r>
        <w:rPr>
          <w:rStyle w:val="Hyperlink.0"/>
          <w:rtl w:val="0"/>
          <w:lang w:val="en-US"/>
        </w:rPr>
        <w:t>Salmenkivi 2002</w:t>
      </w:r>
      <w:r>
        <w:rPr/>
        <w:fldChar w:fldCharType="end" w:fldLock="0"/>
      </w:r>
      <w:r>
        <w:rPr>
          <w:rtl w:val="0"/>
          <w:lang w:val="en-US"/>
        </w:rPr>
        <w:t>: 28.</w:t>
      </w:r>
    </w:p>
  </w:footnote>
  <w:footnote w:id="12">
    <w:p>
      <w:pPr>
        <w:pStyle w:val="footnote text"/>
      </w:pPr>
      <w:r>
        <w:rPr>
          <w:vertAlign w:val="superscript"/>
        </w:rPr>
        <w:footnoteRef/>
      </w:r>
      <w:r>
        <w:rPr>
          <w:rtl w:val="0"/>
          <w:lang w:val="en-US"/>
        </w:rPr>
        <w:t xml:space="preserve"> Wilcken 1899: 127 chose a similar scale in his coverage of receipts written on ostraca.</w:t>
      </w:r>
    </w:p>
  </w:footnote>
  <w:footnote w:id="13">
    <w:p>
      <w:pPr>
        <w:pStyle w:val="footnote text"/>
      </w:pPr>
      <w:r>
        <w:rPr>
          <w:vertAlign w:val="superscript"/>
        </w:rPr>
        <w:footnoteRef/>
      </w:r>
      <w:r>
        <w:rPr>
          <w:rtl w:val="0"/>
          <w:lang w:val="en-US"/>
        </w:rPr>
        <w:t xml:space="preserve"> Syene: </w:t>
      </w:r>
      <w:r>
        <w:rPr>
          <w:rStyle w:val="Link"/>
        </w:rPr>
        <w:fldChar w:fldCharType="begin" w:fldLock="0"/>
      </w:r>
      <w:r>
        <w:rPr>
          <w:rStyle w:val="Link"/>
        </w:rPr>
        <w:instrText xml:space="preserve"> HYPERLINK "https://papyri.info/hgv/18684"</w:instrText>
      </w:r>
      <w:r>
        <w:rPr>
          <w:rStyle w:val="Link"/>
        </w:rPr>
        <w:fldChar w:fldCharType="separate" w:fldLock="0"/>
      </w:r>
      <w:r>
        <w:rPr>
          <w:rStyle w:val="Link"/>
          <w:rtl w:val="0"/>
        </w:rPr>
        <w:t>P.Strasb. 1 79</w:t>
      </w:r>
      <w:r>
        <w:rPr/>
        <w:fldChar w:fldCharType="end" w:fldLock="0"/>
      </w:r>
      <w:r>
        <w:rPr>
          <w:rtl w:val="0"/>
          <w:lang w:val="en-US"/>
        </w:rPr>
        <w:t xml:space="preserve"> (16 BCE); Theban area: </w:t>
      </w:r>
      <w:r>
        <w:rPr>
          <w:rStyle w:val="Link"/>
        </w:rPr>
        <w:fldChar w:fldCharType="begin" w:fldLock="0"/>
      </w:r>
      <w:r>
        <w:rPr>
          <w:rStyle w:val="Link"/>
        </w:rPr>
        <w:instrText xml:space="preserve"> HYPERLINK "https://papyri.info/hgv/265"</w:instrText>
      </w:r>
      <w:r>
        <w:rPr>
          <w:rStyle w:val="Link"/>
        </w:rPr>
        <w:fldChar w:fldCharType="separate" w:fldLock="0"/>
      </w:r>
      <w:r>
        <w:rPr>
          <w:rStyle w:val="Link"/>
          <w:rtl w:val="0"/>
        </w:rPr>
        <w:t>P.Grenf. 1 41</w:t>
      </w:r>
      <w:r>
        <w:rPr/>
        <w:fldChar w:fldCharType="end" w:fldLock="0"/>
      </w:r>
      <w:r>
        <w:rPr>
          <w:rtl w:val="0"/>
          <w:lang w:val="en-US"/>
        </w:rPr>
        <w:t xml:space="preserve"> (2 BCE); </w:t>
      </w:r>
      <w:r>
        <w:rPr>
          <w:rStyle w:val="Link"/>
        </w:rPr>
        <w:fldChar w:fldCharType="begin" w:fldLock="0"/>
      </w:r>
      <w:r>
        <w:rPr>
          <w:rStyle w:val="Link"/>
        </w:rPr>
        <w:instrText xml:space="preserve"> HYPERLINK "https://papyri.info/hgv/23836"</w:instrText>
      </w:r>
      <w:r>
        <w:rPr>
          <w:rStyle w:val="Link"/>
        </w:rPr>
        <w:fldChar w:fldCharType="separate" w:fldLock="0"/>
      </w:r>
      <w:r>
        <w:rPr>
          <w:rStyle w:val="Link"/>
          <w:rtl w:val="0"/>
        </w:rPr>
        <w:t>SB 20 14948</w:t>
      </w:r>
      <w:r>
        <w:rPr/>
        <w:fldChar w:fldCharType="end" w:fldLock="0"/>
      </w:r>
      <w:r>
        <w:rPr>
          <w:rtl w:val="0"/>
          <w:lang w:val="en-US"/>
        </w:rPr>
        <w:t xml:space="preserve"> (3 CE). This general trend was already noted by Wilcken 1899: 12. Private and official tax receipts from the Fayum (Arsinoite nome) were normally written on papyrus, whereas ostraca were in use in Thebes and Syene.</w:t>
      </w:r>
    </w:p>
  </w:footnote>
  <w:footnote w:id="14">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"https://papyri.info/hgv/17457"</w:instrText>
      </w:r>
      <w:r>
        <w:rPr>
          <w:rStyle w:val="Link"/>
        </w:rPr>
        <w:fldChar w:fldCharType="separate" w:fldLock="0"/>
      </w:r>
      <w:r>
        <w:rPr>
          <w:rStyle w:val="Link"/>
          <w:rtl w:val="0"/>
        </w:rPr>
        <w:t>P.Berl. M</w:t>
      </w:r>
      <w:r>
        <w:rPr>
          <w:rStyle w:val="Link"/>
          <w:rtl w:val="0"/>
        </w:rPr>
        <w:t>ö</w:t>
      </w:r>
      <w:r>
        <w:rPr>
          <w:rStyle w:val="Link"/>
          <w:rtl w:val="0"/>
        </w:rPr>
        <w:t>ller 7</w:t>
      </w:r>
      <w:r>
        <w:rPr/>
        <w:fldChar w:fldCharType="end" w:fldLock="0"/>
      </w:r>
      <w:r>
        <w:rPr>
          <w:rtl w:val="0"/>
          <w:lang w:val="en-US"/>
        </w:rPr>
        <w:t xml:space="preserve"> (8 CE).</w:t>
      </w:r>
    </w:p>
  </w:footnote>
  <w:footnote w:id="15">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"https://papyri.info/biblio/96313"</w:instrText>
      </w:r>
      <w:r>
        <w:rPr>
          <w:rStyle w:val="Link"/>
        </w:rPr>
        <w:fldChar w:fldCharType="separate" w:fldLock="0"/>
      </w:r>
      <w:r>
        <w:rPr>
          <w:rStyle w:val="Link"/>
          <w:rtl w:val="0"/>
        </w:rPr>
        <w:t>Schubart 1913</w:t>
      </w:r>
      <w:r>
        <w:rPr/>
        <w:fldChar w:fldCharType="end" w:fldLock="0"/>
      </w:r>
      <w:r>
        <w:rPr>
          <w:rtl w:val="0"/>
          <w:lang w:val="en-US"/>
        </w:rPr>
        <w:t xml:space="preserve">: 35; </w:t>
      </w:r>
      <w:r>
        <w:rPr>
          <w:rStyle w:val="Link"/>
        </w:rPr>
        <w:fldChar w:fldCharType="begin" w:fldLock="0"/>
      </w:r>
      <w:r>
        <w:rPr>
          <w:rStyle w:val="Link"/>
        </w:rPr>
        <w:instrText xml:space="preserve"> HYPERLINK "https://papyri.info/biblio/3159"</w:instrText>
      </w:r>
      <w:r>
        <w:rPr>
          <w:rStyle w:val="Link"/>
        </w:rPr>
        <w:fldChar w:fldCharType="separate" w:fldLock="0"/>
      </w:r>
      <w:r>
        <w:rPr>
          <w:rStyle w:val="Link"/>
          <w:rtl w:val="0"/>
        </w:rPr>
        <w:t>Preisendanz 1933</w:t>
      </w:r>
      <w:r>
        <w:rPr/>
        <w:fldChar w:fldCharType="end" w:fldLock="0"/>
      </w:r>
      <w:r>
        <w:rPr>
          <w:rtl w:val="0"/>
          <w:lang w:val="en-US"/>
        </w:rPr>
        <w:t xml:space="preserve">: 179-180; </w:t>
      </w:r>
      <w:r>
        <w:rPr>
          <w:rStyle w:val="Link"/>
        </w:rPr>
        <w:fldChar w:fldCharType="begin" w:fldLock="0"/>
      </w:r>
      <w:r>
        <w:rPr>
          <w:rStyle w:val="Link"/>
        </w:rPr>
        <w:instrText xml:space="preserve"> HYPERLINK "https://papyri.info/biblio/16165"</w:instrText>
      </w:r>
      <w:r>
        <w:rPr>
          <w:rStyle w:val="Link"/>
        </w:rPr>
        <w:fldChar w:fldCharType="separate" w:fldLock="0"/>
      </w:r>
      <w:r>
        <w:rPr>
          <w:rStyle w:val="Link"/>
          <w:rtl w:val="0"/>
        </w:rPr>
        <w:t>Sarischouli 2000</w:t>
      </w:r>
      <w:r>
        <w:rPr/>
        <w:fldChar w:fldCharType="end" w:fldLock="0"/>
      </w:r>
      <w:r>
        <w:rPr>
          <w:rtl w:val="0"/>
          <w:lang w:val="en-US"/>
        </w:rPr>
        <w:t xml:space="preserve">: 213-214, whose brief survey of the mummy-cartonnage papyri from Abusir al-Malaq remains useful, in spite of the fundamental reinterpretation of P.Bingen 45 offered by </w:t>
      </w:r>
      <w:r>
        <w:rPr>
          <w:rStyle w:val="Link"/>
        </w:rPr>
        <w:fldChar w:fldCharType="begin" w:fldLock="0"/>
      </w:r>
      <w:r>
        <w:rPr>
          <w:rStyle w:val="Link"/>
        </w:rPr>
        <w:instrText xml:space="preserve"> HYPERLINK "https://papyri.info/biblio/69610"</w:instrText>
      </w:r>
      <w:r>
        <w:rPr>
          <w:rStyle w:val="Link"/>
        </w:rPr>
        <w:fldChar w:fldCharType="separate" w:fldLock="0"/>
      </w:r>
      <w:r>
        <w:rPr>
          <w:rStyle w:val="Link"/>
          <w:rtl w:val="0"/>
        </w:rPr>
        <w:t>van Minnen 2000</w:t>
      </w:r>
      <w:r>
        <w:rPr/>
        <w:fldChar w:fldCharType="end" w:fldLock="0"/>
      </w:r>
      <w:r>
        <w:rPr>
          <w:rtl w:val="0"/>
          <w:lang w:val="en-US"/>
        </w:rPr>
        <w:t xml:space="preserve"> (see below); </w:t>
      </w:r>
      <w:r>
        <w:rPr>
          <w:rStyle w:val="Link"/>
        </w:rPr>
        <w:fldChar w:fldCharType="begin" w:fldLock="0"/>
      </w:r>
      <w:r>
        <w:rPr>
          <w:rStyle w:val="Link"/>
        </w:rPr>
        <w:instrText xml:space="preserve"> HYPERLINK "https://papyri.info/biblio/17122"</w:instrText>
      </w:r>
      <w:r>
        <w:rPr>
          <w:rStyle w:val="Link"/>
        </w:rPr>
        <w:fldChar w:fldCharType="separate" w:fldLock="0"/>
      </w:r>
      <w:r>
        <w:rPr>
          <w:rStyle w:val="Link"/>
          <w:rtl w:val="0"/>
        </w:rPr>
        <w:t>Salmenkivi 2002</w:t>
      </w:r>
      <w:r>
        <w:rPr/>
        <w:fldChar w:fldCharType="end" w:fldLock="0"/>
      </w:r>
      <w:r>
        <w:rPr>
          <w:rtl w:val="0"/>
          <w:lang w:val="en-US"/>
        </w:rPr>
        <w:t xml:space="preserve">: 9-27. The correspondence relating to the excavations in Abusir al-Malaq was published by </w:t>
      </w:r>
      <w:r>
        <w:rPr>
          <w:rStyle w:val="Link"/>
        </w:rPr>
        <w:fldChar w:fldCharType="begin" w:fldLock="0"/>
      </w:r>
      <w:r>
        <w:rPr>
          <w:rStyle w:val="Link"/>
        </w:rPr>
        <w:instrText xml:space="preserve"> HYPERLINK "https://papyri.info/biblio/97339"</w:instrText>
      </w:r>
      <w:r>
        <w:rPr>
          <w:rStyle w:val="Link"/>
        </w:rPr>
        <w:fldChar w:fldCharType="separate" w:fldLock="0"/>
      </w:r>
      <w:r>
        <w:rPr>
          <w:rStyle w:val="Link"/>
          <w:rtl w:val="0"/>
        </w:rPr>
        <w:t>Essler 2025</w:t>
      </w:r>
      <w:r>
        <w:rPr/>
        <w:fldChar w:fldCharType="end" w:fldLock="0"/>
      </w:r>
      <w:r>
        <w:rPr>
          <w:rtl w:val="0"/>
          <w:lang w:val="en-US"/>
        </w:rPr>
        <w:t>: 165-168.</w:t>
      </w:r>
    </w:p>
  </w:footnote>
  <w:footnote w:id="16">
    <w:p>
      <w:pPr>
        <w:pStyle w:val="footnote text"/>
      </w:pPr>
      <w:r>
        <w:rPr>
          <w:vertAlign w:val="superscript"/>
        </w:rPr>
        <w:footnoteRef/>
      </w:r>
      <w:r>
        <w:rPr>
          <w:rtl w:val="0"/>
          <w:lang w:val="en-US"/>
        </w:rPr>
        <w:t xml:space="preserve"> In the course of preparing this study, the British Library</w:t>
      </w:r>
      <w:r>
        <w:rPr>
          <w:rtl w:val="0"/>
          <w:lang w:val="en-US"/>
        </w:rPr>
        <w:t>’</w:t>
      </w:r>
      <w:r>
        <w:rPr>
          <w:rtl w:val="0"/>
          <w:lang w:val="en-US"/>
        </w:rPr>
        <w:t>s website was hacked, thus blocking access to all their digital images. Fortunately, a first survey of all relevant images had been made before the hack. Service is being gradually restored but in many cases further verification proved impossible.</w:t>
      </w:r>
    </w:p>
  </w:footnote>
  <w:footnote w:id="17">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"http://www.trismegistos.org/archive/26"</w:instrText>
      </w:r>
      <w:r>
        <w:rPr>
          <w:rStyle w:val="Link"/>
        </w:rPr>
        <w:fldChar w:fldCharType="separate" w:fldLock="0"/>
      </w:r>
      <w:r>
        <w:rPr>
          <w:rStyle w:val="Link"/>
          <w:rtl w:val="0"/>
        </w:rPr>
        <w:t>TM Archive 26</w:t>
      </w:r>
      <w:r>
        <w:rPr/>
        <w:fldChar w:fldCharType="end" w:fldLock="0"/>
      </w:r>
      <w:r>
        <w:rPr>
          <w:rtl w:val="0"/>
          <w:lang w:val="en-US"/>
        </w:rPr>
        <w:t xml:space="preserve">; </w:t>
      </w:r>
      <w:r>
        <w:rPr>
          <w:rStyle w:val="Link"/>
        </w:rPr>
        <w:fldChar w:fldCharType="begin" w:fldLock="0"/>
      </w:r>
      <w:r>
        <w:rPr>
          <w:rStyle w:val="Link"/>
        </w:rPr>
        <w:instrText xml:space="preserve"> HYPERLINK "https://papyri.info/biblio/19012"</w:instrText>
      </w:r>
      <w:r>
        <w:rPr>
          <w:rStyle w:val="Link"/>
        </w:rPr>
        <w:fldChar w:fldCharType="separate" w:fldLock="0"/>
      </w:r>
      <w:r>
        <w:rPr>
          <w:rStyle w:val="Link"/>
          <w:rtl w:val="0"/>
        </w:rPr>
        <w:t>Bagnall and Cribiore 2006</w:t>
      </w:r>
      <w:r>
        <w:rPr/>
        <w:fldChar w:fldCharType="end" w:fldLock="0"/>
      </w:r>
      <w:r>
        <w:rPr>
          <w:rtl w:val="0"/>
          <w:lang w:val="en-US"/>
        </w:rPr>
        <w:t>: 123-125.</w:t>
      </w:r>
    </w:p>
  </w:footnote>
  <w:footnote w:id="18">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"https://papyri.info/hgv/23351"</w:instrText>
      </w:r>
      <w:r>
        <w:rPr>
          <w:rStyle w:val="Link"/>
        </w:rPr>
        <w:fldChar w:fldCharType="separate" w:fldLock="0"/>
      </w:r>
      <w:r>
        <w:rPr>
          <w:rStyle w:val="Link"/>
          <w:rtl w:val="0"/>
        </w:rPr>
        <w:t>BGU 16 2627</w:t>
      </w:r>
      <w:r>
        <w:rPr/>
        <w:fldChar w:fldCharType="end" w:fldLock="0"/>
      </w:r>
      <w:r>
        <w:rPr>
          <w:rtl w:val="0"/>
          <w:lang w:val="en-US"/>
        </w:rPr>
        <w:t xml:space="preserve">: 17.5 cm; </w:t>
      </w:r>
      <w:r>
        <w:rPr>
          <w:rStyle w:val="Link"/>
        </w:rPr>
        <w:fldChar w:fldCharType="begin" w:fldLock="0"/>
      </w:r>
      <w:r>
        <w:rPr>
          <w:rStyle w:val="Link"/>
        </w:rPr>
        <w:instrText xml:space="preserve"> HYPERLINK "https://papyri.info/hgv/23333"</w:instrText>
      </w:r>
      <w:r>
        <w:rPr>
          <w:rStyle w:val="Link"/>
        </w:rPr>
        <w:fldChar w:fldCharType="separate" w:fldLock="0"/>
      </w:r>
      <w:r>
        <w:rPr>
          <w:rStyle w:val="Link"/>
          <w:rtl w:val="0"/>
        </w:rPr>
        <w:t>BGU 16 2610</w:t>
      </w:r>
      <w:r>
        <w:rPr/>
        <w:fldChar w:fldCharType="end" w:fldLock="0"/>
      </w:r>
      <w:r>
        <w:rPr>
          <w:rtl w:val="0"/>
          <w:lang w:val="en-US"/>
        </w:rPr>
        <w:t xml:space="preserve">: 20.2 cm; </w:t>
      </w:r>
      <w:r>
        <w:rPr>
          <w:rStyle w:val="Link"/>
        </w:rPr>
        <w:fldChar w:fldCharType="begin" w:fldLock="0"/>
      </w:r>
      <w:r>
        <w:rPr>
          <w:rStyle w:val="Link"/>
        </w:rPr>
        <w:instrText xml:space="preserve"> HYPERLINK "https://papyri.info/hgv/23367"</w:instrText>
      </w:r>
      <w:r>
        <w:rPr>
          <w:rStyle w:val="Link"/>
        </w:rPr>
        <w:fldChar w:fldCharType="separate" w:fldLock="0"/>
      </w:r>
      <w:r>
        <w:rPr>
          <w:rStyle w:val="Link"/>
          <w:rtl w:val="0"/>
        </w:rPr>
        <w:t>BGU 16 2643</w:t>
      </w:r>
      <w:r>
        <w:rPr/>
        <w:fldChar w:fldCharType="end" w:fldLock="0"/>
      </w:r>
      <w:r>
        <w:rPr>
          <w:rtl w:val="0"/>
          <w:lang w:val="en-US"/>
        </w:rPr>
        <w:t>: 33 cm.</w:t>
      </w:r>
    </w:p>
  </w:footnote>
  <w:footnote w:id="19">
    <w:p>
      <w:pPr>
        <w:pStyle w:val="footnote text"/>
      </w:pPr>
      <w:r>
        <w:rPr>
          <w:vertAlign w:val="superscript"/>
        </w:rPr>
        <w:footnoteRef/>
      </w:r>
      <w:r>
        <w:rPr>
          <w:rtl w:val="0"/>
          <w:lang w:val="en-US"/>
        </w:rPr>
        <w:t xml:space="preserve"> </w:t>
      </w:r>
      <w:r>
        <w:rPr>
          <w:rtl w:val="0"/>
          <w:lang w:val="en-US"/>
        </w:rPr>
        <w:t xml:space="preserve">This may be the case of </w:t>
      </w:r>
      <w:r>
        <w:rPr>
          <w:rStyle w:val="Hyperlink.2"/>
          <w:lang w:val="en-US"/>
        </w:rPr>
        <w:fldChar w:fldCharType="begin" w:fldLock="0"/>
      </w:r>
      <w:r>
        <w:rPr>
          <w:rStyle w:val="Hyperlink.2"/>
          <w:lang w:val="en-US"/>
        </w:rPr>
        <w:instrText xml:space="preserve"> HYPERLINK "https://papyri.info/hgv/23332"</w:instrText>
      </w:r>
      <w:r>
        <w:rPr>
          <w:rStyle w:val="Hyperlink.2"/>
          <w:lang w:val="en-US"/>
        </w:rPr>
        <w:fldChar w:fldCharType="separate" w:fldLock="0"/>
      </w:r>
      <w:r>
        <w:rPr>
          <w:rStyle w:val="Hyperlink.2"/>
          <w:rtl w:val="0"/>
          <w:lang w:val="en-US"/>
        </w:rPr>
        <w:t>BGU 16 2609</w:t>
      </w:r>
      <w:r>
        <w:rPr/>
        <w:fldChar w:fldCharType="end" w:fldLock="0"/>
      </w:r>
      <w:r>
        <w:rPr>
          <w:rtl w:val="0"/>
          <w:lang w:val="en-US"/>
        </w:rPr>
        <w:t>, a squarish sheet with a height of 17.7 cm, possibly from a taller roll cut in half.</w:t>
      </w:r>
    </w:p>
  </w:footnote>
  <w:footnote w:id="20">
    <w:p>
      <w:pPr>
        <w:pStyle w:val="footnote text"/>
      </w:pPr>
      <w:r>
        <w:rPr>
          <w:vertAlign w:val="superscript"/>
        </w:rPr>
        <w:footnoteRef/>
      </w:r>
      <w:r>
        <w:rPr>
          <w:rtl w:val="0"/>
          <w:lang w:val="en-US"/>
        </w:rPr>
        <w:t xml:space="preserve"> Vertical fibres: </w:t>
      </w:r>
      <w:r>
        <w:rPr>
          <w:rStyle w:val="Link"/>
        </w:rPr>
        <w:fldChar w:fldCharType="begin" w:fldLock="0"/>
      </w:r>
      <w:r>
        <w:rPr>
          <w:rStyle w:val="Link"/>
        </w:rPr>
        <w:instrText xml:space="preserve"> HYPERLINK "https://papyri.info/hgv/23328"</w:instrText>
      </w:r>
      <w:r>
        <w:rPr>
          <w:rStyle w:val="Link"/>
        </w:rPr>
        <w:fldChar w:fldCharType="separate" w:fldLock="0"/>
      </w:r>
      <w:r>
        <w:rPr>
          <w:rStyle w:val="Link"/>
          <w:rtl w:val="0"/>
        </w:rPr>
        <w:t>BGU 16 2605</w:t>
      </w:r>
      <w:r>
        <w:rPr/>
        <w:fldChar w:fldCharType="end" w:fldLock="0"/>
      </w:r>
      <w:r>
        <w:rPr>
          <w:rtl w:val="0"/>
          <w:lang w:val="en-US"/>
        </w:rPr>
        <w:t xml:space="preserve">. No </w:t>
      </w:r>
      <w:r>
        <w:rPr>
          <w:i w:val="1"/>
          <w:iCs w:val="1"/>
          <w:rtl w:val="0"/>
          <w:lang w:val="en-US"/>
        </w:rPr>
        <w:t>kollesis</w:t>
      </w:r>
      <w:r>
        <w:rPr>
          <w:rtl w:val="0"/>
          <w:lang w:val="en-US"/>
        </w:rPr>
        <w:t xml:space="preserve"> is visible on either side; therefore, it is not possible to determine which is the front or the back.</w:t>
      </w:r>
    </w:p>
  </w:footnote>
  <w:footnote w:id="21">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"https://papyri.info/biblio/97508"</w:instrText>
      </w:r>
      <w:r>
        <w:rPr>
          <w:rStyle w:val="Link"/>
        </w:rPr>
        <w:fldChar w:fldCharType="separate" w:fldLock="0"/>
      </w:r>
      <w:r>
        <w:rPr>
          <w:rStyle w:val="Link"/>
          <w:rtl w:val="0"/>
        </w:rPr>
        <w:t>Causo 2025</w:t>
      </w:r>
      <w:r>
        <w:rPr/>
        <w:fldChar w:fldCharType="end" w:fldLock="0"/>
      </w:r>
      <w:r>
        <w:rPr>
          <w:rtl w:val="0"/>
          <w:lang w:val="en-US"/>
        </w:rPr>
        <w:t xml:space="preserve">. A right margin appears on </w:t>
      </w:r>
      <w:r>
        <w:rPr>
          <w:rStyle w:val="Link"/>
        </w:rPr>
        <w:fldChar w:fldCharType="begin" w:fldLock="0"/>
      </w:r>
      <w:r>
        <w:rPr>
          <w:rStyle w:val="Link"/>
        </w:rPr>
        <w:instrText xml:space="preserve"> HYPERLINK "https://papyri.info/hgv/23341"</w:instrText>
      </w:r>
      <w:r>
        <w:rPr>
          <w:rStyle w:val="Link"/>
        </w:rPr>
        <w:fldChar w:fldCharType="separate" w:fldLock="0"/>
      </w:r>
      <w:r>
        <w:rPr>
          <w:rStyle w:val="Link"/>
          <w:rtl w:val="0"/>
        </w:rPr>
        <w:t>BGU 16 2617</w:t>
      </w:r>
      <w:r>
        <w:rPr/>
        <w:fldChar w:fldCharType="end" w:fldLock="0"/>
      </w:r>
      <w:r>
        <w:rPr>
          <w:rtl w:val="0"/>
          <w:lang w:val="en-US"/>
        </w:rPr>
        <w:t>.</w:t>
      </w:r>
    </w:p>
  </w:footnote>
  <w:footnote w:id="22">
    <w:p>
      <w:pPr>
        <w:pStyle w:val="footnote text"/>
      </w:pPr>
      <w:r>
        <w:rPr>
          <w:vertAlign w:val="superscript"/>
        </w:rPr>
        <w:footnoteRef/>
      </w:r>
      <w:r>
        <w:rPr>
          <w:rtl w:val="0"/>
          <w:lang w:val="en-US"/>
        </w:rPr>
        <w:t xml:space="preserve"> See also </w:t>
      </w:r>
      <w:r>
        <w:rPr>
          <w:rStyle w:val="Link"/>
        </w:rPr>
        <w:fldChar w:fldCharType="begin" w:fldLock="0"/>
      </w:r>
      <w:r>
        <w:rPr>
          <w:rStyle w:val="Link"/>
        </w:rPr>
        <w:instrText xml:space="preserve"> HYPERLINK "https://papyri.info/hgv/23331"</w:instrText>
      </w:r>
      <w:r>
        <w:rPr>
          <w:rStyle w:val="Link"/>
        </w:rPr>
        <w:fldChar w:fldCharType="separate" w:fldLock="0"/>
      </w:r>
      <w:r>
        <w:rPr>
          <w:rStyle w:val="Link"/>
          <w:rtl w:val="0"/>
        </w:rPr>
        <w:t>16 2608</w:t>
      </w:r>
      <w:r>
        <w:rPr/>
        <w:fldChar w:fldCharType="end" w:fldLock="0"/>
      </w:r>
      <w:r>
        <w:rPr>
          <w:rtl w:val="0"/>
          <w:lang w:val="en-US"/>
        </w:rPr>
        <w:t xml:space="preserve">; </w:t>
      </w:r>
      <w:r>
        <w:rPr>
          <w:rStyle w:val="Link"/>
        </w:rPr>
        <w:fldChar w:fldCharType="begin" w:fldLock="0"/>
      </w:r>
      <w:r>
        <w:rPr>
          <w:rStyle w:val="Link"/>
        </w:rPr>
        <w:instrText xml:space="preserve"> HYPERLINK "https://papyri.info/hgv/23332"</w:instrText>
      </w:r>
      <w:r>
        <w:rPr>
          <w:rStyle w:val="Link"/>
        </w:rPr>
        <w:fldChar w:fldCharType="separate" w:fldLock="0"/>
      </w:r>
      <w:r>
        <w:rPr>
          <w:rStyle w:val="Link"/>
          <w:rtl w:val="0"/>
        </w:rPr>
        <w:t>2609</w:t>
      </w:r>
      <w:r>
        <w:rPr/>
        <w:fldChar w:fldCharType="end" w:fldLock="0"/>
      </w:r>
      <w:r>
        <w:rPr>
          <w:rtl w:val="0"/>
          <w:lang w:val="en-US"/>
        </w:rPr>
        <w:t xml:space="preserve">; </w:t>
      </w:r>
      <w:r>
        <w:rPr>
          <w:rStyle w:val="Link"/>
        </w:rPr>
        <w:fldChar w:fldCharType="begin" w:fldLock="0"/>
      </w:r>
      <w:r>
        <w:rPr>
          <w:rStyle w:val="Link"/>
        </w:rPr>
        <w:instrText xml:space="preserve"> HYPERLINK "https://papyri.info/hgv/23333"</w:instrText>
      </w:r>
      <w:r>
        <w:rPr>
          <w:rStyle w:val="Link"/>
        </w:rPr>
        <w:fldChar w:fldCharType="separate" w:fldLock="0"/>
      </w:r>
      <w:r>
        <w:rPr>
          <w:rStyle w:val="Link"/>
          <w:rtl w:val="0"/>
        </w:rPr>
        <w:t>2610</w:t>
      </w:r>
      <w:r>
        <w:rPr/>
        <w:fldChar w:fldCharType="end" w:fldLock="0"/>
      </w:r>
      <w:r>
        <w:rPr>
          <w:rtl w:val="0"/>
          <w:lang w:val="en-US"/>
        </w:rPr>
        <w:t xml:space="preserve">; </w:t>
      </w:r>
      <w:r>
        <w:rPr>
          <w:rStyle w:val="Link"/>
        </w:rPr>
        <w:fldChar w:fldCharType="begin" w:fldLock="0"/>
      </w:r>
      <w:r>
        <w:rPr>
          <w:rStyle w:val="Link"/>
        </w:rPr>
        <w:instrText xml:space="preserve"> HYPERLINK "https://papyri.info/hgv/23334"</w:instrText>
      </w:r>
      <w:r>
        <w:rPr>
          <w:rStyle w:val="Link"/>
        </w:rPr>
        <w:fldChar w:fldCharType="separate" w:fldLock="0"/>
      </w:r>
      <w:r>
        <w:rPr>
          <w:rStyle w:val="Link"/>
          <w:rtl w:val="0"/>
        </w:rPr>
        <w:t>2611</w:t>
      </w:r>
      <w:r>
        <w:rPr/>
        <w:fldChar w:fldCharType="end" w:fldLock="0"/>
      </w:r>
      <w:r>
        <w:rPr>
          <w:rtl w:val="0"/>
          <w:lang w:val="en-US"/>
        </w:rPr>
        <w:t xml:space="preserve">; </w:t>
      </w:r>
      <w:r>
        <w:rPr>
          <w:rStyle w:val="Link"/>
        </w:rPr>
        <w:fldChar w:fldCharType="begin" w:fldLock="0"/>
      </w:r>
      <w:r>
        <w:rPr>
          <w:rStyle w:val="Link"/>
        </w:rPr>
        <w:instrText xml:space="preserve"> HYPERLINK "https://papyri.info/hgv/23337"</w:instrText>
      </w:r>
      <w:r>
        <w:rPr>
          <w:rStyle w:val="Link"/>
        </w:rPr>
        <w:fldChar w:fldCharType="separate" w:fldLock="0"/>
      </w:r>
      <w:r>
        <w:rPr>
          <w:rStyle w:val="Link"/>
          <w:rtl w:val="0"/>
        </w:rPr>
        <w:t>2613</w:t>
      </w:r>
      <w:r>
        <w:rPr/>
        <w:fldChar w:fldCharType="end" w:fldLock="0"/>
      </w:r>
      <w:r>
        <w:rPr>
          <w:rtl w:val="0"/>
          <w:lang w:val="en-US"/>
        </w:rPr>
        <w:t xml:space="preserve">; </w:t>
      </w:r>
      <w:r>
        <w:rPr>
          <w:rStyle w:val="Link"/>
        </w:rPr>
        <w:fldChar w:fldCharType="begin" w:fldLock="0"/>
      </w:r>
      <w:r>
        <w:rPr>
          <w:rStyle w:val="Link"/>
        </w:rPr>
        <w:instrText xml:space="preserve"> HYPERLINK "https://papyri.info/hgv/23361"</w:instrText>
      </w:r>
      <w:r>
        <w:rPr>
          <w:rStyle w:val="Link"/>
        </w:rPr>
        <w:fldChar w:fldCharType="separate" w:fldLock="0"/>
      </w:r>
      <w:r>
        <w:rPr>
          <w:rStyle w:val="Link"/>
          <w:rtl w:val="0"/>
        </w:rPr>
        <w:t>2637</w:t>
      </w:r>
      <w:r>
        <w:rPr/>
        <w:fldChar w:fldCharType="end" w:fldLock="0"/>
      </w:r>
      <w:r>
        <w:rPr>
          <w:rtl w:val="0"/>
          <w:lang w:val="en-US"/>
        </w:rPr>
        <w:t xml:space="preserve">; </w:t>
      </w:r>
      <w:r>
        <w:rPr>
          <w:rStyle w:val="Link"/>
        </w:rPr>
        <w:fldChar w:fldCharType="begin" w:fldLock="0"/>
      </w:r>
      <w:r>
        <w:rPr>
          <w:rStyle w:val="Link"/>
        </w:rPr>
        <w:instrText xml:space="preserve"> HYPERLINK "https://papyri.info/hgv/23364"</w:instrText>
      </w:r>
      <w:r>
        <w:rPr>
          <w:rStyle w:val="Link"/>
        </w:rPr>
        <w:fldChar w:fldCharType="separate" w:fldLock="0"/>
      </w:r>
      <w:r>
        <w:rPr>
          <w:rStyle w:val="Link"/>
          <w:rtl w:val="0"/>
        </w:rPr>
        <w:t>2640</w:t>
      </w:r>
      <w:r>
        <w:rPr/>
        <w:fldChar w:fldCharType="end" w:fldLock="0"/>
      </w:r>
      <w:r>
        <w:rPr>
          <w:rtl w:val="0"/>
          <w:lang w:val="en-US"/>
        </w:rPr>
        <w:t>; in the so-called Tomos of Asklepiades (</w:t>
      </w:r>
      <w:r>
        <w:rPr>
          <w:rStyle w:val="Link"/>
        </w:rPr>
        <w:fldChar w:fldCharType="begin" w:fldLock="0"/>
      </w:r>
      <w:r>
        <w:rPr>
          <w:rStyle w:val="Link"/>
        </w:rPr>
        <w:instrText xml:space="preserve"> HYPERLINK "http://www.trismegistos.org/archive/111"</w:instrText>
      </w:r>
      <w:r>
        <w:rPr>
          <w:rStyle w:val="Link"/>
        </w:rPr>
        <w:fldChar w:fldCharType="separate" w:fldLock="0"/>
      </w:r>
      <w:r>
        <w:rPr>
          <w:rStyle w:val="Link"/>
          <w:rtl w:val="0"/>
        </w:rPr>
        <w:t>TM Archive 111</w:t>
      </w:r>
      <w:r>
        <w:rPr/>
        <w:fldChar w:fldCharType="end" w:fldLock="0"/>
      </w:r>
      <w:r>
        <w:rPr>
          <w:rtl w:val="0"/>
          <w:lang w:val="en-US"/>
        </w:rPr>
        <w:t xml:space="preserve">, see below), </w:t>
      </w:r>
      <w:r>
        <w:rPr>
          <w:rStyle w:val="Link"/>
        </w:rPr>
        <w:fldChar w:fldCharType="begin" w:fldLock="0"/>
      </w:r>
      <w:r>
        <w:rPr>
          <w:rStyle w:val="Link"/>
        </w:rPr>
        <w:instrText xml:space="preserve"> HYPERLINK "https://papyri.info/hgv/18654"</w:instrText>
      </w:r>
      <w:r>
        <w:rPr>
          <w:rStyle w:val="Link"/>
        </w:rPr>
        <w:fldChar w:fldCharType="separate" w:fldLock="0"/>
      </w:r>
      <w:r>
        <w:rPr>
          <w:rStyle w:val="Link"/>
          <w:rtl w:val="0"/>
        </w:rPr>
        <w:t>BGU 4 1204</w:t>
      </w:r>
      <w:r>
        <w:rPr/>
        <w:fldChar w:fldCharType="end" w:fldLock="0"/>
      </w:r>
      <w:r>
        <w:rPr>
          <w:rtl w:val="0"/>
          <w:lang w:val="en-US"/>
        </w:rPr>
        <w:t xml:space="preserve"> (28 BCE, Bousiris [Herakleopolite nome]). Examples of extra-ample line spacing are to be found in </w:t>
      </w:r>
      <w:r>
        <w:rPr>
          <w:rStyle w:val="Link"/>
        </w:rPr>
        <w:fldChar w:fldCharType="begin" w:fldLock="0"/>
      </w:r>
      <w:r>
        <w:rPr>
          <w:rStyle w:val="Link"/>
        </w:rPr>
        <w:instrText xml:space="preserve"> HYPERLINK "https://papyri.info/hgv/23344"</w:instrText>
      </w:r>
      <w:r>
        <w:rPr>
          <w:rStyle w:val="Link"/>
        </w:rPr>
        <w:fldChar w:fldCharType="separate" w:fldLock="0"/>
      </w:r>
      <w:r>
        <w:rPr>
          <w:rStyle w:val="Link"/>
          <w:rtl w:val="0"/>
        </w:rPr>
        <w:t>BGU 16 2620</w:t>
      </w:r>
      <w:r>
        <w:rPr/>
        <w:fldChar w:fldCharType="end" w:fldLock="0"/>
      </w:r>
      <w:r>
        <w:rPr>
          <w:rtl w:val="0"/>
          <w:lang w:val="en-US"/>
        </w:rPr>
        <w:t xml:space="preserve">, </w:t>
      </w:r>
      <w:r>
        <w:rPr>
          <w:rStyle w:val="Link"/>
        </w:rPr>
        <w:fldChar w:fldCharType="begin" w:fldLock="0"/>
      </w:r>
      <w:r>
        <w:rPr>
          <w:rStyle w:val="Link"/>
        </w:rPr>
        <w:instrText xml:space="preserve"> HYPERLINK "https://papyri.info/hgv/23362"</w:instrText>
      </w:r>
      <w:r>
        <w:rPr>
          <w:rStyle w:val="Link"/>
        </w:rPr>
        <w:fldChar w:fldCharType="separate" w:fldLock="0"/>
      </w:r>
      <w:r>
        <w:rPr>
          <w:rStyle w:val="Link"/>
          <w:rtl w:val="0"/>
        </w:rPr>
        <w:t>2638</w:t>
      </w:r>
      <w:r>
        <w:rPr/>
        <w:fldChar w:fldCharType="end" w:fldLock="0"/>
      </w:r>
      <w:r>
        <w:rPr>
          <w:rtl w:val="0"/>
          <w:lang w:val="en-US"/>
        </w:rPr>
        <w:t xml:space="preserve">, and </w:t>
      </w:r>
      <w:r>
        <w:rPr>
          <w:rStyle w:val="Link"/>
        </w:rPr>
        <w:fldChar w:fldCharType="begin" w:fldLock="0"/>
      </w:r>
      <w:r>
        <w:rPr>
          <w:rStyle w:val="Link"/>
        </w:rPr>
        <w:instrText xml:space="preserve"> HYPERLINK "https://papyri.info/hgv/23368"</w:instrText>
      </w:r>
      <w:r>
        <w:rPr>
          <w:rStyle w:val="Link"/>
        </w:rPr>
        <w:fldChar w:fldCharType="separate" w:fldLock="0"/>
      </w:r>
      <w:r>
        <w:rPr>
          <w:rStyle w:val="Link"/>
          <w:rtl w:val="0"/>
        </w:rPr>
        <w:t>2644</w:t>
      </w:r>
      <w:r>
        <w:rPr/>
        <w:fldChar w:fldCharType="end" w:fldLock="0"/>
      </w:r>
      <w:r>
        <w:rPr>
          <w:rtl w:val="0"/>
          <w:lang w:val="en-US"/>
        </w:rPr>
        <w:t xml:space="preserve">, in a layout similar to that of </w:t>
      </w:r>
      <w:r>
        <w:rPr>
          <w:rStyle w:val="Link"/>
        </w:rPr>
        <w:fldChar w:fldCharType="begin" w:fldLock="0"/>
      </w:r>
      <w:r>
        <w:rPr>
          <w:rStyle w:val="Link"/>
        </w:rPr>
        <w:instrText xml:space="preserve"> HYPERLINK "https://papyri.info/hgv/23375"</w:instrText>
      </w:r>
      <w:r>
        <w:rPr>
          <w:rStyle w:val="Link"/>
        </w:rPr>
        <w:fldChar w:fldCharType="separate" w:fldLock="0"/>
      </w:r>
      <w:r>
        <w:rPr>
          <w:rStyle w:val="Link"/>
          <w:rtl w:val="0"/>
        </w:rPr>
        <w:t>BGU 16 2651</w:t>
      </w:r>
      <w:r>
        <w:rPr/>
        <w:fldChar w:fldCharType="end" w:fldLock="0"/>
      </w:r>
      <w:r>
        <w:rPr>
          <w:rtl w:val="0"/>
          <w:lang w:val="en-US"/>
        </w:rPr>
        <w:t>.</w:t>
      </w:r>
    </w:p>
  </w:footnote>
  <w:footnote w:id="23">
    <w:p>
      <w:pPr>
        <w:pStyle w:val="footnote text"/>
      </w:pPr>
      <w:r>
        <w:rPr>
          <w:vertAlign w:val="superscript"/>
        </w:rPr>
        <w:footnoteRef/>
      </w:r>
      <w:r>
        <w:rPr>
          <w:rtl w:val="0"/>
          <w:lang w:val="en-US"/>
        </w:rPr>
        <w:t xml:space="preserve"> E.g. </w:t>
      </w:r>
      <w:r>
        <w:rPr>
          <w:rStyle w:val="Link"/>
        </w:rPr>
        <w:fldChar w:fldCharType="begin" w:fldLock="0"/>
      </w:r>
      <w:r>
        <w:rPr>
          <w:rStyle w:val="Link"/>
        </w:rPr>
        <w:instrText xml:space="preserve"> HYPERLINK "https://papyri.info/hgv/23337"</w:instrText>
      </w:r>
      <w:r>
        <w:rPr>
          <w:rStyle w:val="Link"/>
        </w:rPr>
        <w:fldChar w:fldCharType="separate" w:fldLock="0"/>
      </w:r>
      <w:r>
        <w:rPr>
          <w:rStyle w:val="Link"/>
          <w:rtl w:val="0"/>
        </w:rPr>
        <w:t>BGU 16 2613</w:t>
      </w:r>
      <w:r>
        <w:rPr/>
        <w:fldChar w:fldCharType="end" w:fldLock="0"/>
      </w:r>
      <w:r>
        <w:rPr>
          <w:rtl w:val="0"/>
          <w:lang w:val="en-US"/>
        </w:rPr>
        <w:t>.</w:t>
      </w:r>
    </w:p>
  </w:footnote>
  <w:footnote w:id="24">
    <w:p>
      <w:pPr>
        <w:pStyle w:val="footnote text"/>
      </w:pPr>
      <w:r>
        <w:rPr>
          <w:vertAlign w:val="superscript"/>
          <w:lang w:val="en-US"/>
        </w:rPr>
        <w:footnoteRef/>
      </w:r>
      <w:r>
        <w:rPr>
          <w:rtl w:val="0"/>
          <w:lang w:val="en-US"/>
        </w:rPr>
        <w:t xml:space="preserve"> E.g. </w:t>
      </w:r>
      <w:r>
        <w:rPr>
          <w:rStyle w:val="Hyperlink.0"/>
          <w:lang w:val="en-US"/>
        </w:rPr>
        <w:fldChar w:fldCharType="begin" w:fldLock="0"/>
      </w:r>
      <w:r>
        <w:rPr>
          <w:rStyle w:val="Hyperlink.0"/>
          <w:lang w:val="en-US"/>
        </w:rPr>
        <w:instrText xml:space="preserve"> HYPERLINK "https://papyri.info/hgv/21524"</w:instrText>
      </w:r>
      <w:r>
        <w:rPr>
          <w:rStyle w:val="Hyperlink.0"/>
          <w:lang w:val="en-US"/>
        </w:rPr>
        <w:fldChar w:fldCharType="separate" w:fldLock="0"/>
      </w:r>
      <w:r>
        <w:rPr>
          <w:rStyle w:val="Hyperlink.0"/>
          <w:rtl w:val="0"/>
          <w:lang w:val="en-US"/>
        </w:rPr>
        <w:t>P.Oslo 2 47</w:t>
      </w:r>
      <w:r>
        <w:rPr>
          <w:lang w:val="en-US"/>
        </w:rPr>
        <w:fldChar w:fldCharType="end" w:fldLock="0"/>
      </w:r>
      <w:r>
        <w:rPr>
          <w:rtl w:val="0"/>
          <w:lang w:val="en-US"/>
        </w:rPr>
        <w:t xml:space="preserve"> (1 CE, provenance unknown), a neat letter that was prepared following the same rules for layout, with the text centered between generous top and bottom margins, a reduced left margin, virtually no right margin, and ample line spacing. Another example is to be found in </w:t>
      </w:r>
      <w:r>
        <w:rPr>
          <w:rStyle w:val="Hyperlink.0"/>
          <w:lang w:val="en-US"/>
        </w:rPr>
        <w:fldChar w:fldCharType="begin" w:fldLock="0"/>
      </w:r>
      <w:r>
        <w:rPr>
          <w:rStyle w:val="Hyperlink.0"/>
          <w:lang w:val="en-US"/>
        </w:rPr>
        <w:instrText xml:space="preserve"> HYPERLINK "https://papyri.info/hgv/13561"</w:instrText>
      </w:r>
      <w:r>
        <w:rPr>
          <w:rStyle w:val="Hyperlink.0"/>
          <w:lang w:val="en-US"/>
        </w:rPr>
        <w:fldChar w:fldCharType="separate" w:fldLock="0"/>
      </w:r>
      <w:r>
        <w:rPr>
          <w:rStyle w:val="Hyperlink.0"/>
          <w:rtl w:val="0"/>
          <w:lang w:val="en-US"/>
        </w:rPr>
        <w:t>P.Tebt. 2 409</w:t>
      </w:r>
      <w:r>
        <w:rPr>
          <w:lang w:val="en-US"/>
        </w:rPr>
        <w:fldChar w:fldCharType="end" w:fldLock="0"/>
      </w:r>
      <w:r>
        <w:rPr>
          <w:rtl w:val="0"/>
          <w:lang w:val="en-US"/>
        </w:rPr>
        <w:t xml:space="preserve"> (5 CE, Tebtynis [Arsinoite nome]).</w:t>
      </w:r>
    </w:p>
  </w:footnote>
  <w:footnote w:id="25">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"https://papyri.info/hgv/23362"</w:instrText>
      </w:r>
      <w:r>
        <w:rPr>
          <w:rStyle w:val="Link"/>
        </w:rPr>
        <w:fldChar w:fldCharType="separate" w:fldLock="0"/>
      </w:r>
      <w:r>
        <w:rPr>
          <w:rStyle w:val="Link"/>
          <w:rtl w:val="0"/>
        </w:rPr>
        <w:t>BGU 16 2638</w:t>
      </w:r>
      <w:r>
        <w:rPr/>
        <w:fldChar w:fldCharType="end" w:fldLock="0"/>
      </w:r>
      <w:r>
        <w:rPr>
          <w:rtl w:val="0"/>
          <w:lang w:val="en-US"/>
        </w:rPr>
        <w:t xml:space="preserve">. The same approach was presumably followed in the case of the letter </w:t>
      </w:r>
      <w:r>
        <w:rPr>
          <w:rStyle w:val="Link"/>
        </w:rPr>
        <w:fldChar w:fldCharType="begin" w:fldLock="0"/>
      </w:r>
      <w:r>
        <w:rPr>
          <w:rStyle w:val="Link"/>
        </w:rPr>
        <w:instrText xml:space="preserve"> HYPERLINK "https://papyri.info/hgv/23377"</w:instrText>
      </w:r>
      <w:r>
        <w:rPr>
          <w:rStyle w:val="Link"/>
        </w:rPr>
        <w:fldChar w:fldCharType="separate" w:fldLock="0"/>
      </w:r>
      <w:r>
        <w:rPr>
          <w:rStyle w:val="Link"/>
          <w:rtl w:val="0"/>
        </w:rPr>
        <w:t>BGU 16 2653</w:t>
      </w:r>
      <w:r>
        <w:rPr/>
        <w:fldChar w:fldCharType="end" w:fldLock="0"/>
      </w:r>
      <w:r>
        <w:rPr>
          <w:rtl w:val="0"/>
          <w:lang w:val="en-US"/>
        </w:rPr>
        <w:t xml:space="preserve"> (9 BCE, Herakleopolite nome; H 13.3 cm x W 16.6 cm), and of </w:t>
      </w:r>
      <w:r>
        <w:rPr>
          <w:rStyle w:val="Link"/>
        </w:rPr>
        <w:fldChar w:fldCharType="begin" w:fldLock="0"/>
      </w:r>
      <w:r>
        <w:rPr>
          <w:rStyle w:val="Link"/>
        </w:rPr>
        <w:instrText xml:space="preserve"> HYPERLINK "https://papyri.info/hgv/316277"</w:instrText>
      </w:r>
      <w:r>
        <w:rPr>
          <w:rStyle w:val="Link"/>
        </w:rPr>
        <w:fldChar w:fldCharType="separate" w:fldLock="0"/>
      </w:r>
      <w:r>
        <w:rPr>
          <w:rStyle w:val="Link"/>
          <w:rtl w:val="0"/>
        </w:rPr>
        <w:t>PSI 16 1638</w:t>
      </w:r>
      <w:r>
        <w:rPr/>
        <w:fldChar w:fldCharType="end" w:fldLock="0"/>
      </w:r>
      <w:r>
        <w:rPr>
          <w:rtl w:val="0"/>
          <w:lang w:val="en-US"/>
        </w:rPr>
        <w:t xml:space="preserve"> (73/44/22 BCE, Tebytnis; H 11 cm x W 7.4 cm), a receipt for the payment of rent written in letter form.</w:t>
      </w:r>
    </w:p>
  </w:footnote>
  <w:footnote w:id="26">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"https://papyri.info/hgv/23329"</w:instrText>
      </w:r>
      <w:r>
        <w:rPr>
          <w:rStyle w:val="Link"/>
        </w:rPr>
        <w:fldChar w:fldCharType="separate" w:fldLock="0"/>
      </w:r>
      <w:r>
        <w:rPr>
          <w:rStyle w:val="Link"/>
          <w:rtl w:val="0"/>
        </w:rPr>
        <w:t>BGU 16 2606</w:t>
      </w:r>
      <w:r>
        <w:rPr/>
        <w:fldChar w:fldCharType="end" w:fldLock="0"/>
      </w:r>
      <w:r>
        <w:rPr>
          <w:rtl w:val="0"/>
          <w:lang w:val="en-US"/>
        </w:rPr>
        <w:t xml:space="preserve">; </w:t>
      </w:r>
      <w:r>
        <w:rPr>
          <w:rStyle w:val="Link"/>
        </w:rPr>
        <w:fldChar w:fldCharType="begin" w:fldLock="0"/>
      </w:r>
      <w:r>
        <w:rPr>
          <w:rStyle w:val="Link"/>
        </w:rPr>
        <w:instrText xml:space="preserve"> HYPERLINK "https://papyri.info/hgv/23331"</w:instrText>
      </w:r>
      <w:r>
        <w:rPr>
          <w:rStyle w:val="Link"/>
        </w:rPr>
        <w:fldChar w:fldCharType="separate" w:fldLock="0"/>
      </w:r>
      <w:r>
        <w:rPr>
          <w:rStyle w:val="Link"/>
          <w:rtl w:val="0"/>
        </w:rPr>
        <w:t>2608</w:t>
      </w:r>
      <w:r>
        <w:rPr/>
        <w:fldChar w:fldCharType="end" w:fldLock="0"/>
      </w:r>
      <w:r>
        <w:rPr>
          <w:rtl w:val="0"/>
          <w:lang w:val="en-US"/>
        </w:rPr>
        <w:t xml:space="preserve">; </w:t>
      </w:r>
      <w:r>
        <w:rPr>
          <w:rStyle w:val="Link"/>
        </w:rPr>
        <w:fldChar w:fldCharType="begin" w:fldLock="0"/>
      </w:r>
      <w:r>
        <w:rPr>
          <w:rStyle w:val="Link"/>
        </w:rPr>
        <w:instrText xml:space="preserve"> HYPERLINK "https://papyri.info/hgv/23378"</w:instrText>
      </w:r>
      <w:r>
        <w:rPr>
          <w:rStyle w:val="Link"/>
        </w:rPr>
        <w:fldChar w:fldCharType="separate" w:fldLock="0"/>
      </w:r>
      <w:r>
        <w:rPr>
          <w:rStyle w:val="Link"/>
          <w:rtl w:val="0"/>
        </w:rPr>
        <w:t>2654</w:t>
      </w:r>
      <w:r>
        <w:rPr/>
        <w:fldChar w:fldCharType="end" w:fldLock="0"/>
      </w:r>
      <w:r>
        <w:rPr>
          <w:rtl w:val="0"/>
          <w:lang w:val="en-US"/>
        </w:rPr>
        <w:t>.</w:t>
      </w:r>
    </w:p>
  </w:footnote>
  <w:footnote w:id="27">
    <w:p>
      <w:pPr>
        <w:pStyle w:val="footnote text"/>
      </w:pPr>
      <w:r>
        <w:rPr>
          <w:vertAlign w:val="superscript"/>
        </w:rPr>
        <w:footnoteRef/>
      </w:r>
      <w:r>
        <w:rPr>
          <w:rtl w:val="0"/>
          <w:lang w:val="en-US"/>
        </w:rPr>
        <w:t xml:space="preserve"> Line spacing: </w:t>
      </w:r>
      <w:r>
        <w:rPr>
          <w:rStyle w:val="Link"/>
        </w:rPr>
        <w:fldChar w:fldCharType="begin" w:fldLock="0"/>
      </w:r>
      <w:r>
        <w:rPr>
          <w:rStyle w:val="Link"/>
        </w:rPr>
        <w:instrText xml:space="preserve"> HYPERLINK "https://papyri.info/hgv/23353"</w:instrText>
      </w:r>
      <w:r>
        <w:rPr>
          <w:rStyle w:val="Link"/>
        </w:rPr>
        <w:fldChar w:fldCharType="separate" w:fldLock="0"/>
      </w:r>
      <w:r>
        <w:rPr>
          <w:rStyle w:val="Link"/>
          <w:rtl w:val="0"/>
        </w:rPr>
        <w:t>BGU 16 2629</w:t>
      </w:r>
      <w:r>
        <w:rPr/>
        <w:fldChar w:fldCharType="end" w:fldLock="0"/>
      </w:r>
      <w:r>
        <w:rPr>
          <w:rtl w:val="0"/>
          <w:lang w:val="en-US"/>
        </w:rPr>
        <w:t xml:space="preserve">. Left margin: </w:t>
      </w:r>
      <w:r>
        <w:rPr>
          <w:rStyle w:val="Link"/>
        </w:rPr>
        <w:fldChar w:fldCharType="begin" w:fldLock="0"/>
      </w:r>
      <w:r>
        <w:rPr>
          <w:rStyle w:val="Link"/>
        </w:rPr>
        <w:instrText xml:space="preserve"> HYPERLINK "https://papyri.info/hgv/23323"</w:instrText>
      </w:r>
      <w:r>
        <w:rPr>
          <w:rStyle w:val="Link"/>
        </w:rPr>
        <w:fldChar w:fldCharType="separate" w:fldLock="0"/>
      </w:r>
      <w:r>
        <w:rPr>
          <w:rStyle w:val="Link"/>
          <w:rtl w:val="0"/>
        </w:rPr>
        <w:t>BGU 16 2600</w:t>
      </w:r>
      <w:r>
        <w:rPr/>
        <w:fldChar w:fldCharType="end" w:fldLock="0"/>
      </w:r>
      <w:r>
        <w:rPr>
          <w:rtl w:val="0"/>
          <w:lang w:val="en-US"/>
        </w:rPr>
        <w:t xml:space="preserve">; </w:t>
      </w:r>
      <w:r>
        <w:rPr>
          <w:rStyle w:val="Link"/>
        </w:rPr>
        <w:fldChar w:fldCharType="begin" w:fldLock="0"/>
      </w:r>
      <w:r>
        <w:rPr>
          <w:rStyle w:val="Link"/>
        </w:rPr>
        <w:instrText xml:space="preserve"> HYPERLINK "https://papyri.info/hgv/23330"</w:instrText>
      </w:r>
      <w:r>
        <w:rPr>
          <w:rStyle w:val="Link"/>
        </w:rPr>
        <w:fldChar w:fldCharType="separate" w:fldLock="0"/>
      </w:r>
      <w:r>
        <w:rPr>
          <w:rStyle w:val="Link"/>
          <w:rtl w:val="0"/>
        </w:rPr>
        <w:t>2607</w:t>
      </w:r>
      <w:r>
        <w:rPr/>
        <w:fldChar w:fldCharType="end" w:fldLock="0"/>
      </w:r>
      <w:r>
        <w:rPr>
          <w:rtl w:val="0"/>
          <w:lang w:val="en-US"/>
        </w:rPr>
        <w:t xml:space="preserve">. Outside the </w:t>
      </w:r>
      <w:r>
        <w:rPr>
          <w:rStyle w:val="Link"/>
        </w:rPr>
        <w:fldChar w:fldCharType="begin" w:fldLock="0"/>
      </w:r>
      <w:r>
        <w:rPr>
          <w:rStyle w:val="Link"/>
        </w:rPr>
        <w:instrText xml:space="preserve"> HYPERLINK "http://www.trismegistos.org/archive/26"</w:instrText>
      </w:r>
      <w:r>
        <w:rPr>
          <w:rStyle w:val="Link"/>
        </w:rPr>
        <w:fldChar w:fldCharType="separate" w:fldLock="0"/>
      </w:r>
      <w:r>
        <w:rPr>
          <w:rStyle w:val="Link"/>
          <w:rtl w:val="0"/>
        </w:rPr>
        <w:t>Athenodoros Archive</w:t>
      </w:r>
      <w:r>
        <w:rPr/>
        <w:fldChar w:fldCharType="end" w:fldLock="0"/>
      </w:r>
      <w:r>
        <w:rPr>
          <w:rtl w:val="0"/>
          <w:lang w:val="en-US"/>
        </w:rPr>
        <w:t xml:space="preserve">, </w:t>
      </w:r>
      <w:r>
        <w:rPr>
          <w:rStyle w:val="Link"/>
        </w:rPr>
        <w:fldChar w:fldCharType="begin" w:fldLock="0"/>
      </w:r>
      <w:r>
        <w:rPr>
          <w:rStyle w:val="Link"/>
        </w:rPr>
        <w:instrText xml:space="preserve"> HYPERLINK "https://papyri.info/hgv/4841"</w:instrText>
      </w:r>
      <w:r>
        <w:rPr>
          <w:rStyle w:val="Link"/>
        </w:rPr>
        <w:fldChar w:fldCharType="separate" w:fldLock="0"/>
      </w:r>
      <w:r>
        <w:rPr>
          <w:rStyle w:val="Link"/>
          <w:rtl w:val="0"/>
        </w:rPr>
        <w:t>BGU 8 1760</w:t>
      </w:r>
      <w:r>
        <w:rPr/>
        <w:fldChar w:fldCharType="end" w:fldLock="0"/>
      </w:r>
      <w:r>
        <w:rPr>
          <w:rtl w:val="0"/>
          <w:lang w:val="en-US"/>
        </w:rPr>
        <w:t xml:space="preserve"> (50 BCE, Herakleopolite nome), a longish letter from a </w:t>
      </w:r>
      <w:r>
        <w:rPr>
          <w:i w:val="1"/>
          <w:iCs w:val="1"/>
          <w:rtl w:val="0"/>
          <w:lang w:val="en-US"/>
        </w:rPr>
        <w:t>strategos</w:t>
      </w:r>
      <w:r>
        <w:rPr>
          <w:rtl w:val="0"/>
          <w:lang w:val="en-US"/>
        </w:rPr>
        <w:t xml:space="preserve"> who is forwarding an order from the </w:t>
      </w:r>
      <w:r>
        <w:rPr>
          <w:i w:val="1"/>
          <w:iCs w:val="1"/>
          <w:rtl w:val="0"/>
          <w:lang w:val="en-US"/>
        </w:rPr>
        <w:t>dioiketes</w:t>
      </w:r>
      <w:r>
        <w:rPr>
          <w:rtl w:val="0"/>
          <w:lang w:val="en-US"/>
        </w:rPr>
        <w:t>.</w:t>
      </w:r>
    </w:p>
  </w:footnote>
  <w:footnote w:id="28">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"https://papyri.info/hgv/23342"</w:instrText>
      </w:r>
      <w:r>
        <w:rPr>
          <w:rStyle w:val="Link"/>
        </w:rPr>
        <w:fldChar w:fldCharType="separate" w:fldLock="0"/>
      </w:r>
      <w:r>
        <w:rPr>
          <w:rStyle w:val="Link"/>
          <w:rtl w:val="0"/>
        </w:rPr>
        <w:t>BGU 16 2618</w:t>
      </w:r>
      <w:r>
        <w:rPr/>
        <w:fldChar w:fldCharType="end" w:fldLock="0"/>
      </w:r>
      <w:r>
        <w:rPr>
          <w:rtl w:val="0"/>
          <w:lang w:val="en-US"/>
        </w:rPr>
        <w:t xml:space="preserve">; </w:t>
      </w:r>
      <w:r>
        <w:rPr>
          <w:rStyle w:val="Link"/>
        </w:rPr>
        <w:fldChar w:fldCharType="begin" w:fldLock="0"/>
      </w:r>
      <w:r>
        <w:rPr>
          <w:rStyle w:val="Link"/>
        </w:rPr>
        <w:instrText xml:space="preserve"> HYPERLINK "https://papyri.info/hgv/23364"</w:instrText>
      </w:r>
      <w:r>
        <w:rPr>
          <w:rStyle w:val="Link"/>
        </w:rPr>
        <w:fldChar w:fldCharType="separate" w:fldLock="0"/>
      </w:r>
      <w:r>
        <w:rPr>
          <w:rStyle w:val="Link"/>
          <w:rtl w:val="0"/>
        </w:rPr>
        <w:t>2640</w:t>
      </w:r>
      <w:r>
        <w:rPr/>
        <w:fldChar w:fldCharType="end" w:fldLock="0"/>
      </w:r>
      <w:r>
        <w:rPr>
          <w:rtl w:val="0"/>
          <w:lang w:val="en-US"/>
        </w:rPr>
        <w:t xml:space="preserve">; </w:t>
      </w:r>
      <w:r>
        <w:rPr>
          <w:rStyle w:val="Link"/>
        </w:rPr>
        <w:fldChar w:fldCharType="begin" w:fldLock="0"/>
      </w:r>
      <w:r>
        <w:rPr>
          <w:rStyle w:val="Link"/>
        </w:rPr>
        <w:instrText xml:space="preserve"> HYPERLINK "https://papyri.info/hgv/23374"</w:instrText>
      </w:r>
      <w:r>
        <w:rPr>
          <w:rStyle w:val="Link"/>
        </w:rPr>
        <w:fldChar w:fldCharType="separate" w:fldLock="0"/>
      </w:r>
      <w:r>
        <w:rPr>
          <w:rStyle w:val="Link"/>
          <w:rtl w:val="0"/>
        </w:rPr>
        <w:t>2650</w:t>
      </w:r>
      <w:r>
        <w:rPr/>
        <w:fldChar w:fldCharType="end" w:fldLock="0"/>
      </w:r>
      <w:r>
        <w:rPr>
          <w:rtl w:val="0"/>
          <w:lang w:val="en-US"/>
        </w:rPr>
        <w:t xml:space="preserve">. In </w:t>
      </w:r>
      <w:r>
        <w:rPr>
          <w:rStyle w:val="Link"/>
        </w:rPr>
        <w:fldChar w:fldCharType="begin" w:fldLock="0"/>
      </w:r>
      <w:r>
        <w:rPr>
          <w:rStyle w:val="Link"/>
        </w:rPr>
        <w:instrText xml:space="preserve"> HYPERLINK "https://papyri.info/hgv/18656"</w:instrText>
      </w:r>
      <w:r>
        <w:rPr>
          <w:rStyle w:val="Link"/>
        </w:rPr>
        <w:fldChar w:fldCharType="separate" w:fldLock="0"/>
      </w:r>
      <w:r>
        <w:rPr>
          <w:rStyle w:val="Link"/>
          <w:rtl w:val="0"/>
        </w:rPr>
        <w:t>BGU 4 1206</w:t>
      </w:r>
      <w:r>
        <w:rPr/>
        <w:fldChar w:fldCharType="end" w:fldLock="0"/>
      </w:r>
      <w:r>
        <w:rPr>
          <w:rtl w:val="0"/>
          <w:lang w:val="en-US"/>
        </w:rPr>
        <w:t xml:space="preserve"> (28 BCE, Herakleopolite nome), a private letter, the scribe started with an intended layout that included a sizeable top margin and generous line spacing. The text turned out to be longer than anticipated, thus the scribe reduced the line spacing, made his writing more compact (less space between the characters), and ended up reaching the bottom edge of the sheet, leaving no lower margin. Outside the batch of papyri extracted from mummy cartonnage found in Abusir al-Malaq, </w:t>
      </w:r>
      <w:r>
        <w:rPr>
          <w:rStyle w:val="Link"/>
        </w:rPr>
        <w:fldChar w:fldCharType="begin" w:fldLock="0"/>
      </w:r>
      <w:r>
        <w:rPr>
          <w:rStyle w:val="Link"/>
        </w:rPr>
        <w:instrText xml:space="preserve"> HYPERLINK "https://papyri.info/hgv/14433"</w:instrText>
      </w:r>
      <w:r>
        <w:rPr>
          <w:rStyle w:val="Link"/>
        </w:rPr>
        <w:fldChar w:fldCharType="separate" w:fldLock="0"/>
      </w:r>
      <w:r>
        <w:rPr>
          <w:rStyle w:val="Link"/>
          <w:rtl w:val="0"/>
        </w:rPr>
        <w:t>SB 14 11294</w:t>
      </w:r>
      <w:r>
        <w:rPr/>
        <w:fldChar w:fldCharType="end" w:fldLock="0"/>
      </w:r>
      <w:r>
        <w:rPr>
          <w:rtl w:val="0"/>
          <w:lang w:val="en-US"/>
        </w:rPr>
        <w:t xml:space="preserve"> (2 BCE, Arsinoite nome [?]).</w:t>
      </w:r>
    </w:p>
  </w:footnote>
  <w:footnote w:id="29">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"https://papyri.info/hgv/23327"</w:instrText>
      </w:r>
      <w:r>
        <w:rPr>
          <w:rStyle w:val="Link"/>
        </w:rPr>
        <w:fldChar w:fldCharType="separate" w:fldLock="0"/>
      </w:r>
      <w:r>
        <w:rPr>
          <w:rStyle w:val="Link"/>
          <w:rtl w:val="0"/>
        </w:rPr>
        <w:t>BGU 16 2604</w:t>
      </w:r>
      <w:r>
        <w:rPr/>
        <w:fldChar w:fldCharType="end" w:fldLock="0"/>
      </w:r>
      <w:r>
        <w:rPr>
          <w:rtl w:val="0"/>
          <w:lang w:val="en-US"/>
        </w:rPr>
        <w:t>.</w:t>
      </w:r>
    </w:p>
  </w:footnote>
  <w:footnote w:id="3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"https://papyri.info/hgv/23334"</w:instrText>
      </w:r>
      <w:r>
        <w:rPr>
          <w:rStyle w:val="Link"/>
        </w:rPr>
        <w:fldChar w:fldCharType="separate" w:fldLock="0"/>
      </w:r>
      <w:r>
        <w:rPr>
          <w:rStyle w:val="Link"/>
          <w:rtl w:val="0"/>
        </w:rPr>
        <w:t>BGU 16 2611</w:t>
      </w:r>
      <w:r>
        <w:rPr/>
        <w:fldChar w:fldCharType="end" w:fldLock="0"/>
      </w:r>
      <w:r>
        <w:rPr>
          <w:rtl w:val="0"/>
          <w:lang w:val="en-US"/>
        </w:rPr>
        <w:t xml:space="preserve">; </w:t>
      </w:r>
      <w:r>
        <w:rPr>
          <w:rStyle w:val="Link"/>
        </w:rPr>
        <w:fldChar w:fldCharType="begin" w:fldLock="0"/>
      </w:r>
      <w:r>
        <w:rPr>
          <w:rStyle w:val="Link"/>
        </w:rPr>
        <w:instrText xml:space="preserve"> HYPERLINK "https://papyri.info/hgv/23354"</w:instrText>
      </w:r>
      <w:r>
        <w:rPr>
          <w:rStyle w:val="Link"/>
        </w:rPr>
        <w:fldChar w:fldCharType="separate" w:fldLock="0"/>
      </w:r>
      <w:r>
        <w:rPr>
          <w:rStyle w:val="Link"/>
          <w:rtl w:val="0"/>
        </w:rPr>
        <w:t>2630</w:t>
      </w:r>
      <w:r>
        <w:rPr/>
        <w:fldChar w:fldCharType="end" w:fldLock="0"/>
      </w:r>
      <w:r>
        <w:rPr>
          <w:rtl w:val="0"/>
          <w:lang w:val="en-US"/>
        </w:rPr>
        <w:t>.</w:t>
      </w:r>
    </w:p>
  </w:footnote>
  <w:footnote w:id="31">
    <w:p>
      <w:pPr>
        <w:pStyle w:val="footnote text"/>
      </w:pPr>
      <w:r>
        <w:rPr>
          <w:vertAlign w:val="superscript"/>
        </w:rPr>
        <w:footnoteRef/>
      </w:r>
      <w:r>
        <w:rPr>
          <w:rtl w:val="0"/>
          <w:lang w:val="en-US"/>
        </w:rPr>
        <w:t xml:space="preserve"> The dimensions of the preserved part of the papyrus are H 14.5 x W 10.4 cm; top margin 3 cm, left margin 2 cm; if the lower margin was also 3 cm, the complete sheet would have reached a height of 17.5 cm.</w:t>
      </w:r>
    </w:p>
  </w:footnote>
  <w:footnote w:id="32">
    <w:p>
      <w:pPr>
        <w:pStyle w:val="footnote text"/>
      </w:pPr>
      <w:r>
        <w:rPr>
          <w:vertAlign w:val="superscript"/>
        </w:rPr>
        <w:footnoteRef/>
      </w:r>
      <w:r>
        <w:rPr>
          <w:rtl w:val="0"/>
          <w:lang w:val="en-US"/>
        </w:rPr>
        <w:t xml:space="preserve"> The dimensions of the preserved part of the papyrus are H 15 x W 7.5 cm; top margin 4 cm, left margin 2 cm; if the lower margin was also 4 cm, the complete sheet would have reached a height of 19 cm. The line spacing is also generous.</w:t>
      </w:r>
    </w:p>
  </w:footnote>
  <w:footnote w:id="33">
    <w:p>
      <w:pPr>
        <w:pStyle w:val="footnote text"/>
      </w:pPr>
      <w:r>
        <w:rPr>
          <w:vertAlign w:val="superscript"/>
        </w:rPr>
        <w:footnoteRef/>
      </w:r>
      <w:r>
        <w:rPr>
          <w:rtl w:val="0"/>
          <w:lang w:val="en-US"/>
        </w:rPr>
        <w:t xml:space="preserve"> The editor, William Brashear, calls it a </w:t>
      </w:r>
      <w:r>
        <w:rPr>
          <w:rtl w:val="0"/>
          <w:lang w:val="en-US"/>
        </w:rPr>
        <w:t>“</w:t>
      </w:r>
      <w:r>
        <w:rPr>
          <w:rtl w:val="0"/>
          <w:lang w:val="en-US"/>
        </w:rPr>
        <w:t xml:space="preserve">gigantic </w:t>
      </w:r>
      <w:r>
        <w:rPr>
          <w:i w:val="1"/>
          <w:iCs w:val="1"/>
          <w:rtl w:val="0"/>
          <w:lang w:val="en-US"/>
        </w:rPr>
        <w:t>post scriptum</w:t>
      </w:r>
      <w:r>
        <w:rPr>
          <w:rtl w:val="0"/>
          <w:lang w:val="en-US"/>
        </w:rPr>
        <w:t>”</w:t>
      </w:r>
      <w:r>
        <w:rPr>
          <w:rtl w:val="0"/>
          <w:lang w:val="en-US"/>
        </w:rPr>
        <w:t>.</w:t>
      </w:r>
    </w:p>
  </w:footnote>
  <w:footnote w:id="34">
    <w:p>
      <w:pPr>
        <w:pStyle w:val="footnote text"/>
      </w:pPr>
      <w:r>
        <w:rPr>
          <w:vertAlign w:val="superscript"/>
        </w:rPr>
        <w:footnoteRef/>
      </w:r>
      <w:r>
        <w:rPr>
          <w:rtl w:val="0"/>
          <w:lang w:val="en-US"/>
        </w:rPr>
        <w:t xml:space="preserve"> This sequence of operations is confirmed by </w:t>
      </w:r>
      <w:r>
        <w:rPr>
          <w:rStyle w:val="Hyperlink.2"/>
          <w:lang w:val="en-US"/>
        </w:rPr>
        <w:fldChar w:fldCharType="begin" w:fldLock="0"/>
      </w:r>
      <w:r>
        <w:rPr>
          <w:rStyle w:val="Hyperlink.2"/>
          <w:lang w:val="en-US"/>
        </w:rPr>
        <w:instrText xml:space="preserve"> HYPERLINK "https://papyri.info/hgv/18655"</w:instrText>
      </w:r>
      <w:r>
        <w:rPr>
          <w:rStyle w:val="Hyperlink.2"/>
          <w:lang w:val="en-US"/>
        </w:rPr>
        <w:fldChar w:fldCharType="separate" w:fldLock="0"/>
      </w:r>
      <w:r>
        <w:rPr>
          <w:rStyle w:val="Hyperlink.2"/>
          <w:rtl w:val="0"/>
          <w:lang w:val="en-US"/>
        </w:rPr>
        <w:t>BGU 4 1205</w:t>
      </w:r>
      <w:r>
        <w:rPr/>
        <w:fldChar w:fldCharType="end" w:fldLock="0"/>
      </w:r>
      <w:r>
        <w:rPr>
          <w:rtl w:val="0"/>
          <w:lang w:val="en-US"/>
        </w:rPr>
        <w:t xml:space="preserve"> (28 BCE, Bousiris [Herakleopolite nome]), where </w:t>
      </w:r>
      <w:r>
        <w:rPr>
          <w:rtl w:val="0"/>
          <w:lang w:val="en-US"/>
        </w:rPr>
        <w:t xml:space="preserve">– </w:t>
      </w:r>
      <w:r>
        <w:rPr>
          <w:rtl w:val="0"/>
          <w:lang w:val="en-US"/>
        </w:rPr>
        <w:t xml:space="preserve">at least </w:t>
      </w:r>
      <w:r>
        <w:rPr>
          <w:rtl w:val="0"/>
          <w:lang w:val="en-US"/>
        </w:rPr>
        <w:t xml:space="preserve">– </w:t>
      </w:r>
      <w:r>
        <w:rPr>
          <w:rtl w:val="0"/>
          <w:lang w:val="en-US"/>
        </w:rPr>
        <w:t xml:space="preserve">two private letters were written on the same roll, the second letter in two columns. The scribe had to complete the third column and place the final greeting </w:t>
      </w:r>
      <w:r>
        <w:rPr>
          <w:rtl w:val="0"/>
          <w:lang w:val="en-US"/>
        </w:rPr>
        <w:t>ἔρρωσο</w:t>
      </w:r>
      <w:r>
        <w:rPr>
          <w:rtl w:val="0"/>
          <w:lang w:val="en-US"/>
        </w:rPr>
        <w:t xml:space="preserve"> before cutting the sheet off from the roll. </w:t>
      </w:r>
      <w:r>
        <w:rPr>
          <w:rtl w:val="0"/>
          <w:lang w:val="en-US"/>
        </w:rPr>
        <w:t xml:space="preserve">In a later period, </w:t>
      </w:r>
      <w:r>
        <w:rPr>
          <w:rStyle w:val="Hyperlink.2"/>
          <w:lang w:val="en-US"/>
        </w:rPr>
        <w:fldChar w:fldCharType="begin" w:fldLock="0"/>
      </w:r>
      <w:r>
        <w:rPr>
          <w:rStyle w:val="Hyperlink.2"/>
          <w:lang w:val="en-US"/>
        </w:rPr>
        <w:instrText xml:space="preserve"> HYPERLINK "https://papyri.info/hgv/17107"</w:instrText>
      </w:r>
      <w:r>
        <w:rPr>
          <w:rStyle w:val="Hyperlink.2"/>
          <w:lang w:val="en-US"/>
        </w:rPr>
        <w:fldChar w:fldCharType="separate" w:fldLock="0"/>
      </w:r>
      <w:r>
        <w:rPr>
          <w:rStyle w:val="Hyperlink.2"/>
          <w:rtl w:val="0"/>
          <w:lang w:val="en-US"/>
        </w:rPr>
        <w:t>P.Sarap. 85</w:t>
      </w:r>
      <w:r>
        <w:rPr/>
        <w:fldChar w:fldCharType="end" w:fldLock="0"/>
      </w:r>
      <w:r>
        <w:rPr>
          <w:rtl w:val="0"/>
          <w:lang w:val="en-US"/>
        </w:rPr>
        <w:t>-</w:t>
      </w:r>
      <w:r>
        <w:rPr>
          <w:rStyle w:val="Hyperlink.2"/>
          <w:lang w:val="en-US"/>
        </w:rPr>
        <w:fldChar w:fldCharType="begin" w:fldLock="0"/>
      </w:r>
      <w:r>
        <w:rPr>
          <w:rStyle w:val="Hyperlink.2"/>
          <w:lang w:val="en-US"/>
        </w:rPr>
        <w:instrText xml:space="preserve"> HYPERLINK "https://papyri.info/hgv/17111"</w:instrText>
      </w:r>
      <w:r>
        <w:rPr>
          <w:rStyle w:val="Hyperlink.2"/>
          <w:lang w:val="en-US"/>
        </w:rPr>
        <w:fldChar w:fldCharType="separate" w:fldLock="0"/>
      </w:r>
      <w:r>
        <w:rPr>
          <w:rStyle w:val="Hyperlink.2"/>
          <w:rtl w:val="0"/>
          <w:lang w:val="en-US"/>
        </w:rPr>
        <w:t>89</w:t>
      </w:r>
      <w:r>
        <w:rPr/>
        <w:fldChar w:fldCharType="end" w:fldLock="0"/>
      </w:r>
      <w:r>
        <w:rPr>
          <w:rtl w:val="0"/>
          <w:lang w:val="en-US"/>
        </w:rPr>
        <w:t xml:space="preserve"> (90-133 CE, Alexandria [?]) is a series of five letters written by Heliodoros to his father Sarapion, his mother Selene, and to his brothers Eutychides, Anoubion, and Phibion. Heliodoros started a new column for each letter but did not cut them off the roll. Thus, the multiple letters reached his family in the form of a short roll.</w:t>
      </w:r>
    </w:p>
  </w:footnote>
  <w:footnote w:id="35">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"https://papyri.info/hgv/23323"</w:instrText>
      </w:r>
      <w:r>
        <w:rPr>
          <w:rStyle w:val="Link"/>
        </w:rPr>
        <w:fldChar w:fldCharType="separate" w:fldLock="0"/>
      </w:r>
      <w:r>
        <w:rPr>
          <w:rStyle w:val="Link"/>
          <w:rtl w:val="0"/>
        </w:rPr>
        <w:t>BGU 16 2600</w:t>
      </w:r>
      <w:r>
        <w:rPr/>
        <w:fldChar w:fldCharType="end" w:fldLock="0"/>
      </w:r>
      <w:r>
        <w:rPr>
          <w:rtl w:val="0"/>
          <w:lang w:val="en-US"/>
        </w:rPr>
        <w:t xml:space="preserve">; </w:t>
      </w:r>
      <w:r>
        <w:rPr>
          <w:rStyle w:val="Link"/>
        </w:rPr>
        <w:fldChar w:fldCharType="begin" w:fldLock="0"/>
      </w:r>
      <w:r>
        <w:rPr>
          <w:rStyle w:val="Link"/>
        </w:rPr>
        <w:instrText xml:space="preserve"> HYPERLINK "https://papyri.info/hgv/23333"</w:instrText>
      </w:r>
      <w:r>
        <w:rPr>
          <w:rStyle w:val="Link"/>
        </w:rPr>
        <w:fldChar w:fldCharType="separate" w:fldLock="0"/>
      </w:r>
      <w:r>
        <w:rPr>
          <w:rStyle w:val="Link"/>
          <w:rtl w:val="0"/>
        </w:rPr>
        <w:t>2610</w:t>
      </w:r>
      <w:r>
        <w:rPr/>
        <w:fldChar w:fldCharType="end" w:fldLock="0"/>
      </w:r>
      <w:r>
        <w:rPr>
          <w:rtl w:val="0"/>
          <w:lang w:val="en-US"/>
        </w:rPr>
        <w:t xml:space="preserve">; </w:t>
      </w:r>
      <w:r>
        <w:rPr>
          <w:rStyle w:val="Link"/>
        </w:rPr>
        <w:fldChar w:fldCharType="begin" w:fldLock="0"/>
      </w:r>
      <w:r>
        <w:rPr>
          <w:rStyle w:val="Link"/>
        </w:rPr>
        <w:instrText xml:space="preserve"> HYPERLINK "https://papyri.info/hgv/23361"</w:instrText>
      </w:r>
      <w:r>
        <w:rPr>
          <w:rStyle w:val="Link"/>
        </w:rPr>
        <w:fldChar w:fldCharType="separate" w:fldLock="0"/>
      </w:r>
      <w:r>
        <w:rPr>
          <w:rStyle w:val="Link"/>
          <w:rtl w:val="0"/>
        </w:rPr>
        <w:t>2637</w:t>
      </w:r>
      <w:r>
        <w:rPr/>
        <w:fldChar w:fldCharType="end" w:fldLock="0"/>
      </w:r>
      <w:r>
        <w:rPr>
          <w:rtl w:val="0"/>
          <w:lang w:val="en-US"/>
        </w:rPr>
        <w:t xml:space="preserve">; </w:t>
      </w:r>
      <w:r>
        <w:rPr>
          <w:rStyle w:val="Link"/>
        </w:rPr>
        <w:fldChar w:fldCharType="begin" w:fldLock="0"/>
      </w:r>
      <w:r>
        <w:rPr>
          <w:rStyle w:val="Link"/>
        </w:rPr>
        <w:instrText xml:space="preserve"> HYPERLINK "https://papyri.info/hgv/23364"</w:instrText>
      </w:r>
      <w:r>
        <w:rPr>
          <w:rStyle w:val="Link"/>
        </w:rPr>
        <w:fldChar w:fldCharType="separate" w:fldLock="0"/>
      </w:r>
      <w:r>
        <w:rPr>
          <w:rStyle w:val="Link"/>
          <w:rtl w:val="0"/>
        </w:rPr>
        <w:t>2640</w:t>
      </w:r>
      <w:r>
        <w:rPr/>
        <w:fldChar w:fldCharType="end" w:fldLock="0"/>
      </w:r>
      <w:r>
        <w:rPr>
          <w:rtl w:val="0"/>
          <w:lang w:val="en-US"/>
        </w:rPr>
        <w:t xml:space="preserve">; </w:t>
      </w:r>
      <w:r>
        <w:rPr>
          <w:rStyle w:val="Link"/>
        </w:rPr>
        <w:fldChar w:fldCharType="begin" w:fldLock="0"/>
      </w:r>
      <w:r>
        <w:rPr>
          <w:rStyle w:val="Link"/>
        </w:rPr>
        <w:instrText xml:space="preserve"> HYPERLINK "https://papyri.info/hgv/23375"</w:instrText>
      </w:r>
      <w:r>
        <w:rPr>
          <w:rStyle w:val="Link"/>
        </w:rPr>
        <w:fldChar w:fldCharType="separate" w:fldLock="0"/>
      </w:r>
      <w:r>
        <w:rPr>
          <w:rStyle w:val="Link"/>
          <w:rtl w:val="0"/>
        </w:rPr>
        <w:t>2651</w:t>
      </w:r>
      <w:r>
        <w:rPr/>
        <w:fldChar w:fldCharType="end" w:fldLock="0"/>
      </w:r>
      <w:r>
        <w:rPr>
          <w:rtl w:val="0"/>
          <w:lang w:val="en-US"/>
        </w:rPr>
        <w:t xml:space="preserve">; </w:t>
      </w:r>
      <w:r>
        <w:rPr>
          <w:rStyle w:val="Link"/>
        </w:rPr>
        <w:fldChar w:fldCharType="begin" w:fldLock="0"/>
      </w:r>
      <w:r>
        <w:rPr>
          <w:rStyle w:val="Link"/>
        </w:rPr>
        <w:instrText xml:space="preserve"> HYPERLINK "https://papyri.info/hgv/23377"</w:instrText>
      </w:r>
      <w:r>
        <w:rPr>
          <w:rStyle w:val="Link"/>
        </w:rPr>
        <w:fldChar w:fldCharType="separate" w:fldLock="0"/>
      </w:r>
      <w:r>
        <w:rPr>
          <w:rStyle w:val="Link"/>
          <w:rtl w:val="0"/>
        </w:rPr>
        <w:t>2653</w:t>
      </w:r>
      <w:r>
        <w:rPr/>
        <w:fldChar w:fldCharType="end" w:fldLock="0"/>
      </w:r>
      <w:r>
        <w:rPr>
          <w:rtl w:val="0"/>
          <w:lang w:val="en-US"/>
        </w:rPr>
        <w:t>.</w:t>
      </w:r>
    </w:p>
  </w:footnote>
  <w:footnote w:id="36">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"https://papyri.info/hgv/23364"</w:instrText>
      </w:r>
      <w:r>
        <w:rPr>
          <w:rStyle w:val="Link"/>
        </w:rPr>
        <w:fldChar w:fldCharType="separate" w:fldLock="0"/>
      </w:r>
      <w:r>
        <w:rPr>
          <w:rStyle w:val="Link"/>
          <w:rtl w:val="0"/>
        </w:rPr>
        <w:t>BGU 16 2640</w:t>
      </w:r>
      <w:r>
        <w:rPr/>
        <w:fldChar w:fldCharType="end" w:fldLock="0"/>
      </w:r>
      <w:r>
        <w:rPr>
          <w:rtl w:val="0"/>
          <w:lang w:val="en-US"/>
        </w:rPr>
        <w:t xml:space="preserve"> 1-2.</w:t>
      </w:r>
    </w:p>
  </w:footnote>
  <w:footnote w:id="37">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"https://papyri.info/hgv/23323"</w:instrText>
      </w:r>
      <w:r>
        <w:rPr>
          <w:rStyle w:val="Link"/>
        </w:rPr>
        <w:fldChar w:fldCharType="separate" w:fldLock="0"/>
      </w:r>
      <w:r>
        <w:rPr>
          <w:rStyle w:val="Link"/>
          <w:rtl w:val="0"/>
        </w:rPr>
        <w:t>BGU 16 2600</w:t>
      </w:r>
      <w:r>
        <w:rPr/>
        <w:fldChar w:fldCharType="end" w:fldLock="0"/>
      </w:r>
      <w:r>
        <w:rPr>
          <w:rtl w:val="0"/>
          <w:lang w:val="en-US"/>
        </w:rPr>
        <w:t xml:space="preserve">.19; </w:t>
      </w:r>
      <w:r>
        <w:rPr>
          <w:rStyle w:val="Link"/>
        </w:rPr>
        <w:fldChar w:fldCharType="begin" w:fldLock="0"/>
      </w:r>
      <w:r>
        <w:rPr>
          <w:rStyle w:val="Link"/>
        </w:rPr>
        <w:instrText xml:space="preserve"> HYPERLINK "https://papyri.info/hgv/23337"</w:instrText>
      </w:r>
      <w:r>
        <w:rPr>
          <w:rStyle w:val="Link"/>
        </w:rPr>
        <w:fldChar w:fldCharType="separate" w:fldLock="0"/>
      </w:r>
      <w:r>
        <w:rPr>
          <w:rStyle w:val="Link"/>
          <w:rtl w:val="0"/>
        </w:rPr>
        <w:t>2613</w:t>
      </w:r>
      <w:r>
        <w:rPr/>
        <w:fldChar w:fldCharType="end" w:fldLock="0"/>
      </w:r>
      <w:r>
        <w:rPr>
          <w:rtl w:val="0"/>
          <w:lang w:val="en-US"/>
        </w:rPr>
        <w:t xml:space="preserve">.9; </w:t>
      </w:r>
      <w:r>
        <w:rPr>
          <w:rStyle w:val="Link"/>
        </w:rPr>
        <w:fldChar w:fldCharType="begin" w:fldLock="0"/>
      </w:r>
      <w:r>
        <w:rPr>
          <w:rStyle w:val="Link"/>
        </w:rPr>
        <w:instrText xml:space="preserve"> HYPERLINK "https://papyri.info/hgv/23334"</w:instrText>
      </w:r>
      <w:r>
        <w:rPr>
          <w:rStyle w:val="Link"/>
        </w:rPr>
        <w:fldChar w:fldCharType="separate" w:fldLock="0"/>
      </w:r>
      <w:r>
        <w:rPr>
          <w:rStyle w:val="Link"/>
          <w:rtl w:val="0"/>
        </w:rPr>
        <w:t>2611</w:t>
      </w:r>
      <w:r>
        <w:rPr/>
        <w:fldChar w:fldCharType="end" w:fldLock="0"/>
      </w:r>
      <w:r>
        <w:rPr>
          <w:rtl w:val="0"/>
          <w:lang w:val="en-US"/>
        </w:rPr>
        <w:t xml:space="preserve">.14; </w:t>
      </w:r>
      <w:r>
        <w:rPr>
          <w:rStyle w:val="Link"/>
        </w:rPr>
        <w:fldChar w:fldCharType="begin" w:fldLock="0"/>
      </w:r>
      <w:r>
        <w:rPr>
          <w:rStyle w:val="Link"/>
        </w:rPr>
        <w:instrText xml:space="preserve"> HYPERLINK "https://papyri.info/hgv/23361"</w:instrText>
      </w:r>
      <w:r>
        <w:rPr>
          <w:rStyle w:val="Link"/>
        </w:rPr>
        <w:fldChar w:fldCharType="separate" w:fldLock="0"/>
      </w:r>
      <w:r>
        <w:rPr>
          <w:rStyle w:val="Link"/>
          <w:rtl w:val="0"/>
        </w:rPr>
        <w:t>2637</w:t>
      </w:r>
      <w:r>
        <w:rPr/>
        <w:fldChar w:fldCharType="end" w:fldLock="0"/>
      </w:r>
      <w:r>
        <w:rPr>
          <w:rtl w:val="0"/>
          <w:lang w:val="en-US"/>
        </w:rPr>
        <w:t xml:space="preserve">.12; </w:t>
      </w:r>
      <w:r>
        <w:rPr>
          <w:rStyle w:val="Link"/>
        </w:rPr>
        <w:fldChar w:fldCharType="begin" w:fldLock="0"/>
      </w:r>
      <w:r>
        <w:rPr>
          <w:rStyle w:val="Link"/>
        </w:rPr>
        <w:instrText xml:space="preserve"> HYPERLINK "https://papyri.info/hgv/23364"</w:instrText>
      </w:r>
      <w:r>
        <w:rPr>
          <w:rStyle w:val="Link"/>
        </w:rPr>
        <w:fldChar w:fldCharType="separate" w:fldLock="0"/>
      </w:r>
      <w:r>
        <w:rPr>
          <w:rStyle w:val="Link"/>
          <w:rtl w:val="0"/>
        </w:rPr>
        <w:t>2640</w:t>
      </w:r>
      <w:r>
        <w:rPr/>
        <w:fldChar w:fldCharType="end" w:fldLock="0"/>
      </w:r>
      <w:r>
        <w:rPr>
          <w:rtl w:val="0"/>
          <w:lang w:val="en-US"/>
        </w:rPr>
        <w:t xml:space="preserve">.9. </w:t>
      </w:r>
      <w:r>
        <w:rPr>
          <w:i w:val="1"/>
          <w:iCs w:val="1"/>
          <w:rtl w:val="0"/>
          <w:lang w:val="en-US"/>
        </w:rPr>
        <w:t>Paragraphoi</w:t>
      </w:r>
      <w:r>
        <w:rPr>
          <w:rtl w:val="0"/>
          <w:lang w:val="en-US"/>
        </w:rPr>
        <w:t xml:space="preserve"> also appear in other types of documents (see below), and they are not specific to the Herakleopolite nome or to Alexandria in this period: see e.g. </w:t>
      </w:r>
      <w:r>
        <w:rPr>
          <w:rStyle w:val="Link"/>
        </w:rPr>
        <w:fldChar w:fldCharType="begin" w:fldLock="0"/>
      </w:r>
      <w:r>
        <w:rPr>
          <w:rStyle w:val="Link"/>
        </w:rPr>
        <w:instrText xml:space="preserve"> HYPERLINK "https://papyri.info/hgv/170053"</w:instrText>
      </w:r>
      <w:r>
        <w:rPr>
          <w:rStyle w:val="Link"/>
        </w:rPr>
        <w:fldChar w:fldCharType="separate" w:fldLock="0"/>
      </w:r>
      <w:r>
        <w:rPr>
          <w:rStyle w:val="Link"/>
          <w:rtl w:val="0"/>
        </w:rPr>
        <w:t>P.Oxy. 78 5169</w:t>
      </w:r>
      <w:r>
        <w:rPr/>
        <w:fldChar w:fldCharType="end" w:fldLock="0"/>
      </w:r>
      <w:r>
        <w:rPr>
          <w:rtl w:val="0"/>
          <w:lang w:val="en-US"/>
        </w:rPr>
        <w:t xml:space="preserve">.21 (18 BCE, Oxyrhynchos, repayment of a loan); </w:t>
      </w:r>
      <w:r>
        <w:rPr>
          <w:rStyle w:val="Link"/>
          <w:rtl w:val="0"/>
        </w:rPr>
        <w:t>SB 12 10942</w:t>
      </w:r>
      <w:r>
        <w:rPr>
          <w:rtl w:val="0"/>
          <w:lang w:val="en-US"/>
        </w:rPr>
        <w:t>.36 (4 BCE, Oxyrhynchite nome, land lease contract).</w:t>
      </w:r>
    </w:p>
  </w:footnote>
  <w:footnote w:id="38">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"https://papyri.info/hgv/23323"</w:instrText>
      </w:r>
      <w:r>
        <w:rPr>
          <w:rStyle w:val="Hyperlink.0"/>
          <w:lang w:val="en-US"/>
        </w:rPr>
        <w:fldChar w:fldCharType="separate" w:fldLock="0"/>
      </w:r>
      <w:r>
        <w:rPr>
          <w:rStyle w:val="Hyperlink.0"/>
          <w:rtl w:val="0"/>
          <w:lang w:val="en-US"/>
        </w:rPr>
        <w:t>BGU 16 2600</w:t>
      </w:r>
      <w:r>
        <w:rPr>
          <w:lang w:val="en-US"/>
        </w:rPr>
        <w:fldChar w:fldCharType="end" w:fldLock="0"/>
      </w:r>
      <w:r>
        <w:rPr>
          <w:rtl w:val="0"/>
          <w:lang w:val="en-US"/>
        </w:rPr>
        <w:t xml:space="preserve">.19; </w:t>
      </w:r>
      <w:r>
        <w:rPr>
          <w:rStyle w:val="Hyperlink.0"/>
          <w:lang w:val="en-US"/>
        </w:rPr>
        <w:fldChar w:fldCharType="begin" w:fldLock="0"/>
      </w:r>
      <w:r>
        <w:rPr>
          <w:rStyle w:val="Hyperlink.0"/>
          <w:lang w:val="en-US"/>
        </w:rPr>
        <w:instrText xml:space="preserve"> HYPERLINK "https://papyri.info/hgv/23329"</w:instrText>
      </w:r>
      <w:r>
        <w:rPr>
          <w:rStyle w:val="Hyperlink.0"/>
          <w:lang w:val="en-US"/>
        </w:rPr>
        <w:fldChar w:fldCharType="separate" w:fldLock="0"/>
      </w:r>
      <w:r>
        <w:rPr>
          <w:rStyle w:val="Hyperlink.0"/>
          <w:rtl w:val="0"/>
          <w:lang w:val="en-US"/>
        </w:rPr>
        <w:t>2606</w:t>
      </w:r>
      <w:r>
        <w:rPr>
          <w:lang w:val="en-US"/>
        </w:rPr>
        <w:fldChar w:fldCharType="end" w:fldLock="0"/>
      </w:r>
      <w:r>
        <w:rPr>
          <w:rtl w:val="0"/>
          <w:lang w:val="en-US"/>
        </w:rPr>
        <w:t xml:space="preserve">.14-15; </w:t>
      </w:r>
      <w:r>
        <w:rPr>
          <w:rStyle w:val="Hyperlink.0"/>
          <w:lang w:val="en-US"/>
        </w:rPr>
        <w:fldChar w:fldCharType="begin" w:fldLock="0"/>
      </w:r>
      <w:r>
        <w:rPr>
          <w:rStyle w:val="Hyperlink.0"/>
          <w:lang w:val="en-US"/>
        </w:rPr>
        <w:instrText xml:space="preserve"> HYPERLINK "https://papyri.info/hgv/23332"</w:instrText>
      </w:r>
      <w:r>
        <w:rPr>
          <w:rStyle w:val="Hyperlink.0"/>
          <w:lang w:val="en-US"/>
        </w:rPr>
        <w:fldChar w:fldCharType="separate" w:fldLock="0"/>
      </w:r>
      <w:r>
        <w:rPr>
          <w:rStyle w:val="Hyperlink.0"/>
          <w:rtl w:val="0"/>
          <w:lang w:val="en-US"/>
        </w:rPr>
        <w:t>2609</w:t>
      </w:r>
      <w:r>
        <w:rPr>
          <w:lang w:val="en-US"/>
        </w:rPr>
        <w:fldChar w:fldCharType="end" w:fldLock="0"/>
      </w:r>
      <w:r>
        <w:rPr>
          <w:rtl w:val="0"/>
          <w:lang w:val="en-US"/>
        </w:rPr>
        <w:t xml:space="preserve">.6; </w:t>
      </w:r>
      <w:r>
        <w:rPr>
          <w:rStyle w:val="Hyperlink.0"/>
          <w:lang w:val="en-US"/>
        </w:rPr>
        <w:fldChar w:fldCharType="begin" w:fldLock="0"/>
      </w:r>
      <w:r>
        <w:rPr>
          <w:rStyle w:val="Hyperlink.0"/>
          <w:lang w:val="en-US"/>
        </w:rPr>
        <w:instrText xml:space="preserve"> HYPERLINK "https://papyri.info/hgv/23337"</w:instrText>
      </w:r>
      <w:r>
        <w:rPr>
          <w:rStyle w:val="Hyperlink.0"/>
          <w:lang w:val="en-US"/>
        </w:rPr>
        <w:fldChar w:fldCharType="separate" w:fldLock="0"/>
      </w:r>
      <w:r>
        <w:rPr>
          <w:rStyle w:val="Hyperlink.0"/>
          <w:rtl w:val="0"/>
          <w:lang w:val="en-US"/>
        </w:rPr>
        <w:t>2613</w:t>
      </w:r>
      <w:r>
        <w:rPr>
          <w:lang w:val="en-US"/>
        </w:rPr>
        <w:fldChar w:fldCharType="end" w:fldLock="0"/>
      </w:r>
      <w:r>
        <w:rPr>
          <w:rtl w:val="0"/>
          <w:lang w:val="en-US"/>
        </w:rPr>
        <w:t xml:space="preserve">.10; </w:t>
      </w:r>
      <w:r>
        <w:rPr>
          <w:rStyle w:val="Hyperlink.0"/>
          <w:lang w:val="en-US"/>
        </w:rPr>
        <w:fldChar w:fldCharType="begin" w:fldLock="0"/>
      </w:r>
      <w:r>
        <w:rPr>
          <w:rStyle w:val="Hyperlink.0"/>
          <w:lang w:val="en-US"/>
        </w:rPr>
        <w:instrText xml:space="preserve"> HYPERLINK "https://papyri.info/hgv/23334"</w:instrText>
      </w:r>
      <w:r>
        <w:rPr>
          <w:rStyle w:val="Hyperlink.0"/>
          <w:lang w:val="en-US"/>
        </w:rPr>
        <w:fldChar w:fldCharType="separate" w:fldLock="0"/>
      </w:r>
      <w:r>
        <w:rPr>
          <w:rStyle w:val="Hyperlink.0"/>
          <w:rtl w:val="0"/>
          <w:lang w:val="en-US"/>
        </w:rPr>
        <w:t>2611</w:t>
      </w:r>
      <w:r>
        <w:rPr>
          <w:lang w:val="en-US"/>
        </w:rPr>
        <w:fldChar w:fldCharType="end" w:fldLock="0"/>
      </w:r>
      <w:r>
        <w:rPr>
          <w:rtl w:val="0"/>
          <w:lang w:val="en-US"/>
        </w:rPr>
        <w:t xml:space="preserve">.15; </w:t>
      </w:r>
      <w:r>
        <w:rPr>
          <w:rStyle w:val="Hyperlink.0"/>
          <w:lang w:val="en-US"/>
        </w:rPr>
        <w:fldChar w:fldCharType="begin" w:fldLock="0"/>
      </w:r>
      <w:r>
        <w:rPr>
          <w:rStyle w:val="Hyperlink.0"/>
          <w:lang w:val="en-US"/>
        </w:rPr>
        <w:instrText xml:space="preserve"> HYPERLINK "https://papyri.info/hgv/23361"</w:instrText>
      </w:r>
      <w:r>
        <w:rPr>
          <w:rStyle w:val="Hyperlink.0"/>
          <w:lang w:val="en-US"/>
        </w:rPr>
        <w:fldChar w:fldCharType="separate" w:fldLock="0"/>
      </w:r>
      <w:r>
        <w:rPr>
          <w:rStyle w:val="Hyperlink.0"/>
          <w:rtl w:val="0"/>
          <w:lang w:val="en-US"/>
        </w:rPr>
        <w:t>2637</w:t>
      </w:r>
      <w:r>
        <w:rPr>
          <w:lang w:val="en-US"/>
        </w:rPr>
        <w:fldChar w:fldCharType="end" w:fldLock="0"/>
      </w:r>
      <w:r>
        <w:rPr>
          <w:rtl w:val="0"/>
          <w:lang w:val="en-US"/>
        </w:rPr>
        <w:t xml:space="preserve">.13; </w:t>
      </w:r>
      <w:r>
        <w:rPr>
          <w:rStyle w:val="Hyperlink.0"/>
          <w:lang w:val="en-US"/>
        </w:rPr>
        <w:fldChar w:fldCharType="begin" w:fldLock="0"/>
      </w:r>
      <w:r>
        <w:rPr>
          <w:rStyle w:val="Hyperlink.0"/>
          <w:lang w:val="en-US"/>
        </w:rPr>
        <w:instrText xml:space="preserve"> HYPERLINK "https://papyri.info/hgv/23364"</w:instrText>
      </w:r>
      <w:r>
        <w:rPr>
          <w:rStyle w:val="Hyperlink.0"/>
          <w:lang w:val="en-US"/>
        </w:rPr>
        <w:fldChar w:fldCharType="separate" w:fldLock="0"/>
      </w:r>
      <w:r>
        <w:rPr>
          <w:rStyle w:val="Hyperlink.0"/>
          <w:rtl w:val="0"/>
          <w:lang w:val="en-US"/>
        </w:rPr>
        <w:t>2640</w:t>
      </w:r>
      <w:r>
        <w:rPr>
          <w:lang w:val="en-US"/>
        </w:rPr>
        <w:fldChar w:fldCharType="end" w:fldLock="0"/>
      </w:r>
      <w:r>
        <w:rPr>
          <w:rtl w:val="0"/>
          <w:lang w:val="en-US"/>
        </w:rPr>
        <w:t xml:space="preserve">.10; </w:t>
      </w:r>
      <w:r>
        <w:rPr>
          <w:rStyle w:val="Hyperlink.0"/>
          <w:lang w:val="en-US"/>
        </w:rPr>
        <w:fldChar w:fldCharType="begin" w:fldLock="0"/>
      </w:r>
      <w:r>
        <w:rPr>
          <w:rStyle w:val="Hyperlink.0"/>
          <w:lang w:val="en-US"/>
        </w:rPr>
        <w:instrText xml:space="preserve"> HYPERLINK "https://papyri.info/hgv/23375"</w:instrText>
      </w:r>
      <w:r>
        <w:rPr>
          <w:rStyle w:val="Hyperlink.0"/>
          <w:lang w:val="en-US"/>
        </w:rPr>
        <w:fldChar w:fldCharType="separate" w:fldLock="0"/>
      </w:r>
      <w:r>
        <w:rPr>
          <w:rStyle w:val="Hyperlink.0"/>
          <w:rtl w:val="0"/>
          <w:lang w:val="en-US"/>
        </w:rPr>
        <w:t>2651</w:t>
      </w:r>
      <w:r>
        <w:rPr>
          <w:lang w:val="en-US"/>
        </w:rPr>
        <w:fldChar w:fldCharType="end" w:fldLock="0"/>
      </w:r>
      <w:r>
        <w:rPr>
          <w:rtl w:val="0"/>
          <w:lang w:val="en-US"/>
        </w:rPr>
        <w:t xml:space="preserve">.11; </w:t>
      </w:r>
      <w:r>
        <w:rPr>
          <w:rStyle w:val="Hyperlink.0"/>
          <w:lang w:val="en-US"/>
        </w:rPr>
        <w:fldChar w:fldCharType="begin" w:fldLock="0"/>
      </w:r>
      <w:r>
        <w:rPr>
          <w:rStyle w:val="Hyperlink.0"/>
          <w:lang w:val="en-US"/>
        </w:rPr>
        <w:instrText xml:space="preserve"> HYPERLINK "https://papyri.info/hgv/23378"</w:instrText>
      </w:r>
      <w:r>
        <w:rPr>
          <w:rStyle w:val="Hyperlink.0"/>
          <w:lang w:val="en-US"/>
        </w:rPr>
        <w:fldChar w:fldCharType="separate" w:fldLock="0"/>
      </w:r>
      <w:r>
        <w:rPr>
          <w:rStyle w:val="Hyperlink.0"/>
          <w:rtl w:val="0"/>
          <w:lang w:val="en-US"/>
        </w:rPr>
        <w:t>2654</w:t>
      </w:r>
      <w:r>
        <w:rPr>
          <w:lang w:val="en-US"/>
        </w:rPr>
        <w:fldChar w:fldCharType="end" w:fldLock="0"/>
      </w:r>
      <w:r>
        <w:rPr>
          <w:rtl w:val="0"/>
          <w:lang w:val="en-US"/>
        </w:rPr>
        <w:t>.10.</w:t>
      </w:r>
    </w:p>
  </w:footnote>
  <w:footnote w:id="39">
    <w:p>
      <w:pPr>
        <w:pStyle w:val="footnote text"/>
      </w:pPr>
      <w:r>
        <w:rPr>
          <w:vertAlign w:val="superscript"/>
          <w:lang w:val="en-US"/>
        </w:rPr>
        <w:footnoteRef/>
      </w:r>
      <w:r>
        <w:rPr>
          <w:rtl w:val="0"/>
          <w:lang w:val="en-US"/>
        </w:rPr>
        <w:t xml:space="preserve"> E.g. </w:t>
      </w:r>
      <w:r>
        <w:rPr>
          <w:rStyle w:val="Hyperlink.0"/>
          <w:lang w:val="en-US"/>
        </w:rPr>
        <w:fldChar w:fldCharType="begin" w:fldLock="0"/>
      </w:r>
      <w:r>
        <w:rPr>
          <w:rStyle w:val="Hyperlink.0"/>
          <w:lang w:val="en-US"/>
        </w:rPr>
        <w:instrText xml:space="preserve"> HYPERLINK "https://papyri.info/hgv/316209"</w:instrText>
      </w:r>
      <w:r>
        <w:rPr>
          <w:rStyle w:val="Hyperlink.0"/>
          <w:lang w:val="en-US"/>
        </w:rPr>
        <w:fldChar w:fldCharType="separate" w:fldLock="0"/>
      </w:r>
      <w:r>
        <w:rPr>
          <w:rStyle w:val="Hyperlink.0"/>
          <w:rtl w:val="0"/>
          <w:lang w:val="en-US"/>
        </w:rPr>
        <w:t>BGU 20 2846</w:t>
      </w:r>
      <w:r>
        <w:rPr>
          <w:lang w:val="en-US"/>
        </w:rPr>
        <w:fldChar w:fldCharType="end" w:fldLock="0"/>
      </w:r>
      <w:r>
        <w:rPr>
          <w:rtl w:val="0"/>
          <w:lang w:val="en-US"/>
        </w:rPr>
        <w:t xml:space="preserve"> (50-49 BCE, Herakleopolite nome). </w:t>
      </w:r>
      <w:r>
        <w:rPr>
          <w:rStyle w:val="Hyperlink.0"/>
          <w:lang w:val="en-US"/>
        </w:rPr>
        <w:fldChar w:fldCharType="begin" w:fldLock="0"/>
      </w:r>
      <w:r>
        <w:rPr>
          <w:rStyle w:val="Hyperlink.0"/>
          <w:lang w:val="en-US"/>
        </w:rPr>
        <w:instrText xml:space="preserve"> HYPERLINK "https://papyri.info/hgv/4850"</w:instrText>
      </w:r>
      <w:r>
        <w:rPr>
          <w:rStyle w:val="Hyperlink.0"/>
          <w:lang w:val="en-US"/>
        </w:rPr>
        <w:fldChar w:fldCharType="separate" w:fldLock="0"/>
      </w:r>
      <w:r>
        <w:rPr>
          <w:rStyle w:val="Hyperlink.0"/>
          <w:rtl w:val="0"/>
          <w:lang w:val="en-US"/>
        </w:rPr>
        <w:t>BGU 8 1769</w:t>
      </w:r>
      <w:r>
        <w:rPr>
          <w:lang w:val="en-US"/>
        </w:rPr>
        <w:fldChar w:fldCharType="end" w:fldLock="0"/>
      </w:r>
      <w:r>
        <w:rPr>
          <w:rtl w:val="0"/>
          <w:lang w:val="en-US"/>
        </w:rPr>
        <w:t xml:space="preserve"> (ca. 47 BCE, Herakleopolite nome), a letter, displays the old </w:t>
      </w:r>
      <w:r>
        <w:rPr>
          <w:i w:val="1"/>
          <w:iCs w:val="1"/>
          <w:rtl w:val="0"/>
          <w:lang w:val="en-US"/>
        </w:rPr>
        <w:t>transversa charta</w:t>
      </w:r>
      <w:r>
        <w:rPr>
          <w:rtl w:val="0"/>
          <w:lang w:val="en-US"/>
        </w:rPr>
        <w:t xml:space="preserve"> format in use in the earlier Ptolemaic period, but here the format is presumably a fossil, as it were. This letter pertains to the nomination of an official in charge of matters related to the </w:t>
      </w:r>
      <w:r>
        <w:rPr>
          <w:i w:val="1"/>
          <w:iCs w:val="1"/>
          <w:rtl w:val="0"/>
          <w:lang w:val="en-US"/>
        </w:rPr>
        <w:t>katoikoi</w:t>
      </w:r>
      <w:r>
        <w:rPr>
          <w:rtl w:val="0"/>
          <w:lang w:val="en-US"/>
        </w:rPr>
        <w:t xml:space="preserve">. For such documents, this format was maintained until the early third century CE; </w:t>
      </w:r>
      <w:r>
        <w:rPr>
          <w:rStyle w:val="Hyperlink.0"/>
          <w:lang w:val="en-US"/>
        </w:rPr>
        <w:fldChar w:fldCharType="begin" w:fldLock="0"/>
      </w:r>
      <w:r>
        <w:rPr>
          <w:rStyle w:val="Hyperlink.0"/>
          <w:lang w:val="en-US"/>
        </w:rPr>
        <w:instrText xml:space="preserve"> HYPERLINK "https://papyri.info/biblio/96190"</w:instrText>
      </w:r>
      <w:r>
        <w:rPr>
          <w:rStyle w:val="Hyperlink.0"/>
          <w:lang w:val="en-US"/>
        </w:rPr>
        <w:fldChar w:fldCharType="separate" w:fldLock="0"/>
      </w:r>
      <w:r>
        <w:rPr>
          <w:rStyle w:val="Hyperlink.0"/>
          <w:rtl w:val="0"/>
          <w:lang w:val="en-US"/>
        </w:rPr>
        <w:t>Ferretti et al. 2020</w:t>
      </w:r>
      <w:r>
        <w:rPr>
          <w:lang w:val="en-US"/>
        </w:rPr>
        <w:fldChar w:fldCharType="end" w:fldLock="0"/>
      </w:r>
      <w:r>
        <w:rPr>
          <w:rtl w:val="0"/>
          <w:lang w:val="en-US"/>
        </w:rPr>
        <w:t>.</w:t>
      </w:r>
    </w:p>
  </w:footnote>
  <w:footnote w:id="4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"https://papyri.info/biblio/50460"</w:instrText>
      </w:r>
      <w:r>
        <w:rPr>
          <w:rStyle w:val="Link"/>
        </w:rPr>
        <w:fldChar w:fldCharType="separate" w:fldLock="0"/>
      </w:r>
      <w:r>
        <w:rPr>
          <w:rStyle w:val="Link"/>
          <w:rtl w:val="0"/>
        </w:rPr>
        <w:t>Bagnall and Bogaert 1975</w:t>
      </w:r>
      <w:r>
        <w:rPr/>
        <w:fldChar w:fldCharType="end" w:fldLock="0"/>
      </w:r>
      <w:r>
        <w:rPr>
          <w:rtl w:val="0"/>
          <w:lang w:val="en-US"/>
        </w:rPr>
        <w:t>: 99-100.</w:t>
      </w:r>
    </w:p>
  </w:footnote>
  <w:footnote w:id="41">
    <w:p>
      <w:pPr>
        <w:pStyle w:val="footnote text"/>
      </w:pPr>
      <w:r>
        <w:rPr>
          <w:vertAlign w:val="superscript"/>
        </w:rPr>
        <w:footnoteRef/>
      </w:r>
      <w:r>
        <w:rPr>
          <w:rtl w:val="0"/>
          <w:lang w:val="en-US"/>
        </w:rPr>
        <w:t xml:space="preserve"> See </w:t>
      </w:r>
      <w:r>
        <w:rPr>
          <w:i w:val="1"/>
          <w:iCs w:val="1"/>
          <w:rtl w:val="0"/>
          <w:lang w:val="en-US"/>
        </w:rPr>
        <w:t>grammateus</w:t>
      </w:r>
      <w:r>
        <w:rPr>
          <w:rtl w:val="0"/>
          <w:lang w:val="en-US"/>
        </w:rPr>
        <w:t xml:space="preserve">, description of </w:t>
      </w:r>
      <w:r>
        <w:rPr>
          <w:rtl w:val="0"/>
          <w:lang w:val="en-US"/>
        </w:rPr>
        <w:t>‘</w:t>
      </w:r>
      <w:r>
        <w:rPr>
          <w:rtl w:val="0"/>
          <w:lang w:val="en-US"/>
        </w:rPr>
        <w:t>Order to pay</w:t>
      </w:r>
      <w:r>
        <w:rPr>
          <w:rtl w:val="0"/>
          <w:lang w:val="en-US"/>
        </w:rPr>
        <w:t>’</w:t>
      </w:r>
      <w:r>
        <w:rPr>
          <w:rtl w:val="0"/>
          <w:lang w:val="en-US"/>
        </w:rPr>
        <w:t xml:space="preserve">, </w:t>
      </w:r>
      <w:r>
        <w:rPr>
          <w:rStyle w:val="Link"/>
        </w:rPr>
        <w:fldChar w:fldCharType="begin" w:fldLock="0"/>
      </w:r>
      <w:r>
        <w:rPr>
          <w:rStyle w:val="Link"/>
        </w:rPr>
        <w:instrText xml:space="preserve"> HYPERLINK "https://doi.org/10/g6mk29"</w:instrText>
      </w:r>
      <w:r>
        <w:rPr>
          <w:rStyle w:val="Link"/>
        </w:rPr>
        <w:fldChar w:fldCharType="separate" w:fldLock="0"/>
      </w:r>
      <w:r>
        <w:rPr>
          <w:rStyle w:val="Link"/>
          <w:rtl w:val="0"/>
        </w:rPr>
        <w:t>Bonagura et al. 2023</w:t>
      </w:r>
      <w:r>
        <w:rPr/>
        <w:fldChar w:fldCharType="end" w:fldLock="0"/>
      </w:r>
      <w:r>
        <w:rPr>
          <w:rtl w:val="0"/>
          <w:lang w:val="en-US"/>
        </w:rPr>
        <w:t xml:space="preserve">. In the fifth century CE, e.g. </w:t>
      </w:r>
      <w:r>
        <w:rPr>
          <w:rStyle w:val="Link"/>
        </w:rPr>
        <w:fldChar w:fldCharType="begin" w:fldLock="0"/>
      </w:r>
      <w:r>
        <w:rPr>
          <w:rStyle w:val="Link"/>
        </w:rPr>
        <w:instrText xml:space="preserve"> HYPERLINK "https://papyri.info/hgv/15899"</w:instrText>
      </w:r>
      <w:r>
        <w:rPr>
          <w:rStyle w:val="Link"/>
        </w:rPr>
        <w:fldChar w:fldCharType="separate" w:fldLock="0"/>
      </w:r>
      <w:r>
        <w:rPr>
          <w:rStyle w:val="Link"/>
          <w:rtl w:val="0"/>
        </w:rPr>
        <w:t>P.Wisc. 2 63</w:t>
      </w:r>
      <w:r>
        <w:rPr/>
        <w:fldChar w:fldCharType="end" w:fldLock="0"/>
      </w:r>
      <w:r>
        <w:rPr>
          <w:rtl w:val="0"/>
          <w:lang w:val="en-US"/>
        </w:rPr>
        <w:t xml:space="preserve"> (410 CE, Oxyrhynchos).</w:t>
      </w:r>
    </w:p>
  </w:footnote>
  <w:footnote w:id="42">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"http://www.trismegistos.org/archive/111"</w:instrText>
      </w:r>
      <w:r>
        <w:rPr>
          <w:rStyle w:val="Hyperlink.0"/>
          <w:lang w:val="en-US"/>
        </w:rPr>
        <w:fldChar w:fldCharType="separate" w:fldLock="0"/>
      </w:r>
      <w:r>
        <w:rPr>
          <w:rStyle w:val="Hyperlink.0"/>
          <w:rtl w:val="0"/>
          <w:lang w:val="en-US"/>
        </w:rPr>
        <w:t>TM Archive 111</w:t>
      </w:r>
      <w:r>
        <w:rPr>
          <w:lang w:val="en-US"/>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"https://papyri.info/biblio/19012"</w:instrText>
      </w:r>
      <w:r>
        <w:rPr>
          <w:rStyle w:val="Hyperlink.0"/>
          <w:lang w:val="en-US"/>
        </w:rPr>
        <w:fldChar w:fldCharType="separate" w:fldLock="0"/>
      </w:r>
      <w:r>
        <w:rPr>
          <w:rStyle w:val="Hyperlink.0"/>
          <w:rtl w:val="0"/>
          <w:lang w:val="en-US"/>
        </w:rPr>
        <w:t>Bagnall and Cribiore 2006</w:t>
      </w:r>
      <w:r>
        <w:rPr>
          <w:lang w:val="en-US"/>
        </w:rPr>
        <w:fldChar w:fldCharType="end" w:fldLock="0"/>
      </w:r>
      <w:r>
        <w:rPr>
          <w:rtl w:val="0"/>
          <w:lang w:val="en-US"/>
        </w:rPr>
        <w:t>: 114-122.</w:t>
      </w:r>
    </w:p>
  </w:footnote>
  <w:footnote w:id="43">
    <w:p>
      <w:pPr>
        <w:pStyle w:val="footnote text"/>
      </w:pPr>
      <w:r>
        <w:rPr>
          <w:vertAlign w:val="superscript"/>
        </w:rPr>
        <w:footnoteRef/>
      </w:r>
      <w:r>
        <w:rPr>
          <w:rtl w:val="0"/>
          <w:lang w:val="en-US"/>
        </w:rPr>
        <w:t xml:space="preserve"> </w:t>
      </w:r>
      <w:r>
        <w:rPr>
          <w:rtl w:val="0"/>
          <w:lang w:val="en-US"/>
        </w:rPr>
        <w:t xml:space="preserve">An update on the location of the documents belonging to this small archive is provided by </w:t>
      </w:r>
      <w:r>
        <w:rPr>
          <w:rStyle w:val="Hyperlink.0"/>
          <w:lang w:val="en-US"/>
        </w:rPr>
        <w:fldChar w:fldCharType="begin" w:fldLock="0"/>
      </w:r>
      <w:r>
        <w:rPr>
          <w:rStyle w:val="Hyperlink.0"/>
          <w:lang w:val="en-US"/>
        </w:rPr>
        <w:instrText xml:space="preserve"> HYPERLINK "https://doi.org/10.18452/21422"</w:instrText>
      </w:r>
      <w:r>
        <w:rPr>
          <w:rStyle w:val="Hyperlink.0"/>
          <w:lang w:val="en-US"/>
        </w:rPr>
        <w:fldChar w:fldCharType="separate" w:fldLock="0"/>
      </w:r>
      <w:r>
        <w:rPr>
          <w:rStyle w:val="Hyperlink.0"/>
          <w:rtl w:val="0"/>
          <w:lang w:val="en-US"/>
        </w:rPr>
        <w:t>Monte 2018</w:t>
      </w:r>
      <w:r>
        <w:rPr/>
        <w:fldChar w:fldCharType="end" w:fldLock="0"/>
      </w:r>
      <w:r>
        <w:rPr>
          <w:rtl w:val="0"/>
          <w:lang w:val="en-US"/>
        </w:rPr>
        <w:t>: 125-126.</w:t>
      </w:r>
    </w:p>
  </w:footnote>
  <w:footnote w:id="44">
    <w:p>
      <w:pPr>
        <w:pStyle w:val="footnote text"/>
      </w:pPr>
      <w:r>
        <w:rPr>
          <w:vertAlign w:val="superscript"/>
        </w:rPr>
        <w:footnoteRef/>
      </w:r>
      <w:r>
        <w:rPr>
          <w:rtl w:val="0"/>
          <w:lang w:val="en-US"/>
        </w:rPr>
        <w:t xml:space="preserve"> </w:t>
      </w:r>
      <w:r>
        <w:rPr>
          <w:rtl w:val="0"/>
          <w:lang w:val="en-US"/>
        </w:rPr>
        <w:t xml:space="preserve">Her level of proficiency may be compared to that of the scribe who wrote </w:t>
      </w:r>
      <w:r>
        <w:rPr>
          <w:rStyle w:val="Hyperlink.0"/>
          <w:lang w:val="en-US"/>
        </w:rPr>
        <w:fldChar w:fldCharType="begin" w:fldLock="0"/>
      </w:r>
      <w:r>
        <w:rPr>
          <w:rStyle w:val="Hyperlink.0"/>
          <w:lang w:val="en-US"/>
        </w:rPr>
        <w:instrText xml:space="preserve"> HYPERLINK "https://papyri.info/hgv/989488"</w:instrText>
      </w:r>
      <w:r>
        <w:rPr>
          <w:rStyle w:val="Hyperlink.0"/>
          <w:lang w:val="en-US"/>
        </w:rPr>
        <w:fldChar w:fldCharType="separate" w:fldLock="0"/>
      </w:r>
      <w:r>
        <w:rPr>
          <w:rStyle w:val="Hyperlink.0"/>
          <w:rtl w:val="0"/>
          <w:lang w:val="en-US"/>
        </w:rPr>
        <w:t>P.W</w:t>
      </w:r>
      <w:r>
        <w:rPr>
          <w:rStyle w:val="Hyperlink.0"/>
          <w:rtl w:val="0"/>
          <w:lang w:val="en-US"/>
        </w:rPr>
        <w:t>ü</w:t>
      </w:r>
      <w:r>
        <w:rPr>
          <w:rStyle w:val="Hyperlink.0"/>
          <w:rtl w:val="0"/>
          <w:lang w:val="en-US"/>
        </w:rPr>
        <w:t>rzb. 2 39</w:t>
      </w:r>
      <w:r>
        <w:rPr/>
        <w:fldChar w:fldCharType="end" w:fldLock="0"/>
      </w:r>
      <w:r>
        <w:rPr>
          <w:rtl w:val="0"/>
          <w:lang w:val="en-US"/>
        </w:rPr>
        <w:t xml:space="preserve"> (16 CE, Oxyrhynchite nome).</w:t>
      </w:r>
    </w:p>
  </w:footnote>
  <w:footnote w:id="45">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"https://papyri.info/biblio/19012"</w:instrText>
      </w:r>
      <w:r>
        <w:rPr>
          <w:rStyle w:val="Link"/>
        </w:rPr>
        <w:fldChar w:fldCharType="separate" w:fldLock="0"/>
      </w:r>
      <w:r>
        <w:rPr>
          <w:rStyle w:val="Link"/>
          <w:rtl w:val="0"/>
        </w:rPr>
        <w:t>Bagnall and Cribiore 2006</w:t>
      </w:r>
      <w:r>
        <w:rPr/>
        <w:fldChar w:fldCharType="end" w:fldLock="0"/>
      </w:r>
      <w:r>
        <w:rPr>
          <w:rtl w:val="0"/>
          <w:lang w:val="en-US"/>
        </w:rPr>
        <w:t xml:space="preserve">: 119 state that </w:t>
      </w:r>
      <w:r>
        <w:rPr>
          <w:rtl w:val="0"/>
          <w:lang w:val="en-US"/>
        </w:rPr>
        <w:t>“</w:t>
      </w:r>
      <w:r>
        <w:rPr>
          <w:rtl w:val="0"/>
          <w:lang w:val="en-US"/>
        </w:rPr>
        <w:t>the writer visibly grows tired as the letter proceeds so that legibility is difficult toward the end.</w:t>
      </w:r>
      <w:r>
        <w:rPr>
          <w:rtl w:val="0"/>
          <w:lang w:val="en-US"/>
        </w:rPr>
        <w:t>”</w:t>
      </w:r>
    </w:p>
  </w:footnote>
  <w:footnote w:id="46">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"http://www.trismegistos.org/archive/156"</w:instrText>
      </w:r>
      <w:r>
        <w:rPr>
          <w:rStyle w:val="Link"/>
        </w:rPr>
        <w:fldChar w:fldCharType="separate" w:fldLock="0"/>
      </w:r>
      <w:r>
        <w:rPr>
          <w:rStyle w:val="Link"/>
          <w:rtl w:val="0"/>
        </w:rPr>
        <w:t>TM Archive 156</w:t>
      </w:r>
      <w:r>
        <w:rPr/>
        <w:fldChar w:fldCharType="end" w:fldLock="0"/>
      </w:r>
      <w:r>
        <w:rPr>
          <w:rtl w:val="0"/>
          <w:lang w:val="en-US"/>
        </w:rPr>
        <w:t>.</w:t>
      </w:r>
    </w:p>
  </w:footnote>
  <w:footnote w:id="47">
    <w:p>
      <w:pPr>
        <w:pStyle w:val="footnote text"/>
      </w:pPr>
      <w:r>
        <w:rPr>
          <w:vertAlign w:val="superscript"/>
        </w:rPr>
        <w:footnoteRef/>
      </w:r>
      <w:r>
        <w:rPr>
          <w:rtl w:val="0"/>
          <w:lang w:val="en-US"/>
        </w:rPr>
        <w:t xml:space="preserve"> The bulk of those petitions is to be found in </w:t>
      </w:r>
      <w:r>
        <w:rPr>
          <w:rStyle w:val="Link"/>
        </w:rPr>
        <w:fldChar w:fldCharType="begin" w:fldLock="0"/>
      </w:r>
      <w:r>
        <w:rPr>
          <w:rStyle w:val="Link"/>
        </w:rPr>
        <w:instrText xml:space="preserve"> HYPERLINK "https://papyri.info/hgv/4892"</w:instrText>
      </w:r>
      <w:r>
        <w:rPr>
          <w:rStyle w:val="Link"/>
        </w:rPr>
        <w:fldChar w:fldCharType="separate" w:fldLock="0"/>
      </w:r>
      <w:r>
        <w:rPr>
          <w:rStyle w:val="Link"/>
          <w:rtl w:val="0"/>
        </w:rPr>
        <w:t>BGU 8 1813</w:t>
      </w:r>
      <w:r>
        <w:rPr/>
        <w:fldChar w:fldCharType="end" w:fldLock="0"/>
      </w:r>
      <w:r>
        <w:rPr>
          <w:rtl w:val="0"/>
          <w:lang w:val="en-US"/>
        </w:rPr>
        <w:t>-</w:t>
      </w:r>
      <w:r>
        <w:rPr>
          <w:rStyle w:val="Link"/>
        </w:rPr>
        <w:fldChar w:fldCharType="begin" w:fldLock="0"/>
      </w:r>
      <w:r>
        <w:rPr>
          <w:rStyle w:val="Link"/>
        </w:rPr>
        <w:instrText xml:space="preserve"> HYPERLINK "https://papyri.info/hgv/4949"</w:instrText>
      </w:r>
      <w:r>
        <w:rPr>
          <w:rStyle w:val="Link"/>
        </w:rPr>
        <w:fldChar w:fldCharType="separate" w:fldLock="0"/>
      </w:r>
      <w:r>
        <w:rPr>
          <w:rStyle w:val="Link"/>
          <w:rtl w:val="0"/>
        </w:rPr>
        <w:t>1870</w:t>
      </w:r>
      <w:r>
        <w:rPr/>
        <w:fldChar w:fldCharType="end" w:fldLock="0"/>
      </w:r>
      <w:r>
        <w:rPr>
          <w:rtl w:val="0"/>
          <w:lang w:val="en-US"/>
        </w:rPr>
        <w:t xml:space="preserve">; add </w:t>
      </w:r>
      <w:r>
        <w:rPr>
          <w:rStyle w:val="Link"/>
        </w:rPr>
        <w:fldChar w:fldCharType="begin" w:fldLock="0"/>
      </w:r>
      <w:r>
        <w:rPr>
          <w:rStyle w:val="Link"/>
        </w:rPr>
        <w:instrText xml:space="preserve"> HYPERLINK "https://papyri.info/hgv/316208"</w:instrText>
      </w:r>
      <w:r>
        <w:rPr>
          <w:rStyle w:val="Link"/>
        </w:rPr>
        <w:fldChar w:fldCharType="separate" w:fldLock="0"/>
      </w:r>
      <w:r>
        <w:rPr>
          <w:rStyle w:val="Link"/>
          <w:rtl w:val="0"/>
        </w:rPr>
        <w:t>BGU 20 2845</w:t>
      </w:r>
      <w:r>
        <w:rPr/>
        <w:fldChar w:fldCharType="end" w:fldLock="0"/>
      </w:r>
      <w:r>
        <w:rPr>
          <w:rtl w:val="0"/>
          <w:lang w:val="en-US"/>
        </w:rPr>
        <w:t xml:space="preserve"> and </w:t>
      </w:r>
      <w:r>
        <w:rPr>
          <w:rStyle w:val="Link"/>
        </w:rPr>
        <w:fldChar w:fldCharType="begin" w:fldLock="0"/>
      </w:r>
      <w:r>
        <w:rPr>
          <w:rStyle w:val="Link"/>
        </w:rPr>
        <w:instrText xml:space="preserve"> HYPERLINK "https://papyri.info/hgv/4844"</w:instrText>
      </w:r>
      <w:r>
        <w:rPr>
          <w:rStyle w:val="Link"/>
        </w:rPr>
        <w:fldChar w:fldCharType="separate" w:fldLock="0"/>
      </w:r>
      <w:r>
        <w:rPr>
          <w:rStyle w:val="Link"/>
          <w:rtl w:val="0"/>
        </w:rPr>
        <w:t>2847</w:t>
      </w:r>
      <w:r>
        <w:rPr/>
        <w:fldChar w:fldCharType="end" w:fldLock="0"/>
      </w:r>
      <w:r>
        <w:rPr>
          <w:rtl w:val="0"/>
          <w:lang w:val="en-US"/>
        </w:rPr>
        <w:t xml:space="preserve">; </w:t>
      </w:r>
      <w:r>
        <w:rPr>
          <w:rStyle w:val="Link"/>
        </w:rPr>
        <w:fldChar w:fldCharType="begin" w:fldLock="0"/>
      </w:r>
      <w:r>
        <w:rPr>
          <w:rStyle w:val="Link"/>
        </w:rPr>
        <w:instrText xml:space="preserve"> HYPERLINK "https://papyri.info/hgv/5721"</w:instrText>
      </w:r>
      <w:r>
        <w:rPr>
          <w:rStyle w:val="Link"/>
        </w:rPr>
        <w:fldChar w:fldCharType="separate" w:fldLock="0"/>
      </w:r>
      <w:r>
        <w:rPr>
          <w:rStyle w:val="Link"/>
          <w:rtl w:val="0"/>
        </w:rPr>
        <w:t>SB 6 9065</w:t>
      </w:r>
      <w:r>
        <w:rPr/>
        <w:fldChar w:fldCharType="end" w:fldLock="0"/>
      </w:r>
      <w:r>
        <w:rPr>
          <w:rtl w:val="0"/>
          <w:lang w:val="en-US"/>
        </w:rPr>
        <w:t>.</w:t>
      </w:r>
    </w:p>
  </w:footnote>
  <w:footnote w:id="48">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"https://papyri.info/biblio/97504"</w:instrText>
      </w:r>
      <w:r>
        <w:rPr>
          <w:rStyle w:val="Hyperlink.0"/>
          <w:lang w:val="en-US"/>
        </w:rPr>
        <w:fldChar w:fldCharType="separate" w:fldLock="0"/>
      </w:r>
      <w:r>
        <w:rPr>
          <w:rStyle w:val="Hyperlink.0"/>
          <w:rtl w:val="0"/>
          <w:lang w:val="en-US"/>
        </w:rPr>
        <w:t>Ferretti 2024</w:t>
      </w:r>
      <w:r>
        <w:rPr/>
        <w:fldChar w:fldCharType="end" w:fldLock="0"/>
      </w:r>
      <w:r>
        <w:rPr>
          <w:rtl w:val="0"/>
          <w:lang w:val="en-US"/>
        </w:rPr>
        <w:t>: 130-141.</w:t>
      </w:r>
    </w:p>
  </w:footnote>
  <w:footnote w:id="49">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"https://papyri.info/hgv/23325"</w:instrText>
      </w:r>
      <w:r>
        <w:rPr>
          <w:rStyle w:val="Link"/>
        </w:rPr>
        <w:fldChar w:fldCharType="separate" w:fldLock="0"/>
      </w:r>
      <w:r>
        <w:rPr>
          <w:rStyle w:val="Link"/>
          <w:rtl w:val="0"/>
        </w:rPr>
        <w:t>BGU 16 2602</w:t>
      </w:r>
      <w:r>
        <w:rPr/>
        <w:fldChar w:fldCharType="end" w:fldLock="0"/>
      </w:r>
      <w:r>
        <w:rPr>
          <w:rtl w:val="0"/>
          <w:lang w:val="en-US"/>
        </w:rPr>
        <w:t xml:space="preserve"> (ca. 14-13 BCE, Techtho [Herakleopolite nome]); </w:t>
      </w:r>
      <w:r>
        <w:rPr>
          <w:rStyle w:val="Link"/>
        </w:rPr>
        <w:fldChar w:fldCharType="begin" w:fldLock="0"/>
      </w:r>
      <w:r>
        <w:rPr>
          <w:rStyle w:val="Link"/>
        </w:rPr>
        <w:instrText xml:space="preserve"> HYPERLINK "https://papyri.info/biblio/96192"</w:instrText>
      </w:r>
      <w:r>
        <w:rPr>
          <w:rStyle w:val="Link"/>
        </w:rPr>
        <w:fldChar w:fldCharType="separate" w:fldLock="0"/>
      </w:r>
      <w:r>
        <w:rPr>
          <w:rStyle w:val="Link"/>
          <w:rtl w:val="0"/>
        </w:rPr>
        <w:t>Mascellari 2021</w:t>
      </w:r>
      <w:r>
        <w:rPr/>
        <w:fldChar w:fldCharType="end" w:fldLock="0"/>
      </w:r>
      <w:r>
        <w:rPr>
          <w:rtl w:val="0"/>
          <w:lang w:val="en-US"/>
        </w:rPr>
        <w:t>: 48-49, 746, and 1007.</w:t>
      </w:r>
    </w:p>
  </w:footnote>
  <w:footnote w:id="50">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"https://papyri.info/biblio/97510"</w:instrText>
      </w:r>
      <w:r>
        <w:rPr>
          <w:rStyle w:val="Hyperlink.0"/>
          <w:lang w:val="en-US"/>
        </w:rPr>
        <w:fldChar w:fldCharType="separate" w:fldLock="0"/>
      </w:r>
      <w:r>
        <w:rPr>
          <w:rStyle w:val="Hyperlink.0"/>
          <w:rtl w:val="0"/>
          <w:lang w:val="en-US"/>
        </w:rPr>
        <w:t>Ferretti et al. 2023a</w:t>
      </w:r>
      <w:r>
        <w:rPr>
          <w:lang w:val="en-US"/>
        </w:rPr>
        <w:fldChar w:fldCharType="end" w:fldLock="0"/>
      </w:r>
      <w:r>
        <w:rPr>
          <w:rtl w:val="0"/>
          <w:lang w:val="en-US"/>
        </w:rPr>
        <w:t xml:space="preserve">; </w:t>
      </w:r>
      <w:r>
        <w:rPr>
          <w:rStyle w:val="Link"/>
          <w:lang w:val="en-US"/>
        </w:rPr>
        <w:fldChar w:fldCharType="begin" w:fldLock="0"/>
      </w:r>
      <w:r>
        <w:rPr>
          <w:rStyle w:val="Link"/>
          <w:lang w:val="en-US"/>
        </w:rPr>
        <w:instrText xml:space="preserve"> HYPERLINK "https://papyri.info/biblio/97504"</w:instrText>
      </w:r>
      <w:r>
        <w:rPr>
          <w:rStyle w:val="Link"/>
          <w:lang w:val="en-US"/>
        </w:rPr>
        <w:fldChar w:fldCharType="separate" w:fldLock="0"/>
      </w:r>
      <w:r>
        <w:rPr>
          <w:rStyle w:val="Link"/>
          <w:rtl w:val="0"/>
          <w:lang w:val="en-US"/>
        </w:rPr>
        <w:t>Ferretti 2024</w:t>
      </w:r>
      <w:r>
        <w:rPr>
          <w:lang w:val="en-US"/>
        </w:rPr>
        <w:fldChar w:fldCharType="end" w:fldLock="0"/>
      </w:r>
      <w:r>
        <w:rPr>
          <w:rtl w:val="0"/>
          <w:lang w:val="en-US"/>
        </w:rPr>
        <w:t>: 190-191.</w:t>
      </w:r>
    </w:p>
  </w:footnote>
  <w:footnote w:id="51">
    <w:p>
      <w:pPr>
        <w:pStyle w:val="footnote text"/>
      </w:pPr>
      <w:r>
        <w:rPr>
          <w:vertAlign w:val="superscript"/>
        </w:rPr>
        <w:footnoteRef/>
      </w:r>
      <w:r>
        <w:rPr>
          <w:rtl w:val="0"/>
          <w:lang w:val="en-US"/>
        </w:rPr>
        <w:t xml:space="preserve"> </w:t>
      </w:r>
      <w:r>
        <w:rPr>
          <w:rStyle w:val="Hyperlink.0"/>
        </w:rPr>
        <w:fldChar w:fldCharType="begin" w:fldLock="0"/>
      </w:r>
      <w:r>
        <w:rPr>
          <w:rStyle w:val="Hyperlink.0"/>
        </w:rPr>
        <w:instrText xml:space="preserve"> HYPERLINK "https://papyri.info/biblio/97504"</w:instrText>
      </w:r>
      <w:r>
        <w:rPr>
          <w:rStyle w:val="Hyperlink.0"/>
        </w:rPr>
        <w:fldChar w:fldCharType="separate" w:fldLock="0"/>
      </w:r>
      <w:r>
        <w:rPr>
          <w:rStyle w:val="Hyperlink.0"/>
          <w:rtl w:val="0"/>
        </w:rPr>
        <w:t>Ferretti 2024</w:t>
      </w:r>
      <w:r>
        <w:rPr/>
        <w:fldChar w:fldCharType="end" w:fldLock="0"/>
      </w:r>
      <w:r>
        <w:rPr>
          <w:rtl w:val="0"/>
          <w:lang w:val="en-US"/>
        </w:rPr>
        <w:t>: 165-166.</w:t>
      </w:r>
    </w:p>
  </w:footnote>
  <w:footnote w:id="52">
    <w:p>
      <w:pPr>
        <w:pStyle w:val="footnote text"/>
      </w:pPr>
      <w:r>
        <w:rPr>
          <w:vertAlign w:val="superscript"/>
        </w:rPr>
        <w:footnoteRef/>
      </w:r>
      <w:r>
        <w:rPr>
          <w:rtl w:val="0"/>
          <w:lang w:val="en-US"/>
        </w:rPr>
        <w:t xml:space="preserve"> A similar observation can be made among tax receipts on ostraca, where specific elements that occur in the Augustan period are also to be found at an earlier date. </w:t>
      </w:r>
      <w:r>
        <w:rPr>
          <w:rtl w:val="0"/>
          <w:lang w:val="de-DE"/>
        </w:rPr>
        <w:t xml:space="preserve">Wilcken 1899: 88-89: </w:t>
      </w:r>
      <w:r>
        <w:rPr>
          <w:rtl w:val="0"/>
          <w:lang w:val="de-DE"/>
        </w:rPr>
        <w:t>“</w:t>
      </w:r>
      <w:r>
        <w:rPr>
          <w:rtl w:val="0"/>
          <w:lang w:val="de-DE"/>
        </w:rPr>
        <w:t>Ich will hier ein f</w:t>
      </w:r>
      <w:r>
        <w:rPr>
          <w:rtl w:val="0"/>
          <w:lang w:val="de-DE"/>
        </w:rPr>
        <w:t>ü</w:t>
      </w:r>
      <w:r>
        <w:rPr>
          <w:rtl w:val="0"/>
          <w:lang w:val="de-DE"/>
        </w:rPr>
        <w:t>r alle Mal einschieben, dass, was uns als neu unter Augustus entgegentritt, vielleicht schon im I. Jahrhundert v. Chr. unter den Ptolem</w:t>
      </w:r>
      <w:r>
        <w:rPr>
          <w:rtl w:val="0"/>
          <w:lang w:val="de-DE"/>
        </w:rPr>
        <w:t>ä</w:t>
      </w:r>
      <w:r>
        <w:rPr>
          <w:rtl w:val="0"/>
          <w:lang w:val="de-DE"/>
        </w:rPr>
        <w:t>ern Brauch gewesen ist.</w:t>
      </w:r>
      <w:r>
        <w:rPr>
          <w:rtl w:val="0"/>
          <w:lang w:val="de-DE"/>
        </w:rPr>
        <w:t>”</w:t>
      </w:r>
    </w:p>
  </w:footnote>
  <w:footnote w:id="53">
    <w:p>
      <w:pPr>
        <w:pStyle w:val="footnote text"/>
      </w:pPr>
      <w:r>
        <w:rPr>
          <w:vertAlign w:val="superscript"/>
        </w:rPr>
        <w:footnoteRef/>
      </w:r>
      <w:r>
        <w:rPr>
          <w:rtl w:val="0"/>
          <w:lang w:val="en-US"/>
        </w:rPr>
        <w:t xml:space="preserve"> </w:t>
      </w:r>
      <w:r>
        <w:rPr>
          <w:rtl w:val="0"/>
          <w:lang w:val="en-US"/>
        </w:rPr>
        <w:t xml:space="preserve">On the chronological dimension, </w:t>
      </w:r>
      <w:r>
        <w:rPr>
          <w:rStyle w:val="Hyperlink.0"/>
          <w:lang w:val="en-US"/>
        </w:rPr>
        <w:fldChar w:fldCharType="begin" w:fldLock="0"/>
      </w:r>
      <w:r>
        <w:rPr>
          <w:rStyle w:val="Hyperlink.0"/>
          <w:lang w:val="en-US"/>
        </w:rPr>
        <w:instrText xml:space="preserve"> HYPERLINK "https://papyri.info/biblio/97504"</w:instrText>
      </w:r>
      <w:r>
        <w:rPr>
          <w:rStyle w:val="Hyperlink.0"/>
          <w:lang w:val="en-US"/>
        </w:rPr>
        <w:fldChar w:fldCharType="separate" w:fldLock="0"/>
      </w:r>
      <w:r>
        <w:rPr>
          <w:rStyle w:val="Hyperlink.0"/>
          <w:rtl w:val="0"/>
          <w:lang w:val="en-US"/>
        </w:rPr>
        <w:t>Ferretti 2024</w:t>
      </w:r>
      <w:r>
        <w:rPr/>
        <w:fldChar w:fldCharType="end" w:fldLock="0"/>
      </w:r>
      <w:r>
        <w:rPr>
          <w:rtl w:val="0"/>
          <w:lang w:val="en-US"/>
        </w:rPr>
        <w:t>: 196-200.</w:t>
      </w:r>
    </w:p>
  </w:footnote>
  <w:footnote w:id="54">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"https://papyri.info/biblio/97504"</w:instrText>
      </w:r>
      <w:r>
        <w:rPr>
          <w:rStyle w:val="Hyperlink.0"/>
          <w:lang w:val="en-US"/>
        </w:rPr>
        <w:fldChar w:fldCharType="separate" w:fldLock="0"/>
      </w:r>
      <w:r>
        <w:rPr>
          <w:rStyle w:val="Hyperlink.0"/>
          <w:rtl w:val="0"/>
          <w:lang w:val="en-US"/>
        </w:rPr>
        <w:t>Ferretti 2024</w:t>
      </w:r>
      <w:r>
        <w:rPr/>
        <w:fldChar w:fldCharType="end" w:fldLock="0"/>
      </w:r>
      <w:r>
        <w:rPr>
          <w:rtl w:val="0"/>
          <w:lang w:val="en-US"/>
        </w:rPr>
        <w:t>: 150-151 and 160-166.</w:t>
      </w:r>
    </w:p>
  </w:footnote>
  <w:footnote w:id="55">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"https://papyri.info/hgv/4860"</w:instrText>
      </w:r>
      <w:r>
        <w:rPr>
          <w:rStyle w:val="Link"/>
        </w:rPr>
        <w:fldChar w:fldCharType="separate" w:fldLock="0"/>
      </w:r>
      <w:r>
        <w:rPr>
          <w:rStyle w:val="Link"/>
          <w:rtl w:val="0"/>
        </w:rPr>
        <w:t>BGU 8 1779</w:t>
      </w:r>
      <w:r>
        <w:rPr/>
        <w:fldChar w:fldCharType="end" w:fldLock="0"/>
      </w:r>
      <w:r>
        <w:rPr>
          <w:rtl w:val="0"/>
          <w:lang w:val="en-US"/>
        </w:rPr>
        <w:t xml:space="preserve">; </w:t>
      </w:r>
      <w:r>
        <w:rPr>
          <w:rStyle w:val="Link"/>
        </w:rPr>
        <w:fldChar w:fldCharType="begin" w:fldLock="0"/>
      </w:r>
      <w:r>
        <w:rPr>
          <w:rStyle w:val="Link"/>
        </w:rPr>
        <w:instrText xml:space="preserve"> HYPERLINK "https://papyri.info/hgv/4861"</w:instrText>
      </w:r>
      <w:r>
        <w:rPr>
          <w:rStyle w:val="Link"/>
        </w:rPr>
        <w:fldChar w:fldCharType="separate" w:fldLock="0"/>
      </w:r>
      <w:r>
        <w:rPr>
          <w:rStyle w:val="Link"/>
          <w:rtl w:val="0"/>
        </w:rPr>
        <w:t>1780</w:t>
      </w:r>
      <w:r>
        <w:rPr/>
        <w:fldChar w:fldCharType="end" w:fldLock="0"/>
      </w:r>
      <w:r>
        <w:rPr>
          <w:rtl w:val="0"/>
          <w:lang w:val="en-US"/>
        </w:rPr>
        <w:t xml:space="preserve">; </w:t>
      </w:r>
      <w:r>
        <w:rPr>
          <w:rStyle w:val="Link"/>
        </w:rPr>
        <w:fldChar w:fldCharType="begin" w:fldLock="0"/>
      </w:r>
      <w:r>
        <w:rPr>
          <w:rStyle w:val="Link"/>
        </w:rPr>
        <w:instrText xml:space="preserve"> HYPERLINK "https://papyri.info/hgv/4913"</w:instrText>
      </w:r>
      <w:r>
        <w:rPr>
          <w:rStyle w:val="Link"/>
        </w:rPr>
        <w:fldChar w:fldCharType="separate" w:fldLock="0"/>
      </w:r>
      <w:r>
        <w:rPr>
          <w:rStyle w:val="Link"/>
          <w:rtl w:val="0"/>
        </w:rPr>
        <w:t>1834</w:t>
      </w:r>
      <w:r>
        <w:rPr/>
        <w:fldChar w:fldCharType="end" w:fldLock="0"/>
      </w:r>
      <w:r>
        <w:rPr>
          <w:rtl w:val="0"/>
          <w:lang w:val="en-US"/>
        </w:rPr>
        <w:t xml:space="preserve">; </w:t>
      </w:r>
      <w:r>
        <w:rPr>
          <w:rStyle w:val="Link"/>
        </w:rPr>
        <w:fldChar w:fldCharType="begin" w:fldLock="0"/>
      </w:r>
      <w:r>
        <w:rPr>
          <w:rStyle w:val="Link"/>
        </w:rPr>
        <w:instrText xml:space="preserve"> HYPERLINK "https://papyri.info/hgv/4844"</w:instrText>
      </w:r>
      <w:r>
        <w:rPr>
          <w:rStyle w:val="Link"/>
        </w:rPr>
        <w:fldChar w:fldCharType="separate" w:fldLock="0"/>
      </w:r>
      <w:r>
        <w:rPr>
          <w:rStyle w:val="Link"/>
          <w:rtl w:val="0"/>
        </w:rPr>
        <w:t>BGU 20 2847</w:t>
      </w:r>
      <w:r>
        <w:rPr/>
        <w:fldChar w:fldCharType="end" w:fldLock="0"/>
      </w:r>
      <w:r>
        <w:rPr>
          <w:rtl w:val="0"/>
          <w:lang w:val="en-US"/>
        </w:rPr>
        <w:t>.</w:t>
      </w:r>
    </w:p>
  </w:footnote>
  <w:footnote w:id="56">
    <w:p>
      <w:pPr>
        <w:pStyle w:val="footnote text"/>
      </w:pPr>
      <w:r>
        <w:rPr>
          <w:vertAlign w:val="superscript"/>
        </w:rPr>
        <w:footnoteRef/>
      </w:r>
      <w:r>
        <w:rPr>
          <w:rtl w:val="0"/>
          <w:lang w:val="en-US"/>
        </w:rPr>
        <w:t xml:space="preserve"> See </w:t>
      </w:r>
      <w:r>
        <w:rPr>
          <w:rStyle w:val="Link"/>
        </w:rPr>
        <w:fldChar w:fldCharType="begin" w:fldLock="0"/>
      </w:r>
      <w:r>
        <w:rPr>
          <w:rStyle w:val="Link"/>
        </w:rPr>
        <w:instrText xml:space="preserve"> HYPERLINK "https://papyri.info/hgv/3162087"</w:instrText>
      </w:r>
      <w:r>
        <w:rPr>
          <w:rStyle w:val="Link"/>
        </w:rPr>
        <w:fldChar w:fldCharType="separate" w:fldLock="0"/>
      </w:r>
      <w:r>
        <w:rPr>
          <w:rStyle w:val="Link"/>
          <w:rtl w:val="0"/>
        </w:rPr>
        <w:t>BGU 20 2845</w:t>
      </w:r>
      <w:r>
        <w:rPr/>
        <w:fldChar w:fldCharType="end" w:fldLock="0"/>
      </w:r>
      <w:r>
        <w:rPr>
          <w:rtl w:val="0"/>
          <w:lang w:val="en-US"/>
        </w:rPr>
        <w:t xml:space="preserve"> 1-2 note. Other occurrences from 51 BCE onwards: </w:t>
      </w:r>
      <w:r>
        <w:rPr>
          <w:rStyle w:val="Link"/>
        </w:rPr>
        <w:fldChar w:fldCharType="begin" w:fldLock="0"/>
      </w:r>
      <w:r>
        <w:rPr>
          <w:rStyle w:val="Link"/>
        </w:rPr>
        <w:instrText xml:space="preserve"> HYPERLINK "https://papyri.info/hgv/4860"</w:instrText>
      </w:r>
      <w:r>
        <w:rPr>
          <w:rStyle w:val="Link"/>
        </w:rPr>
        <w:fldChar w:fldCharType="separate" w:fldLock="0"/>
      </w:r>
      <w:r>
        <w:rPr>
          <w:rStyle w:val="Link"/>
          <w:rtl w:val="0"/>
        </w:rPr>
        <w:t>BGU 8 1779</w:t>
      </w:r>
      <w:r>
        <w:rPr/>
        <w:fldChar w:fldCharType="end" w:fldLock="0"/>
      </w:r>
      <w:r>
        <w:rPr>
          <w:rtl w:val="0"/>
          <w:lang w:val="en-US"/>
        </w:rPr>
        <w:t xml:space="preserve">; </w:t>
      </w:r>
      <w:r>
        <w:rPr>
          <w:rStyle w:val="Link"/>
        </w:rPr>
        <w:fldChar w:fldCharType="begin" w:fldLock="0"/>
      </w:r>
      <w:r>
        <w:rPr>
          <w:rStyle w:val="Link"/>
        </w:rPr>
        <w:instrText xml:space="preserve"> HYPERLINK "https://papyri.info/hgv/4913"</w:instrText>
      </w:r>
      <w:r>
        <w:rPr>
          <w:rStyle w:val="Link"/>
        </w:rPr>
        <w:fldChar w:fldCharType="separate" w:fldLock="0"/>
      </w:r>
      <w:r>
        <w:rPr>
          <w:rStyle w:val="Link"/>
          <w:rtl w:val="0"/>
        </w:rPr>
        <w:t>1834</w:t>
      </w:r>
      <w:r>
        <w:rPr/>
        <w:fldChar w:fldCharType="end" w:fldLock="0"/>
      </w:r>
      <w:r>
        <w:rPr>
          <w:rtl w:val="0"/>
          <w:lang w:val="en-US"/>
        </w:rPr>
        <w:t xml:space="preserve">; </w:t>
      </w:r>
      <w:r>
        <w:rPr>
          <w:rStyle w:val="Link"/>
        </w:rPr>
        <w:fldChar w:fldCharType="begin" w:fldLock="0"/>
      </w:r>
      <w:r>
        <w:rPr>
          <w:rStyle w:val="Link"/>
        </w:rPr>
        <w:instrText xml:space="preserve"> HYPERLINK "https://papyri.info/hgv/4919"</w:instrText>
      </w:r>
      <w:r>
        <w:rPr>
          <w:rStyle w:val="Link"/>
        </w:rPr>
        <w:fldChar w:fldCharType="separate" w:fldLock="0"/>
      </w:r>
      <w:r>
        <w:rPr>
          <w:rStyle w:val="Link"/>
          <w:rtl w:val="0"/>
        </w:rPr>
        <w:t>1840</w:t>
      </w:r>
      <w:r>
        <w:rPr/>
        <w:fldChar w:fldCharType="end" w:fldLock="0"/>
      </w:r>
      <w:r>
        <w:rPr>
          <w:rtl w:val="0"/>
          <w:lang w:val="en-US"/>
        </w:rPr>
        <w:t xml:space="preserve">; </w:t>
      </w:r>
      <w:r>
        <w:rPr>
          <w:rStyle w:val="Link"/>
        </w:rPr>
        <w:fldChar w:fldCharType="begin" w:fldLock="0"/>
      </w:r>
      <w:r>
        <w:rPr>
          <w:rStyle w:val="Link"/>
        </w:rPr>
        <w:instrText xml:space="preserve"> HYPERLINK "https://papyri.info/hgv/4949"</w:instrText>
      </w:r>
      <w:r>
        <w:rPr>
          <w:rStyle w:val="Link"/>
        </w:rPr>
        <w:fldChar w:fldCharType="separate" w:fldLock="0"/>
      </w:r>
      <w:r>
        <w:rPr>
          <w:rStyle w:val="Link"/>
          <w:rtl w:val="0"/>
        </w:rPr>
        <w:t>1870</w:t>
      </w:r>
      <w:r>
        <w:rPr/>
        <w:fldChar w:fldCharType="end" w:fldLock="0"/>
      </w:r>
      <w:r>
        <w:rPr>
          <w:rtl w:val="0"/>
          <w:lang w:val="en-US"/>
        </w:rPr>
        <w:t xml:space="preserve">; </w:t>
      </w:r>
      <w:r>
        <w:rPr>
          <w:rStyle w:val="Link"/>
        </w:rPr>
        <w:fldChar w:fldCharType="begin" w:fldLock="0"/>
      </w:r>
      <w:r>
        <w:rPr>
          <w:rStyle w:val="Link"/>
        </w:rPr>
        <w:instrText xml:space="preserve"> HYPERLINK "https://papyri.info/hgv/4844"</w:instrText>
      </w:r>
      <w:r>
        <w:rPr>
          <w:rStyle w:val="Link"/>
        </w:rPr>
        <w:fldChar w:fldCharType="separate" w:fldLock="0"/>
      </w:r>
      <w:r>
        <w:rPr>
          <w:rStyle w:val="Link"/>
          <w:rtl w:val="0"/>
        </w:rPr>
        <w:t>BGU 20 2847</w:t>
      </w:r>
      <w:r>
        <w:rPr/>
        <w:fldChar w:fldCharType="end" w:fldLock="0"/>
      </w:r>
      <w:r>
        <w:rPr>
          <w:rtl w:val="0"/>
          <w:lang w:val="en-US"/>
        </w:rPr>
        <w:t>.</w:t>
      </w:r>
    </w:p>
  </w:footnote>
  <w:footnote w:id="57">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"https://papyri.info/hgv/4909"</w:instrText>
      </w:r>
      <w:r>
        <w:rPr>
          <w:rStyle w:val="Link"/>
        </w:rPr>
        <w:fldChar w:fldCharType="separate" w:fldLock="0"/>
      </w:r>
      <w:r>
        <w:rPr>
          <w:rStyle w:val="Link"/>
          <w:rtl w:val="0"/>
        </w:rPr>
        <w:t>BGU 8 1830</w:t>
      </w:r>
      <w:r>
        <w:rPr/>
        <w:fldChar w:fldCharType="end" w:fldLock="0"/>
      </w:r>
      <w:r>
        <w:rPr>
          <w:rtl w:val="0"/>
          <w:lang w:val="en-US"/>
        </w:rPr>
        <w:t xml:space="preserve">; </w:t>
      </w:r>
      <w:r>
        <w:rPr>
          <w:rStyle w:val="Link"/>
        </w:rPr>
        <w:fldChar w:fldCharType="begin" w:fldLock="0"/>
      </w:r>
      <w:r>
        <w:rPr>
          <w:rStyle w:val="Link"/>
        </w:rPr>
        <w:instrText xml:space="preserve"> HYPERLINK "https://papyri.info/hgv/4911"</w:instrText>
      </w:r>
      <w:r>
        <w:rPr>
          <w:rStyle w:val="Link"/>
        </w:rPr>
        <w:fldChar w:fldCharType="separate" w:fldLock="0"/>
      </w:r>
      <w:r>
        <w:rPr>
          <w:rStyle w:val="Link"/>
          <w:rtl w:val="0"/>
        </w:rPr>
        <w:t>1832</w:t>
      </w:r>
      <w:r>
        <w:rPr/>
        <w:fldChar w:fldCharType="end" w:fldLock="0"/>
      </w:r>
      <w:r>
        <w:rPr>
          <w:rtl w:val="0"/>
          <w:lang w:val="en-US"/>
        </w:rPr>
        <w:t xml:space="preserve">; </w:t>
      </w:r>
      <w:r>
        <w:rPr>
          <w:rStyle w:val="Link"/>
        </w:rPr>
        <w:fldChar w:fldCharType="begin" w:fldLock="0"/>
      </w:r>
      <w:r>
        <w:rPr>
          <w:rStyle w:val="Link"/>
        </w:rPr>
        <w:instrText xml:space="preserve"> HYPERLINK "https://papyri.info/hgv/4912"</w:instrText>
      </w:r>
      <w:r>
        <w:rPr>
          <w:rStyle w:val="Link"/>
        </w:rPr>
        <w:fldChar w:fldCharType="separate" w:fldLock="0"/>
      </w:r>
      <w:r>
        <w:rPr>
          <w:rStyle w:val="Link"/>
          <w:rtl w:val="0"/>
        </w:rPr>
        <w:t>1833</w:t>
      </w:r>
      <w:r>
        <w:rPr/>
        <w:fldChar w:fldCharType="end" w:fldLock="0"/>
      </w:r>
      <w:r>
        <w:rPr>
          <w:rtl w:val="0"/>
          <w:lang w:val="en-US"/>
        </w:rPr>
        <w:t xml:space="preserve">; </w:t>
      </w:r>
      <w:r>
        <w:rPr>
          <w:rStyle w:val="Link"/>
        </w:rPr>
        <w:fldChar w:fldCharType="begin" w:fldLock="0"/>
      </w:r>
      <w:r>
        <w:rPr>
          <w:rStyle w:val="Link"/>
        </w:rPr>
        <w:instrText xml:space="preserve"> HYPERLINK "https://papyri.info/hgv/4915"</w:instrText>
      </w:r>
      <w:r>
        <w:rPr>
          <w:rStyle w:val="Link"/>
        </w:rPr>
        <w:fldChar w:fldCharType="separate" w:fldLock="0"/>
      </w:r>
      <w:r>
        <w:rPr>
          <w:rStyle w:val="Link"/>
          <w:rtl w:val="0"/>
        </w:rPr>
        <w:t>1836</w:t>
      </w:r>
      <w:r>
        <w:rPr/>
        <w:fldChar w:fldCharType="end" w:fldLock="0"/>
      </w:r>
      <w:r>
        <w:rPr>
          <w:rtl w:val="0"/>
          <w:lang w:val="en-US"/>
        </w:rPr>
        <w:t xml:space="preserve">; </w:t>
      </w:r>
      <w:r>
        <w:rPr>
          <w:rStyle w:val="Link"/>
        </w:rPr>
        <w:fldChar w:fldCharType="begin" w:fldLock="0"/>
      </w:r>
      <w:r>
        <w:rPr>
          <w:rStyle w:val="Link"/>
        </w:rPr>
        <w:instrText xml:space="preserve"> HYPERLINK "https://papyri.info/hgv/4918"</w:instrText>
      </w:r>
      <w:r>
        <w:rPr>
          <w:rStyle w:val="Link"/>
        </w:rPr>
        <w:fldChar w:fldCharType="separate" w:fldLock="0"/>
      </w:r>
      <w:r>
        <w:rPr>
          <w:rStyle w:val="Link"/>
          <w:rtl w:val="0"/>
        </w:rPr>
        <w:t>1839</w:t>
      </w:r>
      <w:r>
        <w:rPr/>
        <w:fldChar w:fldCharType="end" w:fldLock="0"/>
      </w:r>
      <w:r>
        <w:rPr>
          <w:rtl w:val="0"/>
          <w:lang w:val="en-US"/>
        </w:rPr>
        <w:t>.</w:t>
      </w:r>
    </w:p>
  </w:footnote>
  <w:footnote w:id="58">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"https://papyri.info/hgv/23301"</w:instrText>
      </w:r>
      <w:r>
        <w:rPr>
          <w:rStyle w:val="Hyperlink.0"/>
          <w:lang w:val="en-US"/>
        </w:rPr>
        <w:fldChar w:fldCharType="separate" w:fldLock="0"/>
      </w:r>
      <w:r>
        <w:rPr>
          <w:rStyle w:val="Hyperlink.0"/>
          <w:rtl w:val="0"/>
          <w:lang w:val="en-US"/>
        </w:rPr>
        <w:t>BGU 16 2578</w:t>
      </w:r>
      <w:r>
        <w:rPr/>
        <w:fldChar w:fldCharType="end" w:fldLock="0"/>
      </w:r>
      <w:r>
        <w:rPr>
          <w:rtl w:val="0"/>
          <w:lang w:val="en-US"/>
        </w:rPr>
        <w:t>-</w:t>
      </w:r>
      <w:r>
        <w:rPr>
          <w:rStyle w:val="Hyperlink.0"/>
          <w:lang w:val="en-US"/>
        </w:rPr>
        <w:fldChar w:fldCharType="begin" w:fldLock="0"/>
      </w:r>
      <w:r>
        <w:rPr>
          <w:rStyle w:val="Hyperlink.0"/>
          <w:lang w:val="en-US"/>
        </w:rPr>
        <w:instrText xml:space="preserve"> HYPERLINK "https://papyri.info/hgv/23310"</w:instrText>
      </w:r>
      <w:r>
        <w:rPr>
          <w:rStyle w:val="Hyperlink.0"/>
          <w:lang w:val="en-US"/>
        </w:rPr>
        <w:fldChar w:fldCharType="separate" w:fldLock="0"/>
      </w:r>
      <w:r>
        <w:rPr>
          <w:rStyle w:val="Hyperlink.0"/>
          <w:rtl w:val="0"/>
          <w:lang w:val="en-US"/>
        </w:rPr>
        <w:t>2587</w:t>
      </w:r>
      <w:r>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"https://papyri.info/hgv/23309"</w:instrText>
      </w:r>
      <w:r>
        <w:rPr>
          <w:rStyle w:val="Hyperlink.0"/>
          <w:lang w:val="en-US"/>
        </w:rPr>
        <w:fldChar w:fldCharType="separate" w:fldLock="0"/>
      </w:r>
      <w:r>
        <w:rPr>
          <w:rStyle w:val="Hyperlink.0"/>
          <w:rtl w:val="0"/>
          <w:lang w:val="en-US"/>
        </w:rPr>
        <w:t>BGU 16 2586</w:t>
      </w:r>
      <w:r>
        <w:rPr/>
        <w:fldChar w:fldCharType="end" w:fldLock="0"/>
      </w:r>
      <w:r>
        <w:rPr>
          <w:rtl w:val="0"/>
          <w:lang w:val="en-US"/>
        </w:rPr>
        <w:t xml:space="preserve"> is an exception: it is addressed to the assistant of the </w:t>
      </w:r>
      <w:r>
        <w:rPr>
          <w:i w:val="1"/>
          <w:iCs w:val="1"/>
          <w:rtl w:val="0"/>
          <w:lang w:val="en-US"/>
        </w:rPr>
        <w:t>strategos</w:t>
      </w:r>
      <w:r>
        <w:rPr>
          <w:rtl w:val="0"/>
          <w:lang w:val="en-US"/>
        </w:rPr>
        <w:t xml:space="preserve"> in 5 BCE. The typology of declarations of sheep and goats is covered by </w:t>
      </w:r>
      <w:r>
        <w:rPr>
          <w:rStyle w:val="Hyperlink.0"/>
          <w:lang w:val="en-US"/>
        </w:rPr>
        <w:fldChar w:fldCharType="begin" w:fldLock="0"/>
      </w:r>
      <w:r>
        <w:rPr>
          <w:rStyle w:val="Hyperlink.0"/>
          <w:lang w:val="en-US"/>
        </w:rPr>
        <w:instrText xml:space="preserve"> HYPERLINK "https://papyri.info/biblio/97504"</w:instrText>
      </w:r>
      <w:r>
        <w:rPr>
          <w:rStyle w:val="Hyperlink.0"/>
          <w:lang w:val="en-US"/>
        </w:rPr>
        <w:fldChar w:fldCharType="separate" w:fldLock="0"/>
      </w:r>
      <w:r>
        <w:rPr>
          <w:rStyle w:val="Hyperlink.0"/>
          <w:rtl w:val="0"/>
          <w:lang w:val="en-US"/>
        </w:rPr>
        <w:t>Ferretti 2024</w:t>
      </w:r>
      <w:r>
        <w:rPr/>
        <w:fldChar w:fldCharType="end" w:fldLock="0"/>
      </w:r>
      <w:r>
        <w:rPr>
          <w:rtl w:val="0"/>
          <w:lang w:val="en-US"/>
        </w:rPr>
        <w:t>: 263-287, to whom I owe much information and insight on this matter. Beside Brashear</w:t>
      </w:r>
      <w:r>
        <w:rPr>
          <w:rtl w:val="0"/>
          <w:lang w:val="en-US"/>
        </w:rPr>
        <w:t>’</w:t>
      </w:r>
      <w:r>
        <w:rPr>
          <w:rtl w:val="0"/>
          <w:lang w:val="en-US"/>
        </w:rPr>
        <w:t xml:space="preserve">s useful introduction in BGU 16 (p. 51), </w:t>
      </w:r>
      <w:r>
        <w:rPr>
          <w:rStyle w:val="Hyperlink.0"/>
          <w:lang w:val="en-US"/>
        </w:rPr>
        <w:fldChar w:fldCharType="begin" w:fldLock="0"/>
      </w:r>
      <w:r>
        <w:rPr>
          <w:rStyle w:val="Hyperlink.0"/>
          <w:lang w:val="en-US"/>
        </w:rPr>
        <w:instrText xml:space="preserve"> HYPERLINK "https://papyri.info/biblio/71200"</w:instrText>
      </w:r>
      <w:r>
        <w:rPr>
          <w:rStyle w:val="Hyperlink.0"/>
          <w:lang w:val="en-US"/>
        </w:rPr>
        <w:fldChar w:fldCharType="separate" w:fldLock="0"/>
      </w:r>
      <w:r>
        <w:rPr>
          <w:rStyle w:val="Hyperlink.0"/>
          <w:rtl w:val="0"/>
          <w:lang w:val="en-US"/>
        </w:rPr>
        <w:t>Kruse 2001</w:t>
      </w:r>
      <w:r>
        <w:rPr/>
        <w:fldChar w:fldCharType="end" w:fldLock="0"/>
      </w:r>
      <w:r>
        <w:rPr>
          <w:rtl w:val="0"/>
          <w:lang w:val="en-US"/>
        </w:rPr>
        <w:t xml:space="preserve">: 213-235 and </w:t>
      </w:r>
      <w:r>
        <w:rPr>
          <w:rStyle w:val="Hyperlink.0"/>
          <w:lang w:val="en-US"/>
        </w:rPr>
        <w:fldChar w:fldCharType="begin" w:fldLock="0"/>
      </w:r>
      <w:r>
        <w:rPr>
          <w:rStyle w:val="Hyperlink.0"/>
          <w:lang w:val="en-US"/>
        </w:rPr>
        <w:instrText xml:space="preserve"> HYPERLINK "https://papyri.info/biblio/81050"</w:instrText>
      </w:r>
      <w:r>
        <w:rPr>
          <w:rStyle w:val="Hyperlink.0"/>
          <w:lang w:val="en-US"/>
        </w:rPr>
        <w:fldChar w:fldCharType="separate" w:fldLock="0"/>
      </w:r>
      <w:r>
        <w:rPr>
          <w:rStyle w:val="Hyperlink.0"/>
          <w:rtl w:val="0"/>
          <w:lang w:val="en-US"/>
        </w:rPr>
        <w:t>Langellotti 2012</w:t>
      </w:r>
      <w:r>
        <w:rPr/>
        <w:fldChar w:fldCharType="end" w:fldLock="0"/>
      </w:r>
      <w:r>
        <w:rPr>
          <w:rtl w:val="0"/>
          <w:lang w:val="en-US"/>
        </w:rPr>
        <w:t xml:space="preserve"> on the contents of such declarations.</w:t>
      </w:r>
    </w:p>
  </w:footnote>
  <w:footnote w:id="59">
    <w:p>
      <w:pPr>
        <w:pStyle w:val="footnote text"/>
      </w:pPr>
      <w:r>
        <w:rPr>
          <w:vertAlign w:val="superscript"/>
          <w:lang w:val="en-US"/>
        </w:rPr>
        <w:footnoteRef/>
      </w:r>
      <w:r>
        <w:rPr>
          <w:rtl w:val="0"/>
          <w:lang w:val="en-US"/>
        </w:rPr>
        <w:t xml:space="preserve"> Plate 2 in P.Ryl. 4.</w:t>
      </w:r>
    </w:p>
  </w:footnote>
  <w:footnote w:id="6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"https://papyri.info/hgv/5299"</w:instrText>
      </w:r>
      <w:r>
        <w:rPr>
          <w:rStyle w:val="Link"/>
        </w:rPr>
        <w:fldChar w:fldCharType="separate" w:fldLock="0"/>
      </w:r>
      <w:r>
        <w:rPr>
          <w:rStyle w:val="Link"/>
          <w:rtl w:val="0"/>
        </w:rPr>
        <w:t>P.Ryl. 4 580</w:t>
      </w:r>
      <w:r>
        <w:rPr/>
        <w:fldChar w:fldCharType="end" w:fldLock="0"/>
      </w:r>
      <w:r>
        <w:rPr>
          <w:rtl w:val="0"/>
          <w:lang w:val="en-US"/>
        </w:rPr>
        <w:t xml:space="preserve">.8 n. (= </w:t>
      </w:r>
      <w:r>
        <w:rPr>
          <w:rStyle w:val="Link"/>
        </w:rPr>
        <w:fldChar w:fldCharType="begin" w:fldLock="0"/>
      </w:r>
      <w:r>
        <w:rPr>
          <w:rStyle w:val="Link"/>
        </w:rPr>
        <w:instrText xml:space="preserve"> HYPERLINK "https://papyri.info/biblio/4877"</w:instrText>
      </w:r>
      <w:r>
        <w:rPr>
          <w:rStyle w:val="Link"/>
        </w:rPr>
        <w:fldChar w:fldCharType="separate" w:fldLock="0"/>
      </w:r>
      <w:r>
        <w:rPr>
          <w:rStyle w:val="Link"/>
          <w:rtl w:val="0"/>
        </w:rPr>
        <w:t>Roberts and Turner 1952</w:t>
      </w:r>
      <w:r>
        <w:rPr/>
        <w:fldChar w:fldCharType="end" w:fldLock="0"/>
      </w:r>
      <w:r>
        <w:rPr>
          <w:rtl w:val="0"/>
          <w:lang w:val="en-US"/>
        </w:rPr>
        <w:t xml:space="preserve">: 33). The editors suggested in their commentary </w:t>
      </w:r>
      <w:r>
        <w:rPr>
          <w:rtl w:val="0"/>
          <w:lang w:val="en-US"/>
        </w:rPr>
        <w:t xml:space="preserve">ὃ ἐστὶν ἀργυρίου </w:t>
      </w:r>
      <w:r>
        <w:rPr>
          <w:rtl w:val="0"/>
          <w:lang w:val="en-US"/>
        </w:rPr>
        <w:t>(</w:t>
      </w:r>
      <w:r>
        <w:rPr>
          <w:rtl w:val="0"/>
          <w:lang w:val="en-US"/>
        </w:rPr>
        <w:t>δραχμαὶ</w:t>
      </w:r>
      <w:r>
        <w:rPr>
          <w:rtl w:val="0"/>
          <w:lang w:val="en-US"/>
        </w:rPr>
        <w:t xml:space="preserve">) </w:t>
      </w:r>
      <w:r>
        <w:rPr>
          <w:rtl w:val="0"/>
          <w:lang w:val="en-US"/>
        </w:rPr>
        <w:t>ἑ</w:t>
      </w:r>
      <w:r>
        <w:rPr>
          <w:rtl w:val="0"/>
          <w:lang w:val="en-US"/>
        </w:rPr>
        <w:t>[</w:t>
      </w:r>
      <w:r>
        <w:rPr>
          <w:rtl w:val="0"/>
          <w:lang w:val="en-US"/>
        </w:rPr>
        <w:t>κατὸν ἀποδοθησόμενον τῶι τὸ</w:t>
      </w:r>
      <w:r>
        <w:rPr>
          <w:rtl w:val="0"/>
          <w:lang w:val="en-US"/>
        </w:rPr>
        <w:t xml:space="preserve">] | </w:t>
      </w:r>
      <w:r>
        <w:rPr>
          <w:rtl w:val="0"/>
          <w:lang w:val="en-US"/>
        </w:rPr>
        <w:t>σύμβολον ἐπιφέροντ</w:t>
      </w:r>
      <w:r>
        <w:rPr>
          <w:rtl w:val="0"/>
          <w:lang w:val="en-US"/>
        </w:rPr>
        <w:t>[</w:t>
      </w:r>
      <w:r>
        <w:rPr>
          <w:rtl w:val="0"/>
          <w:lang w:val="en-US"/>
        </w:rPr>
        <w:t xml:space="preserve">ι </w:t>
      </w:r>
      <w:r>
        <w:rPr>
          <w:rtl w:val="0"/>
          <w:lang w:val="en-US"/>
        </w:rPr>
        <w:t xml:space="preserve">(8-9; last </w:t>
      </w:r>
      <w:r>
        <w:rPr>
          <w:i w:val="1"/>
          <w:iCs w:val="1"/>
          <w:rtl w:val="0"/>
          <w:lang w:val="en-US"/>
        </w:rPr>
        <w:t>iota</w:t>
      </w:r>
      <w:r>
        <w:rPr>
          <w:rtl w:val="0"/>
          <w:lang w:val="en-US"/>
        </w:rPr>
        <w:t xml:space="preserve"> not mentioned by the editors, but implicit) </w:t>
      </w:r>
      <w:r>
        <w:rPr>
          <w:rtl w:val="0"/>
          <w:lang w:val="en-US"/>
        </w:rPr>
        <w:t>“</w:t>
      </w:r>
      <w:r>
        <w:rPr>
          <w:rtl w:val="0"/>
          <w:lang w:val="en-US"/>
        </w:rPr>
        <w:t>which makes one hundred silver drachmas, to be paid to the person producing this token</w:t>
      </w:r>
      <w:r>
        <w:rPr>
          <w:rtl w:val="0"/>
          <w:lang w:val="en-US"/>
        </w:rPr>
        <w:t>”</w:t>
      </w:r>
      <w:r>
        <w:rPr>
          <w:rtl w:val="0"/>
          <w:lang w:val="en-US"/>
        </w:rPr>
        <w:t>. Assuming that the sheet was folded in half and that the break corresponds to the fold, this restoration would neatly fit the width of the lost half of the sheet, leaving virtually no margin on the right.</w:t>
      </w:r>
    </w:p>
  </w:footnote>
  <w:footnote w:id="61">
    <w:p>
      <w:pPr>
        <w:pStyle w:val="footnote text"/>
      </w:pPr>
      <w:r>
        <w:rPr>
          <w:vertAlign w:val="superscript"/>
        </w:rPr>
        <w:footnoteRef/>
      </w:r>
      <w:r>
        <w:rPr>
          <w:rtl w:val="0"/>
          <w:lang w:val="en-US"/>
        </w:rPr>
        <w:t xml:space="preserve"> </w:t>
      </w:r>
      <w:r>
        <w:rPr>
          <w:rtl w:val="0"/>
          <w:lang w:val="en-US"/>
        </w:rPr>
        <w:t xml:space="preserve">On double documents and the evolution of the proportion between </w:t>
      </w:r>
      <w:r>
        <w:rPr>
          <w:i w:val="1"/>
          <w:iCs w:val="1"/>
          <w:rtl w:val="0"/>
          <w:lang w:val="en-US"/>
        </w:rPr>
        <w:t>scriptura interior</w:t>
      </w:r>
      <w:r>
        <w:rPr>
          <w:rtl w:val="0"/>
          <w:lang w:val="en-US"/>
        </w:rPr>
        <w:t xml:space="preserve"> and </w:t>
      </w:r>
      <w:r>
        <w:rPr>
          <w:i w:val="1"/>
          <w:iCs w:val="1"/>
          <w:rtl w:val="0"/>
          <w:lang w:val="en-US"/>
        </w:rPr>
        <w:t>scriptura exterior</w:t>
      </w:r>
      <w:r>
        <w:rPr>
          <w:rtl w:val="0"/>
          <w:lang w:val="en-US"/>
        </w:rPr>
        <w:t xml:space="preserve">, </w:t>
      </w:r>
      <w:r>
        <w:rPr>
          <w:rStyle w:val="Hyperlink.0"/>
          <w:lang w:val="en-US"/>
        </w:rPr>
        <w:fldChar w:fldCharType="begin" w:fldLock="0"/>
      </w:r>
      <w:r>
        <w:rPr>
          <w:rStyle w:val="Hyperlink.0"/>
          <w:lang w:val="en-US"/>
        </w:rPr>
        <w:instrText xml:space="preserve"> HYPERLINK "https://papyri.info/biblio/97413"</w:instrText>
      </w:r>
      <w:r>
        <w:rPr>
          <w:rStyle w:val="Hyperlink.0"/>
          <w:lang w:val="en-US"/>
        </w:rPr>
        <w:fldChar w:fldCharType="separate" w:fldLock="0"/>
      </w:r>
      <w:r>
        <w:rPr>
          <w:rStyle w:val="Hyperlink.0"/>
          <w:rtl w:val="0"/>
          <w:lang w:val="en-US"/>
        </w:rPr>
        <w:t>Ferretti et al. 2023b</w:t>
      </w:r>
      <w:r>
        <w:rPr/>
        <w:fldChar w:fldCharType="end" w:fldLock="0"/>
      </w:r>
      <w:r>
        <w:rPr>
          <w:rtl w:val="0"/>
          <w:lang w:val="en-US"/>
        </w:rPr>
        <w:t xml:space="preserve">, </w:t>
      </w:r>
      <w:r>
        <w:rPr>
          <w:i w:val="1"/>
          <w:iCs w:val="1"/>
          <w:rtl w:val="0"/>
          <w:lang w:val="en-US"/>
        </w:rPr>
        <w:t>grammateus</w:t>
      </w:r>
      <w:r>
        <w:rPr>
          <w:rtl w:val="0"/>
          <w:lang w:val="en-US"/>
        </w:rPr>
        <w:t xml:space="preserve">, </w:t>
      </w:r>
      <w:r>
        <w:rPr>
          <w:rtl w:val="0"/>
          <w:lang w:val="en-US"/>
        </w:rPr>
        <w:t>“</w:t>
      </w:r>
      <w:r>
        <w:rPr>
          <w:rtl w:val="0"/>
          <w:lang w:val="en-US"/>
        </w:rPr>
        <w:t>Description of Greek Documentary Papyri: Double Document</w:t>
      </w:r>
      <w:r>
        <w:rPr>
          <w:rtl w:val="0"/>
          <w:lang w:val="en-US"/>
        </w:rPr>
        <w:t>”</w:t>
      </w:r>
      <w:r>
        <w:rPr>
          <w:rtl w:val="0"/>
          <w:lang w:val="en-US"/>
        </w:rPr>
        <w:t>.</w:t>
      </w:r>
    </w:p>
  </w:footnote>
  <w:footnote w:id="62">
    <w:p>
      <w:pPr>
        <w:pStyle w:val="footnote text"/>
      </w:pPr>
      <w:r>
        <w:rPr>
          <w:vertAlign w:val="superscript"/>
        </w:rPr>
        <w:footnoteRef/>
      </w:r>
      <w:r>
        <w:rPr>
          <w:rtl w:val="0"/>
          <w:lang w:val="en-US"/>
        </w:rPr>
        <w:t xml:space="preserve"> </w:t>
      </w:r>
      <w:r>
        <w:rPr>
          <w:rtl w:val="0"/>
          <w:lang w:val="en-US"/>
        </w:rPr>
        <w:t xml:space="preserve">On the shift from symmetrical to asymmetrical double documents, </w:t>
      </w:r>
      <w:r>
        <w:rPr>
          <w:rStyle w:val="Hyperlink.2"/>
          <w:lang w:val="en-US"/>
        </w:rPr>
        <w:fldChar w:fldCharType="begin" w:fldLock="0"/>
      </w:r>
      <w:r>
        <w:rPr>
          <w:rStyle w:val="Hyperlink.2"/>
          <w:lang w:val="en-US"/>
        </w:rPr>
        <w:instrText xml:space="preserve"> HYPERLINK "https://papyri.info/biblio/77513"</w:instrText>
      </w:r>
      <w:r>
        <w:rPr>
          <w:rStyle w:val="Hyperlink.2"/>
          <w:lang w:val="en-US"/>
        </w:rPr>
        <w:fldChar w:fldCharType="separate" w:fldLock="0"/>
      </w:r>
      <w:r>
        <w:rPr>
          <w:rStyle w:val="Hyperlink.2"/>
          <w:rtl w:val="0"/>
          <w:lang w:val="en-US"/>
        </w:rPr>
        <w:t>Yiftach-Firanko 2008</w:t>
      </w:r>
      <w:r>
        <w:rPr/>
        <w:fldChar w:fldCharType="end" w:fldLock="0"/>
      </w:r>
      <w:r>
        <w:rPr>
          <w:rtl w:val="0"/>
          <w:lang w:val="en-US"/>
        </w:rPr>
        <w:t xml:space="preserve">. </w:t>
      </w:r>
      <w:r>
        <w:rPr>
          <w:rtl w:val="0"/>
          <w:lang w:val="en-US"/>
        </w:rPr>
        <w:t xml:space="preserve">Later examples are </w:t>
      </w:r>
      <w:r>
        <w:rPr>
          <w:rStyle w:val="Hyperlink.0"/>
          <w:lang w:val="en-US"/>
        </w:rPr>
        <w:fldChar w:fldCharType="begin" w:fldLock="0"/>
      </w:r>
      <w:r>
        <w:rPr>
          <w:rStyle w:val="Hyperlink.0"/>
          <w:lang w:val="en-US"/>
        </w:rPr>
        <w:instrText xml:space="preserve"> HYPERLINK "https://papyri.info/hgv/3099"</w:instrText>
      </w:r>
      <w:r>
        <w:rPr>
          <w:rStyle w:val="Hyperlink.0"/>
          <w:lang w:val="en-US"/>
        </w:rPr>
        <w:fldChar w:fldCharType="separate" w:fldLock="0"/>
      </w:r>
      <w:r>
        <w:rPr>
          <w:rStyle w:val="Hyperlink.0"/>
          <w:rtl w:val="0"/>
          <w:lang w:val="en-US"/>
        </w:rPr>
        <w:t>P.Dion. 16</w:t>
      </w:r>
      <w:r>
        <w:rPr/>
        <w:fldChar w:fldCharType="end" w:fldLock="0"/>
      </w:r>
      <w:r>
        <w:rPr>
          <w:rtl w:val="0"/>
          <w:lang w:val="en-US"/>
        </w:rPr>
        <w:t xml:space="preserve"> (109 BCE, Akoris [Hermopolite nome]; </w:t>
      </w:r>
      <w:r>
        <w:rPr>
          <w:rStyle w:val="Hyperlink.0"/>
          <w:lang w:val="en-US"/>
        </w:rPr>
        <w:fldChar w:fldCharType="begin" w:fldLock="0"/>
      </w:r>
      <w:r>
        <w:rPr>
          <w:rStyle w:val="Hyperlink.0"/>
          <w:lang w:val="en-US"/>
        </w:rPr>
        <w:instrText xml:space="preserve"> HYPERLINK "https://papyri.info/hgv/5579"</w:instrText>
      </w:r>
      <w:r>
        <w:rPr>
          <w:rStyle w:val="Hyperlink.0"/>
          <w:lang w:val="en-US"/>
        </w:rPr>
        <w:fldChar w:fldCharType="separate" w:fldLock="0"/>
      </w:r>
      <w:r>
        <w:rPr>
          <w:rStyle w:val="Hyperlink.0"/>
          <w:rtl w:val="0"/>
          <w:lang w:val="en-US"/>
        </w:rPr>
        <w:t>PSI 10 1098</w:t>
      </w:r>
      <w:r>
        <w:rPr/>
        <w:fldChar w:fldCharType="end" w:fldLock="0"/>
      </w:r>
      <w:r>
        <w:rPr>
          <w:rtl w:val="0"/>
          <w:lang w:val="en-US"/>
        </w:rPr>
        <w:t xml:space="preserve"> (51 BCE, Tebtynis [Arsinoite nome]); </w:t>
      </w:r>
      <w:r>
        <w:rPr>
          <w:rStyle w:val="Hyperlink.0"/>
          <w:lang w:val="en-US"/>
        </w:rPr>
        <w:fldChar w:fldCharType="begin" w:fldLock="0"/>
      </w:r>
      <w:r>
        <w:rPr>
          <w:rStyle w:val="Hyperlink.0"/>
          <w:lang w:val="en-US"/>
        </w:rPr>
        <w:instrText xml:space="preserve"> HYPERLINK "https://papyri.info/hgv/5697"</w:instrText>
      </w:r>
      <w:r>
        <w:rPr>
          <w:rStyle w:val="Hyperlink.0"/>
          <w:lang w:val="en-US"/>
        </w:rPr>
        <w:fldChar w:fldCharType="separate" w:fldLock="0"/>
      </w:r>
      <w:r>
        <w:rPr>
          <w:rStyle w:val="Hyperlink.0"/>
          <w:rtl w:val="0"/>
          <w:lang w:val="en-US"/>
        </w:rPr>
        <w:t>SB 5 7532</w:t>
      </w:r>
      <w:r>
        <w:rPr/>
        <w:fldChar w:fldCharType="end" w:fldLock="0"/>
      </w:r>
      <w:r>
        <w:rPr>
          <w:rtl w:val="0"/>
          <w:lang w:val="en-US"/>
        </w:rPr>
        <w:t xml:space="preserve"> (74 BCE, Nilopolis [Arsinoite nome]), which was revised by </w:t>
      </w:r>
      <w:r>
        <w:rPr>
          <w:rStyle w:val="Hyperlink.2"/>
          <w:lang w:val="en-US"/>
        </w:rPr>
        <w:fldChar w:fldCharType="begin" w:fldLock="0"/>
      </w:r>
      <w:r>
        <w:rPr>
          <w:rStyle w:val="Hyperlink.2"/>
          <w:lang w:val="en-US"/>
        </w:rPr>
        <w:instrText xml:space="preserve"> HYPERLINK "https://papyri.info/biblio/54814"</w:instrText>
      </w:r>
      <w:r>
        <w:rPr>
          <w:rStyle w:val="Hyperlink.2"/>
          <w:lang w:val="en-US"/>
        </w:rPr>
        <w:fldChar w:fldCharType="separate" w:fldLock="0"/>
      </w:r>
      <w:r>
        <w:rPr>
          <w:rStyle w:val="Hyperlink.2"/>
          <w:rtl w:val="0"/>
          <w:lang w:val="en-US"/>
        </w:rPr>
        <w:t>Youtie 1973</w:t>
      </w:r>
      <w:r>
        <w:rPr/>
        <w:fldChar w:fldCharType="end" w:fldLock="0"/>
      </w:r>
      <w:r>
        <w:rPr>
          <w:rtl w:val="0"/>
          <w:lang w:val="en-US"/>
        </w:rPr>
        <w:t>, with a detailed description of the layout of the text.</w:t>
      </w:r>
    </w:p>
  </w:footnote>
  <w:footnote w:id="63">
    <w:p>
      <w:pPr>
        <w:pStyle w:val="footnote text"/>
      </w:pPr>
      <w:r>
        <w:rPr>
          <w:vertAlign w:val="superscript"/>
          <w:lang w:val="en-US"/>
        </w:rPr>
        <w:footnoteRef/>
      </w:r>
      <w:r>
        <w:rPr>
          <w:rtl w:val="0"/>
          <w:lang w:val="en-US"/>
        </w:rPr>
        <w:t xml:space="preserve"> Described by </w:t>
      </w:r>
      <w:r>
        <w:rPr>
          <w:rStyle w:val="Link"/>
        </w:rPr>
        <w:fldChar w:fldCharType="begin" w:fldLock="0"/>
      </w:r>
      <w:r>
        <w:rPr>
          <w:rStyle w:val="Link"/>
        </w:rPr>
        <w:instrText xml:space="preserve"> HYPERLINK "https://papyri.info/biblio/4139"</w:instrText>
      </w:r>
      <w:r>
        <w:rPr>
          <w:rStyle w:val="Link"/>
        </w:rPr>
        <w:fldChar w:fldCharType="separate" w:fldLock="0"/>
      </w:r>
      <w:r>
        <w:rPr>
          <w:rStyle w:val="Link"/>
          <w:rtl w:val="0"/>
        </w:rPr>
        <w:t>Husselman, Boak, and Edgerton 1944</w:t>
      </w:r>
      <w:r>
        <w:rPr/>
        <w:fldChar w:fldCharType="end" w:fldLock="0"/>
      </w:r>
      <w:r>
        <w:rPr>
          <w:rtl w:val="0"/>
          <w:lang w:val="en-US"/>
        </w:rPr>
        <w:t xml:space="preserve">: 1-11 (= introduction to P.Mich. 5); also </w:t>
      </w:r>
      <w:r>
        <w:rPr>
          <w:rStyle w:val="Link"/>
        </w:rPr>
        <w:fldChar w:fldCharType="begin" w:fldLock="0"/>
      </w:r>
      <w:r>
        <w:rPr>
          <w:rStyle w:val="Link"/>
        </w:rPr>
        <w:instrText xml:space="preserve"> HYPERLINK "https://papyri.info/biblio/86668"</w:instrText>
      </w:r>
      <w:r>
        <w:rPr>
          <w:rStyle w:val="Link"/>
        </w:rPr>
        <w:fldChar w:fldCharType="separate" w:fldLock="0"/>
      </w:r>
      <w:r>
        <w:rPr>
          <w:rStyle w:val="Link"/>
          <w:rtl w:val="0"/>
        </w:rPr>
        <w:t>Claytor 2014</w:t>
      </w:r>
      <w:r>
        <w:rPr/>
        <w:fldChar w:fldCharType="end" w:fldLock="0"/>
      </w:r>
      <w:r>
        <w:rPr>
          <w:rtl w:val="0"/>
          <w:lang w:val="en-US"/>
        </w:rPr>
        <w:t xml:space="preserve">, with a list of documents on pages 113-115. Four additional notarial contracts from the </w:t>
      </w:r>
      <w:r>
        <w:rPr>
          <w:i w:val="1"/>
          <w:iCs w:val="1"/>
          <w:rtl w:val="0"/>
          <w:lang w:val="en-US"/>
        </w:rPr>
        <w:t>grapheion</w:t>
      </w:r>
      <w:r>
        <w:rPr>
          <w:rtl w:val="0"/>
          <w:lang w:val="en-US"/>
        </w:rPr>
        <w:t xml:space="preserve"> of Theadelphia, belonging to the </w:t>
      </w:r>
      <w:r>
        <w:rPr>
          <w:rStyle w:val="Link"/>
        </w:rPr>
        <w:fldChar w:fldCharType="begin" w:fldLock="0"/>
      </w:r>
      <w:r>
        <w:rPr>
          <w:rStyle w:val="Link"/>
        </w:rPr>
        <w:instrText xml:space="preserve"> HYPERLINK "http://www.trismegistos.org/archive/99"</w:instrText>
      </w:r>
      <w:r>
        <w:rPr>
          <w:rStyle w:val="Link"/>
        </w:rPr>
        <w:fldChar w:fldCharType="separate" w:fldLock="0"/>
      </w:r>
      <w:r>
        <w:rPr>
          <w:rStyle w:val="Link"/>
          <w:rtl w:val="0"/>
        </w:rPr>
        <w:t>Harthotes Archive</w:t>
      </w:r>
      <w:r>
        <w:rPr/>
        <w:fldChar w:fldCharType="end" w:fldLock="0"/>
      </w:r>
      <w:r>
        <w:rPr>
          <w:rtl w:val="0"/>
          <w:lang w:val="en-US"/>
        </w:rPr>
        <w:t xml:space="preserve">, were published by </w:t>
      </w:r>
      <w:r>
        <w:rPr>
          <w:rStyle w:val="Link"/>
        </w:rPr>
        <w:fldChar w:fldCharType="begin" w:fldLock="0"/>
      </w:r>
      <w:r>
        <w:rPr>
          <w:rStyle w:val="Link"/>
        </w:rPr>
        <w:instrText xml:space="preserve"> HYPERLINK "https://papyri.info/biblio/95713"</w:instrText>
      </w:r>
      <w:r>
        <w:rPr>
          <w:rStyle w:val="Link"/>
        </w:rPr>
        <w:fldChar w:fldCharType="separate" w:fldLock="0"/>
      </w:r>
      <w:r>
        <w:rPr>
          <w:rStyle w:val="Link"/>
          <w:rtl w:val="0"/>
        </w:rPr>
        <w:t>Claytor, Litinas, and Nabney 2016</w:t>
      </w:r>
      <w:r>
        <w:rPr/>
        <w:fldChar w:fldCharType="end" w:fldLock="0"/>
      </w:r>
      <w:r>
        <w:rPr>
          <w:rtl w:val="0"/>
          <w:lang w:val="en-US"/>
        </w:rPr>
        <w:t>.</w:t>
      </w:r>
    </w:p>
  </w:footnote>
  <w:footnote w:id="64">
    <w:p>
      <w:pPr>
        <w:pStyle w:val="footnote text"/>
      </w:pPr>
      <w:r>
        <w:rPr>
          <w:vertAlign w:val="superscript"/>
          <w:lang w:val="en-US"/>
        </w:rPr>
        <w:footnoteRef/>
      </w:r>
      <w:r>
        <w:rPr>
          <w:rtl w:val="0"/>
          <w:lang w:val="en-US"/>
        </w:rPr>
        <w:t xml:space="preserve"> </w:t>
      </w:r>
      <w:r>
        <w:rPr>
          <w:rStyle w:val="Link"/>
        </w:rPr>
        <w:fldChar w:fldCharType="begin" w:fldLock="0"/>
      </w:r>
      <w:r>
        <w:rPr>
          <w:rStyle w:val="Link"/>
        </w:rPr>
        <w:instrText xml:space="preserve"> HYPERLINK "https://papyri.info/biblio/95143"</w:instrText>
      </w:r>
      <w:r>
        <w:rPr>
          <w:rStyle w:val="Link"/>
        </w:rPr>
        <w:fldChar w:fldCharType="separate" w:fldLock="0"/>
      </w:r>
      <w:r>
        <w:rPr>
          <w:rStyle w:val="Link"/>
          <w:rtl w:val="0"/>
        </w:rPr>
        <w:t>Grenfell, Hunt, and Hogarth 1900</w:t>
      </w:r>
      <w:r>
        <w:rPr/>
        <w:fldChar w:fldCharType="end" w:fldLock="0"/>
      </w:r>
      <w:r>
        <w:rPr>
          <w:rtl w:val="0"/>
          <w:lang w:val="en-US"/>
        </w:rPr>
        <w:t xml:space="preserve">: 223 (= </w:t>
      </w:r>
      <w:r>
        <w:rPr>
          <w:rStyle w:val="Link"/>
        </w:rPr>
        <w:fldChar w:fldCharType="begin" w:fldLock="0"/>
      </w:r>
      <w:r>
        <w:rPr>
          <w:rStyle w:val="Link"/>
        </w:rPr>
        <w:instrText xml:space="preserve"> HYPERLINK "https://papyri.info/hgv/10932"</w:instrText>
      </w:r>
      <w:r>
        <w:rPr>
          <w:rStyle w:val="Link"/>
        </w:rPr>
        <w:fldChar w:fldCharType="separate" w:fldLock="0"/>
      </w:r>
      <w:r>
        <w:rPr>
          <w:rStyle w:val="Link"/>
          <w:rtl w:val="0"/>
        </w:rPr>
        <w:t>P.Fay. 89</w:t>
      </w:r>
      <w:r>
        <w:rPr/>
        <w:fldChar w:fldCharType="end" w:fldLock="0"/>
      </w:r>
      <w:r>
        <w:rPr>
          <w:rtl w:val="0"/>
          <w:lang w:val="en-US"/>
        </w:rPr>
        <w:t>, introduction).</w:t>
      </w:r>
    </w:p>
  </w:footnote>
  <w:footnote w:id="65">
    <w:p>
      <w:pPr>
        <w:pStyle w:val="footnote text"/>
      </w:pPr>
      <w:r>
        <w:rPr>
          <w:vertAlign w:val="superscript"/>
          <w:lang w:val="en-US"/>
        </w:rPr>
        <w:footnoteRef/>
      </w:r>
      <w:r>
        <w:rPr>
          <w:rtl w:val="0"/>
          <w:lang w:val="en-US"/>
        </w:rPr>
        <w:t xml:space="preserve"> </w:t>
      </w:r>
      <w:r>
        <w:rPr>
          <w:rStyle w:val="Link"/>
        </w:rPr>
        <w:fldChar w:fldCharType="begin" w:fldLock="0"/>
      </w:r>
      <w:r>
        <w:rPr>
          <w:rStyle w:val="Link"/>
        </w:rPr>
        <w:instrText xml:space="preserve"> HYPERLINK "https://papyri.info/biblio/86668"</w:instrText>
      </w:r>
      <w:r>
        <w:rPr>
          <w:rStyle w:val="Link"/>
        </w:rPr>
        <w:fldChar w:fldCharType="separate" w:fldLock="0"/>
      </w:r>
      <w:r>
        <w:rPr>
          <w:rStyle w:val="Link"/>
          <w:rtl w:val="0"/>
        </w:rPr>
        <w:t>Claytor 2014</w:t>
      </w:r>
      <w:r>
        <w:rPr/>
        <w:fldChar w:fldCharType="end" w:fldLock="0"/>
      </w:r>
      <w:r>
        <w:rPr>
          <w:rtl w:val="0"/>
          <w:lang w:val="en-US"/>
        </w:rPr>
        <w:t>: 95-98.</w:t>
      </w:r>
    </w:p>
  </w:footnote>
  <w:footnote w:id="66">
    <w:p>
      <w:pPr>
        <w:pStyle w:val="footnote text"/>
      </w:pPr>
      <w:r>
        <w:rPr>
          <w:vertAlign w:val="superscript"/>
        </w:rPr>
        <w:footnoteRef/>
      </w:r>
      <w:r>
        <w:rPr>
          <w:rtl w:val="0"/>
          <w:lang w:val="en-US"/>
        </w:rPr>
        <w:t xml:space="preserve"> On the dating range, </w:t>
      </w:r>
      <w:r>
        <w:rPr>
          <w:rStyle w:val="Link"/>
        </w:rPr>
        <w:fldChar w:fldCharType="begin" w:fldLock="0"/>
      </w:r>
      <w:r>
        <w:rPr>
          <w:rStyle w:val="Link"/>
        </w:rPr>
        <w:instrText xml:space="preserve"> HYPERLINK "https://papyri.info/biblio/96060"</w:instrText>
      </w:r>
      <w:r>
        <w:rPr>
          <w:rStyle w:val="Link"/>
        </w:rPr>
        <w:fldChar w:fldCharType="separate" w:fldLock="0"/>
      </w:r>
      <w:r>
        <w:rPr>
          <w:rStyle w:val="Link"/>
          <w:rtl w:val="0"/>
        </w:rPr>
        <w:t>van Minnen 2022</w:t>
      </w:r>
      <w:r>
        <w:rPr/>
        <w:fldChar w:fldCharType="end" w:fldLock="0"/>
      </w:r>
      <w:r>
        <w:rPr>
          <w:rtl w:val="0"/>
          <w:lang w:val="en-US"/>
        </w:rPr>
        <w:t xml:space="preserve">: 1006. The papyri were published in BGU vol. 4. See also </w:t>
      </w:r>
      <w:r>
        <w:rPr>
          <w:rStyle w:val="Link"/>
        </w:rPr>
        <w:fldChar w:fldCharType="begin" w:fldLock="0"/>
      </w:r>
      <w:r>
        <w:rPr>
          <w:rStyle w:val="Link"/>
        </w:rPr>
        <w:instrText xml:space="preserve"> HYPERLINK "https://papyri.info/biblio/96313"</w:instrText>
      </w:r>
      <w:r>
        <w:rPr>
          <w:rStyle w:val="Link"/>
        </w:rPr>
        <w:fldChar w:fldCharType="separate" w:fldLock="0"/>
      </w:r>
      <w:r>
        <w:rPr>
          <w:rStyle w:val="Link"/>
          <w:rtl w:val="0"/>
        </w:rPr>
        <w:t>Schubart 1913</w:t>
      </w:r>
      <w:r>
        <w:rPr/>
        <w:fldChar w:fldCharType="end" w:fldLock="0"/>
      </w:r>
      <w:r>
        <w:rPr>
          <w:rtl w:val="0"/>
          <w:lang w:val="en-US"/>
        </w:rPr>
        <w:t xml:space="preserve">: 37 and 47; </w:t>
      </w:r>
      <w:r>
        <w:rPr>
          <w:rStyle w:val="Link"/>
        </w:rPr>
        <w:fldChar w:fldCharType="begin" w:fldLock="0"/>
      </w:r>
      <w:r>
        <w:rPr>
          <w:rStyle w:val="Link"/>
        </w:rPr>
        <w:instrText xml:space="preserve"> HYPERLINK "https://papyri.info/biblio/9194"</w:instrText>
      </w:r>
      <w:r>
        <w:rPr>
          <w:rStyle w:val="Link"/>
        </w:rPr>
        <w:fldChar w:fldCharType="separate" w:fldLock="0"/>
      </w:r>
      <w:r>
        <w:rPr>
          <w:rStyle w:val="Link"/>
          <w:rtl w:val="0"/>
        </w:rPr>
        <w:t>Wolff 1978</w:t>
      </w:r>
      <w:r>
        <w:rPr/>
        <w:fldChar w:fldCharType="end" w:fldLock="0"/>
      </w:r>
      <w:r>
        <w:rPr>
          <w:rtl w:val="0"/>
          <w:lang w:val="en-US"/>
        </w:rPr>
        <w:t xml:space="preserve">: 91-95; </w:t>
      </w:r>
      <w:r>
        <w:rPr>
          <w:rStyle w:val="Link"/>
        </w:rPr>
        <w:fldChar w:fldCharType="begin" w:fldLock="0"/>
      </w:r>
      <w:r>
        <w:rPr>
          <w:rStyle w:val="Link"/>
        </w:rPr>
        <w:instrText xml:space="preserve"> HYPERLINK "https://papyri.info/biblio/95716"</w:instrText>
      </w:r>
      <w:r>
        <w:rPr>
          <w:rStyle w:val="Link"/>
        </w:rPr>
        <w:fldChar w:fldCharType="separate" w:fldLock="0"/>
      </w:r>
      <w:r>
        <w:rPr>
          <w:rStyle w:val="Link"/>
          <w:rtl w:val="0"/>
        </w:rPr>
        <w:t>Claytor and van Minnen 2021</w:t>
      </w:r>
      <w:r>
        <w:rPr/>
        <w:fldChar w:fldCharType="end" w:fldLock="0"/>
      </w:r>
      <w:r>
        <w:rPr>
          <w:rtl w:val="0"/>
          <w:lang w:val="en-US"/>
        </w:rPr>
        <w:t xml:space="preserve">. For an extensive description of the characteristics of </w:t>
      </w:r>
      <w:r>
        <w:rPr>
          <w:i w:val="1"/>
          <w:iCs w:val="1"/>
          <w:rtl w:val="0"/>
          <w:lang w:val="en-US"/>
        </w:rPr>
        <w:t>synchoreseis</w:t>
      </w:r>
      <w:r>
        <w:rPr>
          <w:rtl w:val="0"/>
          <w:lang w:val="en-US"/>
        </w:rPr>
        <w:t xml:space="preserve">, </w:t>
      </w:r>
      <w:r>
        <w:rPr>
          <w:rStyle w:val="Link"/>
        </w:rPr>
        <w:fldChar w:fldCharType="begin" w:fldLock="0"/>
      </w:r>
      <w:r>
        <w:rPr>
          <w:rStyle w:val="Link"/>
        </w:rPr>
        <w:instrText xml:space="preserve"> HYPERLINK "https://papyri.info/biblio/97282"</w:instrText>
      </w:r>
      <w:r>
        <w:rPr>
          <w:rStyle w:val="Link"/>
        </w:rPr>
        <w:fldChar w:fldCharType="separate" w:fldLock="0"/>
      </w:r>
      <w:r>
        <w:rPr>
          <w:rStyle w:val="Link"/>
          <w:rtl w:val="0"/>
        </w:rPr>
        <w:t>van Minnen 2023</w:t>
      </w:r>
      <w:r>
        <w:rPr/>
        <w:fldChar w:fldCharType="end" w:fldLock="0"/>
      </w:r>
      <w:r>
        <w:rPr>
          <w:rtl w:val="0"/>
          <w:lang w:val="en-US"/>
        </w:rPr>
        <w:t>: 85-91.</w:t>
      </w:r>
    </w:p>
  </w:footnote>
  <w:footnote w:id="67">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"https://papyri.info/biblio/96313"</w:instrText>
      </w:r>
      <w:r>
        <w:rPr>
          <w:rStyle w:val="Link"/>
        </w:rPr>
        <w:fldChar w:fldCharType="separate" w:fldLock="0"/>
      </w:r>
      <w:r>
        <w:rPr>
          <w:rStyle w:val="Link"/>
          <w:rtl w:val="0"/>
        </w:rPr>
        <w:t>Schubart 1913</w:t>
      </w:r>
      <w:r>
        <w:rPr/>
        <w:fldChar w:fldCharType="end" w:fldLock="0"/>
      </w:r>
      <w:r>
        <w:rPr>
          <w:rtl w:val="0"/>
          <w:lang w:val="en-US"/>
        </w:rPr>
        <w:t>: 45.</w:t>
      </w:r>
    </w:p>
  </w:footnote>
  <w:footnote w:id="68">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"https://papyri.info/biblio/96313"</w:instrText>
      </w:r>
      <w:r>
        <w:rPr>
          <w:rStyle w:val="Link"/>
        </w:rPr>
        <w:fldChar w:fldCharType="separate" w:fldLock="0"/>
      </w:r>
      <w:r>
        <w:rPr>
          <w:rStyle w:val="Link"/>
          <w:rtl w:val="0"/>
        </w:rPr>
        <w:t>Schubart 1913</w:t>
      </w:r>
      <w:r>
        <w:rPr/>
        <w:fldChar w:fldCharType="end" w:fldLock="0"/>
      </w:r>
      <w:r>
        <w:rPr>
          <w:rtl w:val="0"/>
          <w:lang w:val="en-US"/>
        </w:rPr>
        <w:t xml:space="preserve">: 42; </w:t>
      </w:r>
      <w:r>
        <w:rPr>
          <w:rStyle w:val="Link"/>
        </w:rPr>
        <w:fldChar w:fldCharType="begin" w:fldLock="0"/>
      </w:r>
      <w:r>
        <w:rPr>
          <w:rStyle w:val="Link"/>
        </w:rPr>
        <w:instrText xml:space="preserve"> HYPERLINK "https://papyri.info/biblio/3159"</w:instrText>
      </w:r>
      <w:r>
        <w:rPr>
          <w:rStyle w:val="Link"/>
        </w:rPr>
        <w:fldChar w:fldCharType="separate" w:fldLock="0"/>
      </w:r>
      <w:r>
        <w:rPr>
          <w:rStyle w:val="Link"/>
          <w:rtl w:val="0"/>
        </w:rPr>
        <w:t>Preisendanz 1933</w:t>
      </w:r>
      <w:r>
        <w:rPr/>
        <w:fldChar w:fldCharType="end" w:fldLock="0"/>
      </w:r>
      <w:r>
        <w:rPr>
          <w:rtl w:val="0"/>
          <w:lang w:val="en-US"/>
        </w:rPr>
        <w:t>: 179-180, who notes that the sarcophagi were made in the first century CE, using old documents from the first century BCE.</w:t>
      </w:r>
    </w:p>
  </w:footnote>
  <w:footnote w:id="69">
    <w:p>
      <w:pPr>
        <w:pStyle w:val="footnote text"/>
      </w:pPr>
      <w:r>
        <w:rPr>
          <w:vertAlign w:val="superscript"/>
        </w:rPr>
        <w:footnoteRef/>
      </w:r>
      <w:r>
        <w:rPr>
          <w:rtl w:val="0"/>
          <w:lang w:val="en-US"/>
        </w:rPr>
        <w:t xml:space="preserve"> E.g. </w:t>
      </w:r>
      <w:r>
        <w:rPr>
          <w:rStyle w:val="Link"/>
        </w:rPr>
        <w:fldChar w:fldCharType="begin" w:fldLock="0"/>
      </w:r>
      <w:r>
        <w:rPr>
          <w:rStyle w:val="Link"/>
        </w:rPr>
        <w:instrText xml:space="preserve"> HYPERLINK "https://papyri.info/hgv/18499"</w:instrText>
      </w:r>
      <w:r>
        <w:rPr>
          <w:rStyle w:val="Link"/>
        </w:rPr>
        <w:fldChar w:fldCharType="separate" w:fldLock="0"/>
      </w:r>
      <w:r>
        <w:rPr>
          <w:rStyle w:val="Link"/>
          <w:rtl w:val="0"/>
        </w:rPr>
        <w:t>BGU 4 1055</w:t>
      </w:r>
      <w:r>
        <w:rPr/>
        <w:fldChar w:fldCharType="end" w:fldLock="0"/>
      </w:r>
      <w:r>
        <w:rPr>
          <w:rtl w:val="0"/>
          <w:lang w:val="en-US"/>
        </w:rPr>
        <w:t xml:space="preserve"> (= M.Chr. 104); </w:t>
      </w:r>
      <w:r>
        <w:rPr>
          <w:rStyle w:val="Link"/>
        </w:rPr>
        <w:fldChar w:fldCharType="begin" w:fldLock="0"/>
      </w:r>
      <w:r>
        <w:rPr>
          <w:rStyle w:val="Link"/>
        </w:rPr>
        <w:instrText xml:space="preserve"> HYPERLINK "https://papyri.info/hgv/18503"</w:instrText>
      </w:r>
      <w:r>
        <w:rPr>
          <w:rStyle w:val="Link"/>
        </w:rPr>
        <w:fldChar w:fldCharType="separate" w:fldLock="0"/>
      </w:r>
      <w:r>
        <w:rPr>
          <w:rStyle w:val="Link"/>
          <w:rtl w:val="0"/>
        </w:rPr>
        <w:t>4 1058</w:t>
      </w:r>
      <w:r>
        <w:rPr/>
        <w:fldChar w:fldCharType="end" w:fldLock="0"/>
      </w:r>
      <w:r>
        <w:rPr>
          <w:rtl w:val="0"/>
          <w:lang w:val="en-US"/>
        </w:rPr>
        <w:t xml:space="preserve"> (= M.Chr. 170 = CPGr 1.4); </w:t>
      </w:r>
      <w:r>
        <w:rPr>
          <w:rStyle w:val="Link"/>
        </w:rPr>
        <w:fldChar w:fldCharType="begin" w:fldLock="0"/>
      </w:r>
      <w:r>
        <w:rPr>
          <w:rStyle w:val="Link"/>
        </w:rPr>
        <w:instrText xml:space="preserve"> HYPERLINK "https://papyri.info/hgv/18540"</w:instrText>
      </w:r>
      <w:r>
        <w:rPr>
          <w:rStyle w:val="Link"/>
        </w:rPr>
        <w:fldChar w:fldCharType="separate" w:fldLock="0"/>
      </w:r>
      <w:r>
        <w:rPr>
          <w:rStyle w:val="Link"/>
          <w:rtl w:val="0"/>
        </w:rPr>
        <w:t>4 1102</w:t>
      </w:r>
      <w:r>
        <w:rPr/>
        <w:fldChar w:fldCharType="end" w:fldLock="0"/>
      </w:r>
      <w:r>
        <w:rPr>
          <w:rtl w:val="0"/>
          <w:lang w:val="en-US"/>
        </w:rPr>
        <w:t xml:space="preserve">; </w:t>
      </w:r>
      <w:r>
        <w:rPr>
          <w:rStyle w:val="Link"/>
        </w:rPr>
        <w:fldChar w:fldCharType="begin" w:fldLock="0"/>
      </w:r>
      <w:r>
        <w:rPr>
          <w:rStyle w:val="Link"/>
        </w:rPr>
        <w:instrText xml:space="preserve"> HYPERLINK "https://papyri.info/hgv/18541"</w:instrText>
      </w:r>
      <w:r>
        <w:rPr>
          <w:rStyle w:val="Link"/>
        </w:rPr>
        <w:fldChar w:fldCharType="separate" w:fldLock="0"/>
      </w:r>
      <w:r>
        <w:rPr>
          <w:rStyle w:val="Link"/>
          <w:rtl w:val="0"/>
        </w:rPr>
        <w:t>4 1103</w:t>
      </w:r>
      <w:r>
        <w:rPr/>
        <w:fldChar w:fldCharType="end" w:fldLock="0"/>
      </w:r>
      <w:r>
        <w:rPr>
          <w:rtl w:val="0"/>
          <w:lang w:val="en-US"/>
        </w:rPr>
        <w:t xml:space="preserve">; </w:t>
      </w:r>
      <w:r>
        <w:rPr>
          <w:rStyle w:val="Link"/>
        </w:rPr>
        <w:fldChar w:fldCharType="begin" w:fldLock="0"/>
      </w:r>
      <w:r>
        <w:rPr>
          <w:rStyle w:val="Link"/>
        </w:rPr>
        <w:instrText xml:space="preserve"> HYPERLINK "https://papyri.info/hgv/18556"</w:instrText>
      </w:r>
      <w:r>
        <w:rPr>
          <w:rStyle w:val="Link"/>
        </w:rPr>
        <w:fldChar w:fldCharType="separate" w:fldLock="0"/>
      </w:r>
      <w:r>
        <w:rPr>
          <w:rStyle w:val="Link"/>
          <w:rtl w:val="0"/>
        </w:rPr>
        <w:t>4 1115</w:t>
      </w:r>
      <w:r>
        <w:rPr/>
        <w:fldChar w:fldCharType="end" w:fldLock="0"/>
      </w:r>
      <w:r>
        <w:rPr>
          <w:rtl w:val="0"/>
          <w:lang w:val="en-US"/>
        </w:rPr>
        <w:t>.</w:t>
      </w:r>
    </w:p>
  </w:footnote>
  <w:footnote w:id="70">
    <w:p>
      <w:pPr>
        <w:pStyle w:val="footnote text"/>
      </w:pPr>
      <w:r>
        <w:rPr>
          <w:vertAlign w:val="superscript"/>
        </w:rPr>
        <w:footnoteRef/>
      </w:r>
      <w:r>
        <w:rPr>
          <w:rtl w:val="0"/>
          <w:lang w:val="en-US"/>
        </w:rPr>
        <w:t xml:space="preserve"> On the juristic relation of </w:t>
      </w:r>
      <w:r>
        <w:rPr>
          <w:rStyle w:val="Link"/>
        </w:rPr>
        <w:fldChar w:fldCharType="begin" w:fldLock="0"/>
      </w:r>
      <w:r>
        <w:rPr>
          <w:rStyle w:val="Link"/>
        </w:rPr>
        <w:instrText xml:space="preserve"> HYPERLINK "https://papyri.info/hgv/5240"</w:instrText>
      </w:r>
      <w:r>
        <w:rPr>
          <w:rStyle w:val="Link"/>
        </w:rPr>
        <w:fldChar w:fldCharType="separate" w:fldLock="0"/>
      </w:r>
      <w:r>
        <w:rPr>
          <w:rStyle w:val="Link"/>
          <w:rtl w:val="0"/>
        </w:rPr>
        <w:t>P.Merton 2 59</w:t>
      </w:r>
      <w:r>
        <w:rPr/>
        <w:fldChar w:fldCharType="end" w:fldLock="0"/>
      </w:r>
      <w:r>
        <w:rPr>
          <w:rtl w:val="0"/>
          <w:lang w:val="en-US"/>
        </w:rPr>
        <w:t xml:space="preserve"> to Alexandrian </w:t>
      </w:r>
      <w:r>
        <w:rPr>
          <w:i w:val="1"/>
          <w:iCs w:val="1"/>
          <w:rtl w:val="0"/>
          <w:lang w:val="en-US"/>
        </w:rPr>
        <w:t>synchoreseis</w:t>
      </w:r>
      <w:r>
        <w:rPr>
          <w:rtl w:val="0"/>
          <w:lang w:val="en-US"/>
        </w:rPr>
        <w:t xml:space="preserve">, </w:t>
      </w:r>
      <w:r>
        <w:rPr>
          <w:rStyle w:val="Link"/>
        </w:rPr>
        <w:fldChar w:fldCharType="begin" w:fldLock="0"/>
      </w:r>
      <w:r>
        <w:rPr>
          <w:rStyle w:val="Link"/>
        </w:rPr>
        <w:instrText xml:space="preserve"> HYPERLINK "https://papyri.info/biblio/9194"</w:instrText>
      </w:r>
      <w:r>
        <w:rPr>
          <w:rStyle w:val="Link"/>
        </w:rPr>
        <w:fldChar w:fldCharType="separate" w:fldLock="0"/>
      </w:r>
      <w:r>
        <w:rPr>
          <w:rStyle w:val="Link"/>
          <w:rtl w:val="0"/>
        </w:rPr>
        <w:t>Wolff 1978</w:t>
      </w:r>
      <w:r>
        <w:rPr/>
        <w:fldChar w:fldCharType="end" w:fldLock="0"/>
      </w:r>
      <w:r>
        <w:rPr>
          <w:rtl w:val="0"/>
          <w:lang w:val="en-US"/>
        </w:rPr>
        <w:t xml:space="preserve">: 93. On the typological aspects, </w:t>
      </w:r>
      <w:r>
        <w:rPr>
          <w:rStyle w:val="Link"/>
        </w:rPr>
        <w:fldChar w:fldCharType="begin" w:fldLock="0"/>
      </w:r>
      <w:r>
        <w:rPr>
          <w:rStyle w:val="Link"/>
        </w:rPr>
        <w:instrText xml:space="preserve"> HYPERLINK "https://papyri.info/biblio/97282"</w:instrText>
      </w:r>
      <w:r>
        <w:rPr>
          <w:rStyle w:val="Link"/>
        </w:rPr>
        <w:fldChar w:fldCharType="separate" w:fldLock="0"/>
      </w:r>
      <w:r>
        <w:rPr>
          <w:rStyle w:val="Link"/>
          <w:rtl w:val="0"/>
        </w:rPr>
        <w:t>van Minnen 2023</w:t>
      </w:r>
      <w:r>
        <w:rPr/>
        <w:fldChar w:fldCharType="end" w:fldLock="0"/>
      </w:r>
      <w:r>
        <w:rPr>
          <w:rtl w:val="0"/>
          <w:lang w:val="en-US"/>
        </w:rPr>
        <w:t xml:space="preserve">: 96-97; </w:t>
      </w:r>
      <w:r>
        <w:rPr>
          <w:rStyle w:val="Hyperlink.0"/>
        </w:rPr>
        <w:fldChar w:fldCharType="begin" w:fldLock="0"/>
      </w:r>
      <w:r>
        <w:rPr>
          <w:rStyle w:val="Hyperlink.0"/>
        </w:rPr>
        <w:instrText xml:space="preserve"> HYPERLINK "https://papyri.info/biblio/97504"</w:instrText>
      </w:r>
      <w:r>
        <w:rPr>
          <w:rStyle w:val="Hyperlink.0"/>
        </w:rPr>
        <w:fldChar w:fldCharType="separate" w:fldLock="0"/>
      </w:r>
      <w:r>
        <w:rPr>
          <w:rStyle w:val="Hyperlink.0"/>
          <w:rtl w:val="0"/>
        </w:rPr>
        <w:t>Ferretti 2024</w:t>
      </w:r>
      <w:r>
        <w:rPr/>
        <w:fldChar w:fldCharType="end" w:fldLock="0"/>
      </w:r>
      <w:r>
        <w:rPr>
          <w:rtl w:val="0"/>
          <w:lang w:val="en-US"/>
        </w:rPr>
        <w:t>: 181-183 and 300-303.</w:t>
      </w:r>
    </w:p>
  </w:footnote>
  <w:footnote w:id="71">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"https://papyri.info/biblio/97282"</w:instrText>
      </w:r>
      <w:r>
        <w:rPr>
          <w:rStyle w:val="Hyperlink.0"/>
          <w:lang w:val="en-US"/>
        </w:rPr>
        <w:fldChar w:fldCharType="separate" w:fldLock="0"/>
      </w:r>
      <w:r>
        <w:rPr>
          <w:rStyle w:val="Hyperlink.0"/>
          <w:rtl w:val="0"/>
          <w:lang w:val="en-US"/>
        </w:rPr>
        <w:t>van Minnen 2023</w:t>
      </w:r>
      <w:r>
        <w:rPr/>
        <w:fldChar w:fldCharType="end" w:fldLock="0"/>
      </w:r>
      <w:r>
        <w:rPr>
          <w:rtl w:val="0"/>
          <w:lang w:val="en-US"/>
        </w:rPr>
        <w:t xml:space="preserve">: 85: </w:t>
      </w:r>
      <w:r>
        <w:rPr>
          <w:rtl w:val="0"/>
          <w:lang w:val="en-US"/>
        </w:rPr>
        <w:t>“</w:t>
      </w:r>
      <w:r>
        <w:rPr>
          <w:rtl w:val="0"/>
          <w:lang w:val="en-US"/>
        </w:rPr>
        <w:t xml:space="preserve">All other </w:t>
      </w:r>
      <w:r>
        <w:rPr>
          <w:i w:val="1"/>
          <w:iCs w:val="1"/>
          <w:rtl w:val="0"/>
          <w:lang w:val="en-US"/>
        </w:rPr>
        <w:t>synchoreseis</w:t>
      </w:r>
      <w:r>
        <w:rPr>
          <w:rtl w:val="0"/>
          <w:lang w:val="en-US"/>
        </w:rPr>
        <w:t xml:space="preserve"> are addressed to the </w:t>
      </w:r>
      <w:r>
        <w:rPr>
          <w:i w:val="1"/>
          <w:iCs w:val="1"/>
          <w:rtl w:val="0"/>
          <w:lang w:val="en-US"/>
        </w:rPr>
        <w:t>archidikastes</w:t>
      </w:r>
      <w:r>
        <w:rPr>
          <w:rtl w:val="0"/>
          <w:lang w:val="en-US"/>
        </w:rPr>
        <w:t xml:space="preserve"> in Alexandria and are either exemplars issued to one of the parties and taken by them to Middle Egypt or copies made from them.</w:t>
      </w:r>
      <w:r>
        <w:rPr>
          <w:rtl w:val="0"/>
          <w:lang w:val="en-US"/>
        </w:rPr>
        <w:t>”</w:t>
      </w:r>
    </w:p>
  </w:footnote>
  <w:footnote w:id="72">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"https://papyri.info/biblio/95039"</w:instrText>
      </w:r>
      <w:r>
        <w:rPr>
          <w:rStyle w:val="Link"/>
        </w:rPr>
        <w:fldChar w:fldCharType="separate" w:fldLock="0"/>
      </w:r>
      <w:r>
        <w:rPr>
          <w:rStyle w:val="Link"/>
          <w:rtl w:val="0"/>
        </w:rPr>
        <w:t>Wilcken 1927</w:t>
      </w:r>
      <w:r>
        <w:rPr/>
        <w:fldChar w:fldCharType="end" w:fldLock="0"/>
      </w:r>
      <w:r>
        <w:rPr>
          <w:rtl w:val="0"/>
          <w:lang w:val="en-US"/>
        </w:rPr>
        <w:t xml:space="preserve">: 544 (= </w:t>
      </w:r>
      <w:r>
        <w:rPr>
          <w:rStyle w:val="Link"/>
        </w:rPr>
        <w:fldChar w:fldCharType="begin" w:fldLock="0"/>
      </w:r>
      <w:r>
        <w:rPr>
          <w:rStyle w:val="Link"/>
        </w:rPr>
        <w:instrText xml:space="preserve"> HYPERLINK "https://papyri.info/hgv/3510"</w:instrText>
      </w:r>
      <w:r>
        <w:rPr>
          <w:rStyle w:val="Link"/>
        </w:rPr>
        <w:fldChar w:fldCharType="separate" w:fldLock="0"/>
      </w:r>
      <w:r>
        <w:rPr>
          <w:rStyle w:val="Link"/>
          <w:rtl w:val="0"/>
        </w:rPr>
        <w:t>UPZ 1 118</w:t>
      </w:r>
      <w:r>
        <w:rPr/>
        <w:fldChar w:fldCharType="end" w:fldLock="0"/>
      </w:r>
      <w:r>
        <w:rPr>
          <w:rtl w:val="0"/>
          <w:lang w:val="en-US"/>
        </w:rPr>
        <w:t>, introduction).</w:t>
      </w:r>
    </w:p>
  </w:footnote>
  <w:footnote w:id="73">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"https://papyri.info/biblio/97282"</w:instrText>
      </w:r>
      <w:r>
        <w:rPr>
          <w:rStyle w:val="Link"/>
        </w:rPr>
        <w:fldChar w:fldCharType="separate" w:fldLock="0"/>
      </w:r>
      <w:r>
        <w:rPr>
          <w:rStyle w:val="Link"/>
          <w:rtl w:val="0"/>
        </w:rPr>
        <w:t>van Minnen 2023</w:t>
      </w:r>
      <w:r>
        <w:rPr/>
        <w:fldChar w:fldCharType="end" w:fldLock="0"/>
      </w:r>
      <w:r>
        <w:rPr>
          <w:rtl w:val="0"/>
          <w:lang w:val="en-US"/>
        </w:rPr>
        <w:t xml:space="preserve">: 92-93, who cites </w:t>
      </w:r>
      <w:r>
        <w:rPr>
          <w:rtl w:val="0"/>
          <w:lang w:val="en-US"/>
        </w:rPr>
        <w:t xml:space="preserve">– </w:t>
      </w:r>
      <w:r>
        <w:rPr>
          <w:rtl w:val="0"/>
          <w:lang w:val="en-US"/>
        </w:rPr>
        <w:t xml:space="preserve">among others </w:t>
      </w:r>
      <w:r>
        <w:rPr>
          <w:rtl w:val="0"/>
          <w:lang w:val="en-US"/>
        </w:rPr>
        <w:t xml:space="preserve">– </w:t>
      </w:r>
      <w:r>
        <w:rPr>
          <w:rStyle w:val="Link"/>
        </w:rPr>
        <w:fldChar w:fldCharType="begin" w:fldLock="0"/>
      </w:r>
      <w:r>
        <w:rPr>
          <w:rStyle w:val="Link"/>
        </w:rPr>
        <w:instrText xml:space="preserve"> HYPERLINK "https://papyri.info/hgv/10738"</w:instrText>
      </w:r>
      <w:r>
        <w:rPr>
          <w:rStyle w:val="Link"/>
        </w:rPr>
        <w:fldChar w:fldCharType="separate" w:fldLock="0"/>
      </w:r>
      <w:r>
        <w:rPr>
          <w:rStyle w:val="Link"/>
          <w:rtl w:val="0"/>
        </w:rPr>
        <w:t>P.Fam. Tebt. 20</w:t>
      </w:r>
      <w:r>
        <w:rPr/>
        <w:fldChar w:fldCharType="end" w:fldLock="0"/>
      </w:r>
      <w:r>
        <w:rPr>
          <w:rtl w:val="0"/>
          <w:lang w:val="en-US"/>
        </w:rPr>
        <w:t xml:space="preserve"> (120-121 CE, Ptolemais Euergetis) and </w:t>
      </w:r>
      <w:r>
        <w:rPr>
          <w:rStyle w:val="Link"/>
        </w:rPr>
        <w:fldChar w:fldCharType="begin" w:fldLock="0"/>
      </w:r>
      <w:r>
        <w:rPr>
          <w:rStyle w:val="Link"/>
        </w:rPr>
        <w:instrText xml:space="preserve"> HYPERLINK "https://papyri.info/hgv/13478"</w:instrText>
      </w:r>
      <w:r>
        <w:rPr>
          <w:rStyle w:val="Link"/>
        </w:rPr>
        <w:fldChar w:fldCharType="separate" w:fldLock="0"/>
      </w:r>
      <w:r>
        <w:rPr>
          <w:rStyle w:val="Link"/>
          <w:rtl w:val="0"/>
        </w:rPr>
        <w:t>P.Tebt. 2 319</w:t>
      </w:r>
      <w:r>
        <w:rPr/>
        <w:fldChar w:fldCharType="end" w:fldLock="0"/>
      </w:r>
      <w:r>
        <w:rPr>
          <w:rtl w:val="0"/>
          <w:lang w:val="en-US"/>
        </w:rPr>
        <w:t xml:space="preserve"> (ca. 248 CE, Tebtynis).</w:t>
      </w:r>
    </w:p>
  </w:footnote>
  <w:footnote w:id="74">
    <w:p>
      <w:pPr>
        <w:pStyle w:val="footnote text"/>
      </w:pPr>
      <w:r>
        <w:rPr>
          <w:vertAlign w:val="superscript"/>
        </w:rPr>
        <w:footnoteRef/>
      </w:r>
      <w:r>
        <w:rPr>
          <w:rtl w:val="0"/>
          <w:lang w:val="en-US"/>
        </w:rPr>
        <w:t xml:space="preserve"> For a more detailed survey of this Alexandrian archive and its relation to the general type of </w:t>
      </w:r>
      <w:r>
        <w:rPr>
          <w:i w:val="1"/>
          <w:iCs w:val="1"/>
          <w:rtl w:val="0"/>
          <w:lang w:val="en-US"/>
        </w:rPr>
        <w:t>hypomnema</w:t>
      </w:r>
      <w:r>
        <w:rPr>
          <w:rtl w:val="0"/>
          <w:lang w:val="en-US"/>
        </w:rPr>
        <w:t xml:space="preserve">, </w:t>
      </w:r>
      <w:r>
        <w:rPr>
          <w:rStyle w:val="Hyperlink.0"/>
        </w:rPr>
        <w:fldChar w:fldCharType="begin" w:fldLock="0"/>
      </w:r>
      <w:r>
        <w:rPr>
          <w:rStyle w:val="Hyperlink.0"/>
        </w:rPr>
        <w:instrText xml:space="preserve"> HYPERLINK "https://papyri.info/biblio/97504"</w:instrText>
      </w:r>
      <w:r>
        <w:rPr>
          <w:rStyle w:val="Hyperlink.0"/>
        </w:rPr>
        <w:fldChar w:fldCharType="separate" w:fldLock="0"/>
      </w:r>
      <w:r>
        <w:rPr>
          <w:rStyle w:val="Hyperlink.0"/>
          <w:rtl w:val="0"/>
        </w:rPr>
        <w:t>Ferretti 2024</w:t>
      </w:r>
      <w:r>
        <w:rPr/>
        <w:fldChar w:fldCharType="end" w:fldLock="0"/>
      </w:r>
      <w:r>
        <w:rPr>
          <w:rtl w:val="0"/>
          <w:lang w:val="en-US"/>
        </w:rPr>
        <w:t>: 292-304.</w:t>
      </w:r>
    </w:p>
  </w:footnote>
  <w:footnote w:id="75">
    <w:p>
      <w:pPr>
        <w:pStyle w:val="footnote text"/>
      </w:pPr>
      <w:r>
        <w:rPr>
          <w:vertAlign w:val="superscript"/>
          <w:lang w:val="fr-FR"/>
        </w:rPr>
        <w:footnoteRef/>
      </w:r>
      <w:r>
        <w:rPr>
          <w:rtl w:val="0"/>
          <w:lang w:val="fr-FR"/>
        </w:rPr>
        <w:t xml:space="preserve"> E.g. </w:t>
      </w:r>
      <w:r>
        <w:rPr>
          <w:rStyle w:val="Hyperlink.7"/>
          <w:lang w:val="fr-FR"/>
        </w:rPr>
        <w:fldChar w:fldCharType="begin" w:fldLock="0"/>
      </w:r>
      <w:r>
        <w:rPr>
          <w:rStyle w:val="Hyperlink.7"/>
          <w:lang w:val="fr-FR"/>
        </w:rPr>
        <w:instrText xml:space="preserve"> HYPERLINK "https://papyri.info/hgv/5579"</w:instrText>
      </w:r>
      <w:r>
        <w:rPr>
          <w:rStyle w:val="Hyperlink.7"/>
          <w:lang w:val="fr-FR"/>
        </w:rPr>
        <w:fldChar w:fldCharType="separate" w:fldLock="0"/>
      </w:r>
      <w:r>
        <w:rPr>
          <w:rStyle w:val="Hyperlink.7"/>
          <w:rtl w:val="0"/>
          <w:lang w:val="fr-FR"/>
        </w:rPr>
        <w:t>PSI 10 1098</w:t>
      </w:r>
      <w:r>
        <w:rPr>
          <w:lang w:val="fr-FR"/>
        </w:rPr>
        <w:fldChar w:fldCharType="end" w:fldLock="0"/>
      </w:r>
      <w:r>
        <w:rPr>
          <w:rtl w:val="0"/>
          <w:lang w:val="fr-FR"/>
        </w:rPr>
        <w:t xml:space="preserve"> (51 BCE, Tebtynis [Arsinoite nome]).</w:t>
      </w:r>
    </w:p>
  </w:footnote>
  <w:footnote w:id="76">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"https://papyri.info/biblio/96313"</w:instrText>
      </w:r>
      <w:r>
        <w:rPr>
          <w:rStyle w:val="Hyperlink.0"/>
          <w:lang w:val="en-US"/>
        </w:rPr>
        <w:fldChar w:fldCharType="separate" w:fldLock="0"/>
      </w:r>
      <w:r>
        <w:rPr>
          <w:rStyle w:val="Hyperlink.0"/>
          <w:rtl w:val="0"/>
          <w:lang w:val="en-US"/>
        </w:rPr>
        <w:t>Schubart 1913</w:t>
      </w:r>
      <w:r>
        <w:rPr>
          <w:lang w:val="en-US"/>
        </w:rPr>
        <w:fldChar w:fldCharType="end" w:fldLock="0"/>
      </w:r>
      <w:r>
        <w:rPr>
          <w:rtl w:val="0"/>
          <w:lang w:val="en-US"/>
        </w:rPr>
        <w:t>: 46.</w:t>
      </w:r>
    </w:p>
  </w:footnote>
  <w:footnote w:id="77">
    <w:p>
      <w:pPr>
        <w:pStyle w:val="footnote text"/>
      </w:pPr>
      <w:r>
        <w:rPr>
          <w:vertAlign w:val="superscript"/>
        </w:rPr>
        <w:footnoteRef/>
      </w:r>
      <w:r>
        <w:rPr>
          <w:rtl w:val="0"/>
          <w:lang w:val="en-US"/>
        </w:rPr>
        <w:t xml:space="preserve"> </w:t>
      </w:r>
      <w:r>
        <w:rPr>
          <w:rtl w:val="0"/>
          <w:lang w:val="en-US"/>
        </w:rPr>
        <w:t xml:space="preserve">A similar phenomenon occurs in another type, namely a declaration on oath (addressed below, </w:t>
      </w:r>
      <w:r>
        <w:rPr>
          <w:rStyle w:val="Hyperlink.0"/>
          <w:lang w:val="en-US"/>
        </w:rPr>
        <w:fldChar w:fldCharType="begin" w:fldLock="0"/>
      </w:r>
      <w:r>
        <w:rPr>
          <w:rStyle w:val="Hyperlink.0"/>
          <w:lang w:val="en-US"/>
        </w:rPr>
        <w:instrText xml:space="preserve"> HYPERLINK "https://papyri.info/hgv/9228"</w:instrText>
      </w:r>
      <w:r>
        <w:rPr>
          <w:rStyle w:val="Hyperlink.0"/>
          <w:lang w:val="en-US"/>
        </w:rPr>
        <w:fldChar w:fldCharType="separate" w:fldLock="0"/>
      </w:r>
      <w:r>
        <w:rPr>
          <w:rStyle w:val="Hyperlink.0"/>
          <w:rtl w:val="0"/>
          <w:lang w:val="en-US"/>
        </w:rPr>
        <w:t>BGU 2 543</w:t>
      </w:r>
      <w:r>
        <w:rPr/>
        <w:fldChar w:fldCharType="end" w:fldLock="0"/>
      </w:r>
      <w:r>
        <w:rPr>
          <w:rtl w:val="0"/>
          <w:lang w:val="en-US"/>
        </w:rPr>
        <w:t>).</w:t>
      </w:r>
    </w:p>
  </w:footnote>
  <w:footnote w:id="78">
    <w:p>
      <w:pPr>
        <w:pStyle w:val="footnote text"/>
      </w:pPr>
      <w:r>
        <w:rPr>
          <w:vertAlign w:val="superscript"/>
          <w:lang w:val="de-DE"/>
        </w:rPr>
        <w:footnoteRef/>
      </w:r>
      <w:r>
        <w:rPr>
          <w:rtl w:val="0"/>
          <w:lang w:val="de-DE"/>
        </w:rPr>
        <w:t xml:space="preserve"> </w:t>
      </w:r>
      <w:r>
        <w:rPr>
          <w:rStyle w:val="Hyperlink.3"/>
          <w:lang w:val="de-DE"/>
        </w:rPr>
        <w:fldChar w:fldCharType="begin" w:fldLock="0"/>
      </w:r>
      <w:r>
        <w:rPr>
          <w:rStyle w:val="Hyperlink.3"/>
          <w:lang w:val="de-DE"/>
        </w:rPr>
        <w:instrText xml:space="preserve"> HYPERLINK "https://papyri.info/biblio/72702"</w:instrText>
      </w:r>
      <w:r>
        <w:rPr>
          <w:rStyle w:val="Hyperlink.3"/>
          <w:lang w:val="de-DE"/>
        </w:rPr>
        <w:fldChar w:fldCharType="separate" w:fldLock="0"/>
      </w:r>
      <w:r>
        <w:rPr>
          <w:rStyle w:val="Hyperlink.3"/>
          <w:rtl w:val="0"/>
          <w:lang w:val="de-DE"/>
        </w:rPr>
        <w:t>van Minnen 2003</w:t>
      </w:r>
      <w:r>
        <w:rPr>
          <w:lang w:val="de-DE"/>
        </w:rPr>
        <w:fldChar w:fldCharType="end" w:fldLock="0"/>
      </w:r>
      <w:r>
        <w:rPr>
          <w:rtl w:val="0"/>
          <w:lang w:val="de-DE"/>
        </w:rPr>
        <w:t>: 40.</w:t>
      </w:r>
    </w:p>
  </w:footnote>
  <w:footnote w:id="79">
    <w:p>
      <w:pPr>
        <w:pStyle w:val="footnote text"/>
      </w:pPr>
      <w:r>
        <w:rPr>
          <w:vertAlign w:val="superscript"/>
          <w:lang w:val="de-DE"/>
        </w:rPr>
        <w:footnoteRef/>
      </w:r>
      <w:r>
        <w:rPr>
          <w:rtl w:val="0"/>
          <w:lang w:val="de-DE"/>
        </w:rPr>
        <w:t xml:space="preserve"> </w:t>
      </w:r>
      <w:r>
        <w:rPr>
          <w:rStyle w:val="Hyperlink.3"/>
          <w:lang w:val="de-DE"/>
        </w:rPr>
        <w:fldChar w:fldCharType="begin" w:fldLock="0"/>
      </w:r>
      <w:r>
        <w:rPr>
          <w:rStyle w:val="Hyperlink.3"/>
          <w:lang w:val="de-DE"/>
        </w:rPr>
        <w:instrText xml:space="preserve"> HYPERLINK "https://papyri.info/biblio/69610"</w:instrText>
      </w:r>
      <w:r>
        <w:rPr>
          <w:rStyle w:val="Hyperlink.3"/>
          <w:lang w:val="de-DE"/>
        </w:rPr>
        <w:fldChar w:fldCharType="separate" w:fldLock="0"/>
      </w:r>
      <w:r>
        <w:rPr>
          <w:rStyle w:val="Hyperlink.3"/>
          <w:rtl w:val="0"/>
          <w:lang w:val="de-DE"/>
        </w:rPr>
        <w:t>van Minnen 2000</w:t>
      </w:r>
      <w:r>
        <w:rPr>
          <w:lang w:val="de-DE"/>
        </w:rPr>
        <w:fldChar w:fldCharType="end" w:fldLock="0"/>
      </w:r>
      <w:r>
        <w:rPr>
          <w:rtl w:val="0"/>
          <w:lang w:val="de-DE"/>
        </w:rPr>
        <w:t>.</w:t>
      </w:r>
    </w:p>
  </w:footnote>
  <w:footnote w:id="80">
    <w:p>
      <w:pPr>
        <w:pStyle w:val="footnote text"/>
      </w:pPr>
      <w:r>
        <w:rPr>
          <w:vertAlign w:val="superscript"/>
        </w:rPr>
        <w:footnoteRef/>
      </w:r>
      <w:r>
        <w:rPr>
          <w:rtl w:val="0"/>
          <w:lang w:val="de-DE"/>
        </w:rPr>
        <w:t xml:space="preserve"> </w:t>
      </w:r>
      <w:r>
        <w:rPr>
          <w:i w:val="1"/>
          <w:iCs w:val="1"/>
          <w:rtl w:val="0"/>
          <w:lang w:val="de-DE"/>
        </w:rPr>
        <w:t>Pro</w:t>
      </w:r>
      <w:r>
        <w:rPr>
          <w:rtl w:val="0"/>
          <w:lang w:val="de-DE"/>
        </w:rPr>
        <w:t xml:space="preserve">: </w:t>
      </w:r>
      <w:r>
        <w:rPr>
          <w:rStyle w:val="Hyperlink.3"/>
          <w:lang w:val="de-DE"/>
        </w:rPr>
        <w:fldChar w:fldCharType="begin" w:fldLock="0"/>
      </w:r>
      <w:r>
        <w:rPr>
          <w:rStyle w:val="Hyperlink.3"/>
          <w:lang w:val="de-DE"/>
        </w:rPr>
        <w:instrText xml:space="preserve"> HYPERLINK "https://papyri.info/biblio/69610"</w:instrText>
      </w:r>
      <w:r>
        <w:rPr>
          <w:rStyle w:val="Hyperlink.3"/>
          <w:lang w:val="de-DE"/>
        </w:rPr>
        <w:fldChar w:fldCharType="separate" w:fldLock="0"/>
      </w:r>
      <w:r>
        <w:rPr>
          <w:rStyle w:val="Hyperlink.3"/>
          <w:rtl w:val="0"/>
          <w:lang w:val="de-DE"/>
        </w:rPr>
        <w:t>van Minnen 2000</w:t>
      </w:r>
      <w:r>
        <w:rPr/>
        <w:fldChar w:fldCharType="end" w:fldLock="0"/>
      </w:r>
      <w:r>
        <w:rPr>
          <w:rtl w:val="0"/>
          <w:lang w:val="de-DE"/>
        </w:rPr>
        <w:t xml:space="preserve">: 29-34; </w:t>
      </w:r>
      <w:r>
        <w:rPr>
          <w:i w:val="1"/>
          <w:iCs w:val="1"/>
          <w:rtl w:val="0"/>
          <w:lang w:val="de-DE"/>
        </w:rPr>
        <w:t>contra</w:t>
      </w:r>
      <w:r>
        <w:rPr>
          <w:rtl w:val="0"/>
          <w:lang w:val="de-DE"/>
        </w:rPr>
        <w:t xml:space="preserve">: </w:t>
      </w:r>
      <w:r>
        <w:rPr>
          <w:rStyle w:val="Hyperlink.3"/>
          <w:lang w:val="de-DE"/>
        </w:rPr>
        <w:fldChar w:fldCharType="begin" w:fldLock="0"/>
      </w:r>
      <w:r>
        <w:rPr>
          <w:rStyle w:val="Hyperlink.3"/>
          <w:lang w:val="de-DE"/>
        </w:rPr>
        <w:instrText xml:space="preserve"> HYPERLINK "https://papyri.info/biblio/95860"</w:instrText>
      </w:r>
      <w:r>
        <w:rPr>
          <w:rStyle w:val="Hyperlink.3"/>
          <w:lang w:val="de-DE"/>
        </w:rPr>
        <w:fldChar w:fldCharType="separate" w:fldLock="0"/>
      </w:r>
      <w:r>
        <w:rPr>
          <w:rStyle w:val="Hyperlink.3"/>
          <w:rtl w:val="0"/>
          <w:lang w:val="de-DE"/>
        </w:rPr>
        <w:t>Sarri 2018</w:t>
      </w:r>
      <w:r>
        <w:rPr/>
        <w:fldChar w:fldCharType="end" w:fldLock="0"/>
      </w:r>
      <w:r>
        <w:rPr>
          <w:rtl w:val="0"/>
          <w:lang w:val="de-DE"/>
        </w:rPr>
        <w:t xml:space="preserve">: 168, n. 593. </w:t>
      </w:r>
      <w:r>
        <w:rPr>
          <w:rtl w:val="0"/>
          <w:lang w:val="en-US"/>
        </w:rPr>
        <w:t xml:space="preserve">The superfluous </w:t>
      </w:r>
      <w:r>
        <w:rPr>
          <w:i w:val="1"/>
          <w:iCs w:val="1"/>
          <w:rtl w:val="0"/>
          <w:lang w:val="en-US"/>
        </w:rPr>
        <w:t>iota</w:t>
      </w:r>
      <w:r>
        <w:rPr>
          <w:rtl w:val="0"/>
          <w:lang w:val="en-US"/>
        </w:rPr>
        <w:t xml:space="preserve"> at the end of the imperative </w:t>
      </w:r>
      <w:r>
        <w:rPr>
          <w:rtl w:val="0"/>
          <w:lang w:val="en-US"/>
        </w:rPr>
        <w:t xml:space="preserve">γινέσθωι </w:t>
      </w:r>
      <w:r>
        <w:rPr>
          <w:rtl w:val="0"/>
          <w:lang w:val="en-US"/>
        </w:rPr>
        <w:t xml:space="preserve">is a common mistake that should not be taken as a sign of sloppiness on the part of a ruler who was famous for her linguistic skills (Plut. </w:t>
      </w:r>
      <w:r>
        <w:rPr>
          <w:i w:val="1"/>
          <w:iCs w:val="1"/>
          <w:rtl w:val="0"/>
          <w:lang w:val="en-US"/>
        </w:rPr>
        <w:t>Ant.</w:t>
      </w:r>
      <w:r>
        <w:rPr>
          <w:rtl w:val="0"/>
          <w:lang w:val="en-US"/>
        </w:rPr>
        <w:t xml:space="preserve"> 27.4-5; </w:t>
      </w:r>
      <w:r>
        <w:rPr>
          <w:rStyle w:val="Link"/>
        </w:rPr>
        <w:fldChar w:fldCharType="begin" w:fldLock="0"/>
      </w:r>
      <w:r>
        <w:rPr>
          <w:rStyle w:val="Link"/>
        </w:rPr>
        <w:instrText xml:space="preserve"> HYPERLINK "https://papyri.info/biblio/97506"</w:instrText>
      </w:r>
      <w:r>
        <w:rPr>
          <w:rStyle w:val="Link"/>
        </w:rPr>
        <w:fldChar w:fldCharType="separate" w:fldLock="0"/>
      </w:r>
      <w:r>
        <w:rPr>
          <w:rStyle w:val="Link"/>
          <w:rtl w:val="0"/>
          <w:lang w:val="pt-PT"/>
        </w:rPr>
        <w:t>Legras 2021</w:t>
      </w:r>
      <w:r>
        <w:rPr/>
        <w:fldChar w:fldCharType="end" w:fldLock="0"/>
      </w:r>
      <w:r>
        <w:rPr>
          <w:rtl w:val="0"/>
          <w:lang w:val="en-US"/>
        </w:rPr>
        <w:t xml:space="preserve">: 35-40; </w:t>
      </w:r>
      <w:r>
        <w:rPr>
          <w:rStyle w:val="Hyperlink.2"/>
          <w:lang w:val="en-US"/>
        </w:rPr>
        <w:fldChar w:fldCharType="begin" w:fldLock="0"/>
      </w:r>
      <w:r>
        <w:rPr>
          <w:rStyle w:val="Hyperlink.2"/>
          <w:lang w:val="en-US"/>
        </w:rPr>
        <w:instrText xml:space="preserve"> HYPERLINK "https://papyri.info/biblio/89085"</w:instrText>
      </w:r>
      <w:r>
        <w:rPr>
          <w:rStyle w:val="Hyperlink.2"/>
          <w:lang w:val="en-US"/>
        </w:rPr>
        <w:fldChar w:fldCharType="separate" w:fldLock="0"/>
      </w:r>
      <w:r>
        <w:rPr>
          <w:rStyle w:val="Hyperlink.2"/>
          <w:rtl w:val="0"/>
          <w:lang w:val="en-US"/>
        </w:rPr>
        <w:t>Wasserstein 2014</w:t>
      </w:r>
      <w:r>
        <w:rPr/>
        <w:fldChar w:fldCharType="end" w:fldLock="0"/>
      </w:r>
      <w:r>
        <w:rPr>
          <w:rtl w:val="0"/>
          <w:lang w:val="en-US"/>
        </w:rPr>
        <w:t xml:space="preserve"> is more skeptical, but his position does not rest on any convincing argument). In the main body of the text, Cleopatra</w:t>
      </w:r>
      <w:r>
        <w:rPr>
          <w:rtl w:val="0"/>
          <w:lang w:val="en-US"/>
        </w:rPr>
        <w:t>’</w:t>
      </w:r>
      <w:r>
        <w:rPr>
          <w:rtl w:val="0"/>
          <w:lang w:val="en-US"/>
        </w:rPr>
        <w:t xml:space="preserve">s own scribe made a consistent use of </w:t>
      </w:r>
      <w:r>
        <w:rPr>
          <w:i w:val="1"/>
          <w:iCs w:val="1"/>
          <w:rtl w:val="0"/>
          <w:lang w:val="en-US"/>
        </w:rPr>
        <w:t xml:space="preserve">iota </w:t>
      </w:r>
      <w:r>
        <w:rPr>
          <w:rtl w:val="0"/>
          <w:lang w:val="en-US"/>
        </w:rPr>
        <w:t xml:space="preserve">adscript but also inserted a superfluous </w:t>
      </w:r>
      <w:r>
        <w:rPr>
          <w:i w:val="1"/>
          <w:iCs w:val="1"/>
          <w:rtl w:val="0"/>
          <w:lang w:val="en-US"/>
        </w:rPr>
        <w:t>iota</w:t>
      </w:r>
      <w:r>
        <w:rPr>
          <w:rtl w:val="0"/>
          <w:lang w:val="en-US"/>
        </w:rPr>
        <w:t xml:space="preserve"> at the end of an imperative (15: </w:t>
      </w:r>
      <w:r>
        <w:rPr>
          <w:rtl w:val="0"/>
          <w:lang w:val="en-US"/>
        </w:rPr>
        <w:t>γραφήτωι</w:t>
      </w:r>
      <w:r>
        <w:rPr>
          <w:rtl w:val="0"/>
          <w:lang w:val="en-US"/>
        </w:rPr>
        <w:t xml:space="preserve">). On this phonetic oddity, </w:t>
      </w:r>
      <w:r>
        <w:rPr>
          <w:rStyle w:val="Hyperlink.2"/>
          <w:lang w:val="en-US"/>
        </w:rPr>
        <w:fldChar w:fldCharType="begin" w:fldLock="0"/>
      </w:r>
      <w:r>
        <w:rPr>
          <w:rStyle w:val="Hyperlink.2"/>
          <w:lang w:val="en-US"/>
        </w:rPr>
        <w:instrText xml:space="preserve"> HYPERLINK "https://papyri.info/biblio/51280"</w:instrText>
      </w:r>
      <w:r>
        <w:rPr>
          <w:rStyle w:val="Hyperlink.2"/>
          <w:lang w:val="en-US"/>
        </w:rPr>
        <w:fldChar w:fldCharType="separate" w:fldLock="0"/>
      </w:r>
      <w:r>
        <w:rPr>
          <w:rStyle w:val="Hyperlink.2"/>
          <w:rtl w:val="0"/>
          <w:lang w:val="en-US"/>
        </w:rPr>
        <w:t>Clarysse 1976</w:t>
      </w:r>
      <w:r>
        <w:rPr/>
        <w:fldChar w:fldCharType="end" w:fldLock="0"/>
      </w:r>
      <w:r>
        <w:rPr>
          <w:rtl w:val="0"/>
          <w:lang w:val="en-US"/>
        </w:rPr>
        <w:t xml:space="preserve">. In </w:t>
      </w:r>
      <w:r>
        <w:rPr>
          <w:rStyle w:val="Hyperlink.2"/>
          <w:lang w:val="en-US"/>
        </w:rPr>
        <w:fldChar w:fldCharType="begin" w:fldLock="0"/>
      </w:r>
      <w:r>
        <w:rPr>
          <w:rStyle w:val="Hyperlink.2"/>
          <w:lang w:val="en-US"/>
        </w:rPr>
        <w:instrText xml:space="preserve"> HYPERLINK "http://www.trismegistos.org/text/6449"</w:instrText>
      </w:r>
      <w:r>
        <w:rPr>
          <w:rStyle w:val="Hyperlink.2"/>
          <w:lang w:val="en-US"/>
        </w:rPr>
        <w:fldChar w:fldCharType="separate" w:fldLock="0"/>
      </w:r>
      <w:r>
        <w:rPr>
          <w:rStyle w:val="Hyperlink.2"/>
          <w:rtl w:val="0"/>
          <w:lang w:val="en-US"/>
        </w:rPr>
        <w:t>SB 5 7337</w:t>
      </w:r>
      <w:r>
        <w:rPr/>
        <w:fldChar w:fldCharType="end" w:fldLock="0"/>
      </w:r>
      <w:r>
        <w:rPr>
          <w:rtl w:val="0"/>
          <w:lang w:val="en-US"/>
        </w:rPr>
        <w:t xml:space="preserve"> (= C.Ord. Ptol. 75), a </w:t>
      </w:r>
      <w:r>
        <w:rPr>
          <w:i w:val="1"/>
          <w:iCs w:val="1"/>
          <w:rtl w:val="0"/>
          <w:lang w:val="en-US"/>
        </w:rPr>
        <w:t>prostagma</w:t>
      </w:r>
      <w:r>
        <w:rPr>
          <w:rtl w:val="0"/>
          <w:lang w:val="en-US"/>
        </w:rPr>
        <w:t xml:space="preserve"> preserved by an inscription, one finds </w:t>
      </w:r>
      <w:r>
        <w:rPr>
          <w:i w:val="1"/>
          <w:iCs w:val="1"/>
          <w:rtl w:val="0"/>
          <w:lang w:val="en-US"/>
        </w:rPr>
        <w:t>iota</w:t>
      </w:r>
      <w:r>
        <w:rPr>
          <w:rtl w:val="0"/>
          <w:lang w:val="en-US"/>
        </w:rPr>
        <w:t xml:space="preserve"> adscript for the dative singular (3: </w:t>
      </w:r>
      <w:r>
        <w:rPr>
          <w:rtl w:val="0"/>
          <w:lang w:val="en-US"/>
        </w:rPr>
        <w:t>στρατηγῶι</w:t>
      </w:r>
      <w:r>
        <w:rPr>
          <w:rtl w:val="0"/>
          <w:lang w:val="en-US"/>
        </w:rPr>
        <w:t xml:space="preserve">), mistaken </w:t>
      </w:r>
      <w:r>
        <w:rPr>
          <w:i w:val="1"/>
          <w:iCs w:val="1"/>
          <w:rtl w:val="0"/>
          <w:lang w:val="en-US"/>
        </w:rPr>
        <w:t>iota</w:t>
      </w:r>
      <w:r>
        <w:rPr>
          <w:rtl w:val="0"/>
          <w:lang w:val="en-US"/>
        </w:rPr>
        <w:t xml:space="preserve"> adscript at the end of an imperative 3</w:t>
      </w:r>
      <w:r>
        <w:rPr>
          <w:vertAlign w:val="superscript"/>
          <w:rtl w:val="0"/>
          <w:lang w:val="en-US"/>
        </w:rPr>
        <w:t>rd</w:t>
      </w:r>
      <w:r>
        <w:rPr>
          <w:rtl w:val="0"/>
          <w:lang w:val="en-US"/>
        </w:rPr>
        <w:t xml:space="preserve"> sing. (5: </w:t>
      </w:r>
      <w:r>
        <w:rPr>
          <w:rtl w:val="0"/>
          <w:lang w:val="en-US"/>
        </w:rPr>
        <w:t>μεταγραφήτωι</w:t>
      </w:r>
      <w:r>
        <w:rPr>
          <w:rtl w:val="0"/>
          <w:lang w:val="en-US"/>
        </w:rPr>
        <w:t xml:space="preserve">), and correctly spelled imperative without </w:t>
      </w:r>
      <w:r>
        <w:rPr>
          <w:i w:val="1"/>
          <w:iCs w:val="1"/>
          <w:rtl w:val="0"/>
          <w:lang w:val="en-US"/>
        </w:rPr>
        <w:t>iota</w:t>
      </w:r>
      <w:r>
        <w:rPr>
          <w:rtl w:val="0"/>
          <w:lang w:val="en-US"/>
        </w:rPr>
        <w:t xml:space="preserve"> adscript (6: </w:t>
      </w:r>
      <w:r>
        <w:rPr>
          <w:rtl w:val="0"/>
          <w:lang w:val="en-US"/>
        </w:rPr>
        <w:t>ἐκτεθήτω</w:t>
      </w:r>
      <w:r>
        <w:rPr>
          <w:rtl w:val="0"/>
          <w:lang w:val="en-US"/>
        </w:rPr>
        <w:t xml:space="preserve">). The confused spelling with superfluous </w:t>
      </w:r>
      <w:r>
        <w:rPr>
          <w:i w:val="1"/>
          <w:iCs w:val="1"/>
          <w:rtl w:val="0"/>
          <w:lang w:val="en-US"/>
        </w:rPr>
        <w:t>iota</w:t>
      </w:r>
      <w:r>
        <w:rPr>
          <w:rtl w:val="0"/>
          <w:lang w:val="en-US"/>
        </w:rPr>
        <w:t xml:space="preserve"> (</w:t>
      </w:r>
      <w:r>
        <w:rPr>
          <w:rStyle w:val="Hyperlink.2"/>
          <w:lang w:val="en-US"/>
        </w:rPr>
        <w:fldChar w:fldCharType="begin" w:fldLock="0"/>
      </w:r>
      <w:r>
        <w:rPr>
          <w:rStyle w:val="Hyperlink.2"/>
          <w:lang w:val="en-US"/>
        </w:rPr>
        <w:instrText xml:space="preserve"> HYPERLINK "https://papyri.info/biblio/8813"</w:instrText>
      </w:r>
      <w:r>
        <w:rPr>
          <w:rStyle w:val="Hyperlink.2"/>
          <w:lang w:val="en-US"/>
        </w:rPr>
        <w:fldChar w:fldCharType="separate" w:fldLock="0"/>
      </w:r>
      <w:r>
        <w:rPr>
          <w:rStyle w:val="Hyperlink.2"/>
          <w:rtl w:val="0"/>
          <w:lang w:val="en-US"/>
        </w:rPr>
        <w:t>Gignac 1976</w:t>
      </w:r>
      <w:r>
        <w:rPr/>
        <w:fldChar w:fldCharType="end" w:fldLock="0"/>
      </w:r>
      <w:r>
        <w:rPr>
          <w:rtl w:val="0"/>
          <w:lang w:val="en-US"/>
        </w:rPr>
        <w:t xml:space="preserve">: 185) appears at least till the mid-second century CE, e.g. </w:t>
      </w:r>
      <w:r>
        <w:rPr>
          <w:rStyle w:val="Hyperlink.2"/>
          <w:lang w:val="en-US"/>
        </w:rPr>
        <w:fldChar w:fldCharType="begin" w:fldLock="0"/>
      </w:r>
      <w:r>
        <w:rPr>
          <w:rStyle w:val="Hyperlink.2"/>
          <w:lang w:val="en-US"/>
        </w:rPr>
        <w:instrText xml:space="preserve"> HYPERLINK "https://papyri.info/hgv/145009"</w:instrText>
      </w:r>
      <w:r>
        <w:rPr>
          <w:rStyle w:val="Hyperlink.2"/>
          <w:lang w:val="en-US"/>
        </w:rPr>
        <w:fldChar w:fldCharType="separate" w:fldLock="0"/>
      </w:r>
      <w:r>
        <w:rPr>
          <w:rStyle w:val="Hyperlink.2"/>
          <w:rtl w:val="0"/>
          <w:lang w:val="en-US"/>
        </w:rPr>
        <w:t>O.Did. 448</w:t>
      </w:r>
      <w:r>
        <w:rPr/>
        <w:fldChar w:fldCharType="end" w:fldLock="0"/>
      </w:r>
      <w:r>
        <w:rPr>
          <w:rtl w:val="0"/>
          <w:lang w:val="en-US"/>
        </w:rPr>
        <w:t xml:space="preserve">.6: </w:t>
      </w:r>
      <w:r>
        <w:rPr>
          <w:rtl w:val="0"/>
          <w:lang w:val="en-US"/>
        </w:rPr>
        <w:t>ἔρρωσωι</w:t>
      </w:r>
      <w:r>
        <w:rPr>
          <w:rtl w:val="0"/>
          <w:lang w:val="en-US"/>
        </w:rPr>
        <w:t xml:space="preserve">; </w:t>
      </w:r>
      <w:r>
        <w:rPr>
          <w:rStyle w:val="Hyperlink.2"/>
          <w:lang w:val="en-US"/>
        </w:rPr>
        <w:fldChar w:fldCharType="begin" w:fldLock="0"/>
      </w:r>
      <w:r>
        <w:rPr>
          <w:rStyle w:val="Hyperlink.2"/>
          <w:lang w:val="en-US"/>
        </w:rPr>
        <w:instrText xml:space="preserve"> HYPERLINK "https://papyri.info/hgv/26722"</w:instrText>
      </w:r>
      <w:r>
        <w:rPr>
          <w:rStyle w:val="Hyperlink.2"/>
          <w:lang w:val="en-US"/>
        </w:rPr>
        <w:fldChar w:fldCharType="separate" w:fldLock="0"/>
      </w:r>
      <w:r>
        <w:rPr>
          <w:rStyle w:val="Hyperlink.2"/>
          <w:rtl w:val="0"/>
          <w:lang w:val="en-US"/>
        </w:rPr>
        <w:t>SB 16 12334</w:t>
      </w:r>
      <w:r>
        <w:rPr/>
        <w:fldChar w:fldCharType="end" w:fldLock="0"/>
      </w:r>
      <w:r>
        <w:rPr>
          <w:rtl w:val="0"/>
          <w:lang w:val="en-US"/>
        </w:rPr>
        <w:t xml:space="preserve">.8: </w:t>
      </w:r>
      <w:r>
        <w:rPr>
          <w:rtl w:val="0"/>
          <w:lang w:val="en-US"/>
        </w:rPr>
        <w:t>ἔστωι</w:t>
      </w:r>
      <w:r>
        <w:rPr>
          <w:rtl w:val="0"/>
          <w:lang w:val="en-US"/>
        </w:rPr>
        <w:t xml:space="preserve">. Beyond the second century, the only attested case is unreliable, </w:t>
      </w:r>
      <w:r>
        <w:rPr>
          <w:rStyle w:val="Hyperlink.2"/>
          <w:lang w:val="en-US"/>
        </w:rPr>
        <w:fldChar w:fldCharType="begin" w:fldLock="0"/>
      </w:r>
      <w:r>
        <w:rPr>
          <w:rStyle w:val="Hyperlink.2"/>
          <w:lang w:val="en-US"/>
        </w:rPr>
        <w:instrText xml:space="preserve"> HYPERLINK "https://papyri.info/hgv/702567"</w:instrText>
      </w:r>
      <w:r>
        <w:rPr>
          <w:rStyle w:val="Hyperlink.2"/>
          <w:lang w:val="en-US"/>
        </w:rPr>
        <w:fldChar w:fldCharType="separate" w:fldLock="0"/>
      </w:r>
      <w:r>
        <w:rPr>
          <w:rStyle w:val="Hyperlink.2"/>
          <w:rtl w:val="0"/>
          <w:lang w:val="en-US"/>
        </w:rPr>
        <w:t>P.Gascou 67</w:t>
      </w:r>
      <w:r>
        <w:rPr/>
        <w:fldChar w:fldCharType="end" w:fldLock="0"/>
      </w:r>
      <w:r>
        <w:rPr>
          <w:rtl w:val="0"/>
          <w:lang w:val="en-US"/>
        </w:rPr>
        <w:t>.10 (368 CE): [</w:t>
      </w:r>
      <w:r>
        <w:rPr>
          <w:rtl w:val="0"/>
          <w:lang w:val="en-US"/>
        </w:rPr>
        <w:t>ἔστ</w:t>
      </w:r>
      <w:r>
        <w:rPr>
          <w:rtl w:val="0"/>
          <w:lang w:val="en-US"/>
        </w:rPr>
        <w:t>]</w:t>
      </w:r>
      <w:r>
        <w:rPr>
          <w:rtl w:val="0"/>
          <w:lang w:val="en-US"/>
        </w:rPr>
        <w:t>ω</w:t>
      </w:r>
      <w:r>
        <w:rPr>
          <w:rFonts w:ascii="IFAO-Grec Unicode" w:hAnsi="IFAO-Grec Unicode" w:hint="default"/>
          <w:rtl w:val="0"/>
          <w:lang w:val="en-US"/>
        </w:rPr>
        <w:t></w:t>
      </w:r>
      <w:r>
        <w:rPr>
          <w:rtl w:val="0"/>
          <w:lang w:val="en-US"/>
        </w:rPr>
        <w:t>ι</w:t>
      </w:r>
      <w:r>
        <w:rPr>
          <w:rFonts w:ascii="IFAO-Grec Unicode" w:hAnsi="IFAO-Grec Unicode" w:hint="default"/>
          <w:rtl w:val="0"/>
          <w:lang w:val="en-US"/>
        </w:rPr>
        <w:t></w:t>
      </w:r>
      <w:r>
        <w:rPr>
          <w:rtl w:val="0"/>
          <w:lang w:val="en-US"/>
        </w:rPr>
        <w:t>.</w:t>
      </w:r>
    </w:p>
  </w:footnote>
  <w:footnote w:id="81">
    <w:p>
      <w:pPr>
        <w:pStyle w:val="footnote text"/>
      </w:pPr>
      <w:r>
        <w:rPr>
          <w:vertAlign w:val="superscript"/>
        </w:rPr>
        <w:footnoteRef/>
      </w:r>
      <w:r>
        <w:rPr>
          <w:rtl w:val="0"/>
          <w:lang w:val="en-US"/>
        </w:rPr>
        <w:t xml:space="preserve"> </w:t>
      </w:r>
      <w:r>
        <w:rPr>
          <w:rtl w:val="0"/>
          <w:lang w:val="en-US"/>
        </w:rPr>
        <w:t>Whether he was the better-known Publius Canidius Crassus (</w:t>
      </w:r>
      <w:r>
        <w:rPr>
          <w:rStyle w:val="Hyperlink.0"/>
          <w:lang w:val="en-US"/>
        </w:rPr>
        <w:fldChar w:fldCharType="begin" w:fldLock="0"/>
      </w:r>
      <w:r>
        <w:rPr>
          <w:rStyle w:val="Hyperlink.0"/>
          <w:lang w:val="en-US"/>
        </w:rPr>
        <w:instrText xml:space="preserve"> HYPERLINK "https://papyri.info/biblio/69610"</w:instrText>
      </w:r>
      <w:r>
        <w:rPr>
          <w:rStyle w:val="Hyperlink.0"/>
          <w:lang w:val="en-US"/>
        </w:rPr>
        <w:fldChar w:fldCharType="separate" w:fldLock="0"/>
      </w:r>
      <w:r>
        <w:rPr>
          <w:rStyle w:val="Hyperlink.0"/>
          <w:rtl w:val="0"/>
          <w:lang w:val="en-US"/>
        </w:rPr>
        <w:t>van Minnen 2000</w:t>
      </w:r>
      <w:r>
        <w:rPr/>
        <w:fldChar w:fldCharType="end" w:fldLock="0"/>
      </w:r>
      <w:r>
        <w:rPr>
          <w:rtl w:val="0"/>
          <w:lang w:val="en-US"/>
        </w:rPr>
        <w:t>)</w:t>
      </w:r>
      <w:r>
        <w:rPr>
          <w:rtl w:val="0"/>
          <w:lang w:val="en-US"/>
        </w:rPr>
        <w:t>, or a more obscure Quintus Cascel(l)ius (</w:t>
      </w:r>
      <w:r>
        <w:rPr>
          <w:rStyle w:val="Hyperlink.0"/>
          <w:lang w:val="en-US"/>
        </w:rPr>
        <w:fldChar w:fldCharType="begin" w:fldLock="0"/>
      </w:r>
      <w:r>
        <w:rPr>
          <w:rStyle w:val="Hyperlink.0"/>
          <w:lang w:val="en-US"/>
        </w:rPr>
        <w:instrText xml:space="preserve"> HYPERLINK "https://papyri.info/biblio/71505"</w:instrText>
      </w:r>
      <w:r>
        <w:rPr>
          <w:rStyle w:val="Hyperlink.0"/>
          <w:lang w:val="en-US"/>
        </w:rPr>
        <w:fldChar w:fldCharType="separate" w:fldLock="0"/>
      </w:r>
      <w:r>
        <w:rPr>
          <w:rStyle w:val="Hyperlink.0"/>
          <w:rtl w:val="0"/>
          <w:lang w:val="en-US"/>
        </w:rPr>
        <w:t>Zimmermann 2002</w:t>
      </w:r>
      <w:r>
        <w:rPr/>
        <w:fldChar w:fldCharType="end" w:fldLock="0"/>
      </w:r>
      <w:r>
        <w:rPr>
          <w:rtl w:val="0"/>
          <w:lang w:val="en-US"/>
        </w:rPr>
        <w:t xml:space="preserve">), matters for the historical interpretation of the papyrus but has little bearing on the way the document was prepared by the scribe. A summary is provided by </w:t>
      </w:r>
      <w:r>
        <w:rPr>
          <w:rStyle w:val="Hyperlink.2"/>
          <w:lang w:val="en-US"/>
        </w:rPr>
        <w:fldChar w:fldCharType="begin" w:fldLock="0"/>
      </w:r>
      <w:r>
        <w:rPr>
          <w:rStyle w:val="Hyperlink.2"/>
          <w:lang w:val="en-US"/>
        </w:rPr>
        <w:instrText xml:space="preserve"> HYPERLINK "https://papyri.info/biblio/17872"</w:instrText>
      </w:r>
      <w:r>
        <w:rPr>
          <w:rStyle w:val="Hyperlink.2"/>
          <w:lang w:val="en-US"/>
        </w:rPr>
        <w:fldChar w:fldCharType="separate" w:fldLock="0"/>
      </w:r>
      <w:r>
        <w:rPr>
          <w:rStyle w:val="Hyperlink.2"/>
          <w:rtl w:val="0"/>
          <w:lang w:val="en-US"/>
        </w:rPr>
        <w:t>Bagnall and Derow 2004</w:t>
      </w:r>
      <w:r>
        <w:rPr/>
        <w:fldChar w:fldCharType="end" w:fldLock="0"/>
      </w:r>
      <w:r>
        <w:rPr>
          <w:rtl w:val="0"/>
          <w:lang w:val="en-US"/>
        </w:rPr>
        <w:t>: 109-110.</w:t>
      </w:r>
    </w:p>
  </w:footnote>
  <w:footnote w:id="82">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"https://papyri.info/biblio/70565"</w:instrText>
      </w:r>
      <w:r>
        <w:rPr>
          <w:rStyle w:val="Link"/>
        </w:rPr>
        <w:fldChar w:fldCharType="separate" w:fldLock="0"/>
      </w:r>
      <w:r>
        <w:rPr>
          <w:rStyle w:val="Link"/>
          <w:rtl w:val="0"/>
        </w:rPr>
        <w:t>van Minnen 2001</w:t>
      </w:r>
      <w:r>
        <w:rPr/>
        <w:fldChar w:fldCharType="end" w:fldLock="0"/>
      </w:r>
      <w:r>
        <w:rPr>
          <w:rtl w:val="0"/>
          <w:lang w:val="en-US"/>
        </w:rPr>
        <w:t xml:space="preserve">: 77; </w:t>
      </w:r>
      <w:r>
        <w:rPr>
          <w:rStyle w:val="Link"/>
        </w:rPr>
        <w:fldChar w:fldCharType="begin" w:fldLock="0"/>
      </w:r>
      <w:r>
        <w:rPr>
          <w:rStyle w:val="Link"/>
        </w:rPr>
        <w:instrText xml:space="preserve"> HYPERLINK "https://papyri.info/biblio/72702"</w:instrText>
      </w:r>
      <w:r>
        <w:rPr>
          <w:rStyle w:val="Link"/>
        </w:rPr>
        <w:fldChar w:fldCharType="separate" w:fldLock="0"/>
      </w:r>
      <w:r>
        <w:rPr>
          <w:rStyle w:val="Link"/>
          <w:rtl w:val="0"/>
        </w:rPr>
        <w:t>van Minnen 2003</w:t>
      </w:r>
      <w:r>
        <w:rPr/>
        <w:fldChar w:fldCharType="end" w:fldLock="0"/>
      </w:r>
      <w:r>
        <w:rPr>
          <w:rtl w:val="0"/>
          <w:lang w:val="en-US"/>
        </w:rPr>
        <w:t>: 38-39.</w:t>
      </w:r>
    </w:p>
  </w:footnote>
  <w:footnote w:id="83">
    <w:p>
      <w:pPr>
        <w:pStyle w:val="footnote text"/>
      </w:pPr>
      <w:r>
        <w:rPr>
          <w:vertAlign w:val="superscript"/>
        </w:rPr>
        <w:footnoteRef/>
      </w:r>
      <w:r>
        <w:rPr>
          <w:rtl w:val="0"/>
          <w:lang w:val="en-US"/>
        </w:rPr>
        <w:t xml:space="preserve"> I.Asylia 226, the text of which is reproduced </w:t>
      </w:r>
      <w:r>
        <w:rPr>
          <w:rtl w:val="0"/>
          <w:lang w:val="en-US"/>
        </w:rPr>
        <w:t xml:space="preserve">– </w:t>
      </w:r>
      <w:r>
        <w:rPr>
          <w:rtl w:val="0"/>
          <w:lang w:val="en-US"/>
        </w:rPr>
        <w:t xml:space="preserve">with translation </w:t>
      </w:r>
      <w:r>
        <w:rPr>
          <w:rtl w:val="0"/>
          <w:lang w:val="en-US"/>
        </w:rPr>
        <w:t xml:space="preserve">– </w:t>
      </w:r>
      <w:r>
        <w:rPr>
          <w:rtl w:val="0"/>
          <w:lang w:val="en-US"/>
        </w:rPr>
        <w:t xml:space="preserve">by </w:t>
      </w:r>
      <w:r>
        <w:rPr>
          <w:rStyle w:val="Link"/>
        </w:rPr>
        <w:fldChar w:fldCharType="begin" w:fldLock="0"/>
      </w:r>
      <w:r>
        <w:rPr>
          <w:rStyle w:val="Link"/>
        </w:rPr>
        <w:instrText xml:space="preserve"> HYPERLINK "https://papyri.info/biblio/72702"</w:instrText>
      </w:r>
      <w:r>
        <w:rPr>
          <w:rStyle w:val="Link"/>
        </w:rPr>
        <w:fldChar w:fldCharType="separate" w:fldLock="0"/>
      </w:r>
      <w:r>
        <w:rPr>
          <w:rStyle w:val="Link"/>
          <w:rtl w:val="0"/>
        </w:rPr>
        <w:t>van Minnen 2003</w:t>
      </w:r>
      <w:r>
        <w:rPr/>
        <w:fldChar w:fldCharType="end" w:fldLock="0"/>
      </w:r>
      <w:r>
        <w:rPr>
          <w:rtl w:val="0"/>
          <w:lang w:val="en-US"/>
        </w:rPr>
        <w:t>: 43. This source was published too recently to be included in C.Ord. Ptol.</w:t>
      </w:r>
    </w:p>
  </w:footnote>
  <w:footnote w:id="84">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"https://papyri.info/hgv/8125"</w:instrText>
      </w:r>
      <w:r>
        <w:rPr>
          <w:rStyle w:val="Link"/>
        </w:rPr>
        <w:fldChar w:fldCharType="separate" w:fldLock="0"/>
      </w:r>
      <w:r>
        <w:rPr>
          <w:rStyle w:val="Link"/>
          <w:rtl w:val="0"/>
        </w:rPr>
        <w:t>P.Gen. 3 131</w:t>
      </w:r>
      <w:r>
        <w:rPr/>
        <w:fldChar w:fldCharType="end" w:fldLock="0"/>
      </w:r>
      <w:r>
        <w:rPr>
          <w:rtl w:val="0"/>
          <w:lang w:val="en-US"/>
        </w:rPr>
        <w:t xml:space="preserve">.6-10, also not included in C.Ord. Ptol. The wording </w:t>
      </w:r>
      <w:r>
        <w:rPr>
          <w:rtl w:val="0"/>
          <w:lang w:val="en-US"/>
        </w:rPr>
        <w:t xml:space="preserve">παρασταθήτωι πλοῖον παραχρῆμα </w:t>
      </w:r>
      <w:r>
        <w:rPr>
          <w:rtl w:val="0"/>
          <w:lang w:val="en-US"/>
        </w:rPr>
        <w:t>is presumably a direct quotation from the King</w:t>
      </w:r>
      <w:r>
        <w:rPr>
          <w:rtl w:val="0"/>
          <w:lang w:val="en-US"/>
        </w:rPr>
        <w:t>’</w:t>
      </w:r>
      <w:r>
        <w:rPr>
          <w:rtl w:val="0"/>
          <w:lang w:val="en-US"/>
        </w:rPr>
        <w:t xml:space="preserve">s ordinance. Note the </w:t>
      </w:r>
      <w:r>
        <w:rPr>
          <w:i w:val="1"/>
          <w:iCs w:val="1"/>
          <w:rtl w:val="0"/>
          <w:lang w:val="en-US"/>
        </w:rPr>
        <w:t>iota</w:t>
      </w:r>
      <w:r>
        <w:rPr>
          <w:rtl w:val="0"/>
          <w:lang w:val="en-US"/>
        </w:rPr>
        <w:t xml:space="preserve"> ending the imperative </w:t>
      </w:r>
      <w:r>
        <w:rPr>
          <w:rtl w:val="0"/>
          <w:lang w:val="en-US"/>
        </w:rPr>
        <w:t>παρασταθήτωι</w:t>
      </w:r>
      <w:r>
        <w:rPr>
          <w:rtl w:val="0"/>
          <w:lang w:val="en-US"/>
        </w:rPr>
        <w:t>, which recalls Cleopatra</w:t>
      </w:r>
      <w:r>
        <w:rPr>
          <w:rtl w:val="0"/>
          <w:lang w:val="en-US"/>
        </w:rPr>
        <w:t>’</w:t>
      </w:r>
      <w:r>
        <w:rPr>
          <w:rtl w:val="0"/>
          <w:lang w:val="en-US"/>
        </w:rPr>
        <w:t xml:space="preserve">s </w:t>
      </w:r>
      <w:r>
        <w:rPr>
          <w:rtl w:val="0"/>
          <w:lang w:val="en-US"/>
        </w:rPr>
        <w:t>γινέσθωι</w:t>
      </w:r>
      <w:r>
        <w:rPr>
          <w:rtl w:val="0"/>
          <w:lang w:val="en-US"/>
        </w:rPr>
        <w:t>.</w:t>
      </w:r>
    </w:p>
  </w:footnote>
  <w:footnote w:id="85">
    <w:p>
      <w:pPr>
        <w:pStyle w:val="footnote text"/>
      </w:pPr>
      <w:r>
        <w:rPr>
          <w:vertAlign w:val="superscript"/>
        </w:rPr>
        <w:footnoteRef/>
      </w:r>
      <w:r>
        <w:rPr>
          <w:rtl w:val="0"/>
          <w:lang w:val="en-US"/>
        </w:rPr>
        <w:t xml:space="preserve"> E.g. </w:t>
      </w:r>
      <w:r>
        <w:rPr>
          <w:rStyle w:val="Link"/>
        </w:rPr>
        <w:fldChar w:fldCharType="begin" w:fldLock="0"/>
      </w:r>
      <w:r>
        <w:rPr>
          <w:rStyle w:val="Link"/>
        </w:rPr>
        <w:instrText xml:space="preserve"> HYPERLINK "https://papyri.info/hgv/949"</w:instrText>
      </w:r>
      <w:r>
        <w:rPr>
          <w:rStyle w:val="Link"/>
        </w:rPr>
        <w:fldChar w:fldCharType="separate" w:fldLock="0"/>
      </w:r>
      <w:r>
        <w:rPr>
          <w:rStyle w:val="Link"/>
          <w:rtl w:val="0"/>
        </w:rPr>
        <w:t>P.Cair. Zen. 3 59305</w:t>
      </w:r>
      <w:r>
        <w:rPr/>
        <w:fldChar w:fldCharType="end" w:fldLock="0"/>
      </w:r>
      <w:r>
        <w:rPr>
          <w:rtl w:val="0"/>
          <w:lang w:val="en-US"/>
        </w:rPr>
        <w:t xml:space="preserve">.6 (250 BCE, provenance unknown); </w:t>
      </w:r>
      <w:r>
        <w:rPr>
          <w:rStyle w:val="Link"/>
        </w:rPr>
        <w:fldChar w:fldCharType="begin" w:fldLock="0"/>
      </w:r>
      <w:r>
        <w:rPr>
          <w:rStyle w:val="Link"/>
        </w:rPr>
        <w:instrText xml:space="preserve"> HYPERLINK "https://papyri.info/hgv/929"</w:instrText>
      </w:r>
      <w:r>
        <w:rPr>
          <w:rStyle w:val="Link"/>
        </w:rPr>
        <w:fldChar w:fldCharType="separate" w:fldLock="0"/>
      </w:r>
      <w:r>
        <w:rPr>
          <w:rStyle w:val="Link"/>
          <w:rtl w:val="0"/>
        </w:rPr>
        <w:t>P.Cair. Zen. 2 59285</w:t>
      </w:r>
      <w:r>
        <w:rPr/>
        <w:fldChar w:fldCharType="end" w:fldLock="0"/>
      </w:r>
      <w:r>
        <w:rPr>
          <w:rtl w:val="0"/>
          <w:lang w:val="en-US"/>
        </w:rPr>
        <w:t xml:space="preserve">.5 (250 BCE, Alexandria); </w:t>
      </w:r>
      <w:r>
        <w:rPr>
          <w:rStyle w:val="Link"/>
        </w:rPr>
        <w:fldChar w:fldCharType="begin" w:fldLock="0"/>
      </w:r>
      <w:r>
        <w:rPr>
          <w:rStyle w:val="Link"/>
        </w:rPr>
        <w:instrText xml:space="preserve"> HYPERLINK "https://papyri.info/hgv/43258"</w:instrText>
      </w:r>
      <w:r>
        <w:rPr>
          <w:rStyle w:val="Link"/>
        </w:rPr>
        <w:fldChar w:fldCharType="separate" w:fldLock="0"/>
      </w:r>
      <w:r>
        <w:rPr>
          <w:rStyle w:val="Link"/>
          <w:rtl w:val="0"/>
        </w:rPr>
        <w:t>P.Col. 4 122</w:t>
      </w:r>
      <w:r>
        <w:rPr/>
        <w:fldChar w:fldCharType="end" w:fldLock="0"/>
      </w:r>
      <w:r>
        <w:rPr>
          <w:rtl w:val="0"/>
          <w:lang w:val="en-US"/>
        </w:rPr>
        <w:t xml:space="preserve"> (181 BCE, Arsinoite nome [?]); </w:t>
      </w:r>
      <w:r>
        <w:rPr>
          <w:rStyle w:val="Link"/>
        </w:rPr>
        <w:fldChar w:fldCharType="begin" w:fldLock="0"/>
      </w:r>
      <w:r>
        <w:rPr>
          <w:rStyle w:val="Link"/>
        </w:rPr>
        <w:instrText xml:space="preserve"> HYPERLINK "https://papyri.info/hgv/18654"</w:instrText>
      </w:r>
      <w:r>
        <w:rPr>
          <w:rStyle w:val="Link"/>
        </w:rPr>
        <w:fldChar w:fldCharType="separate" w:fldLock="0"/>
      </w:r>
      <w:r>
        <w:rPr>
          <w:rStyle w:val="Link"/>
          <w:rtl w:val="0"/>
        </w:rPr>
        <w:t>BGU 4 1204</w:t>
      </w:r>
      <w:r>
        <w:rPr/>
        <w:fldChar w:fldCharType="end" w:fldLock="0"/>
      </w:r>
      <w:r>
        <w:rPr>
          <w:rtl w:val="0"/>
          <w:lang w:val="en-US"/>
        </w:rPr>
        <w:t>.9 (28 BCE, Herakleopolite nome).</w:t>
      </w:r>
    </w:p>
  </w:footnote>
  <w:footnote w:id="86">
    <w:p>
      <w:pPr>
        <w:pStyle w:val="footnote text"/>
      </w:pPr>
      <w:r>
        <w:rPr>
          <w:vertAlign w:val="superscript"/>
        </w:rPr>
        <w:footnoteRef/>
      </w:r>
      <w:r>
        <w:rPr>
          <w:rtl w:val="0"/>
          <w:lang w:val="en-US"/>
        </w:rPr>
        <w:t xml:space="preserve"> Petitions: e.g. </w:t>
      </w:r>
      <w:r>
        <w:rPr>
          <w:rStyle w:val="Link"/>
        </w:rPr>
        <w:fldChar w:fldCharType="begin" w:fldLock="0"/>
      </w:r>
      <w:r>
        <w:rPr>
          <w:rStyle w:val="Link"/>
        </w:rPr>
        <w:instrText xml:space="preserve"> HYPERLINK "https://papyri.info/hgv/4910"</w:instrText>
      </w:r>
      <w:r>
        <w:rPr>
          <w:rStyle w:val="Link"/>
        </w:rPr>
        <w:fldChar w:fldCharType="separate" w:fldLock="0"/>
      </w:r>
      <w:r>
        <w:rPr>
          <w:rStyle w:val="Link"/>
          <w:rtl w:val="0"/>
        </w:rPr>
        <w:t>BGU 8 1831</w:t>
      </w:r>
      <w:r>
        <w:rPr/>
        <w:fldChar w:fldCharType="end" w:fldLock="0"/>
      </w:r>
      <w:r>
        <w:rPr>
          <w:rtl w:val="0"/>
          <w:lang w:val="en-US"/>
        </w:rPr>
        <w:t xml:space="preserve">.1 (prior to 13.01.50 BCE); </w:t>
      </w:r>
      <w:r>
        <w:rPr>
          <w:rStyle w:val="Link"/>
        </w:rPr>
        <w:fldChar w:fldCharType="begin" w:fldLock="0"/>
      </w:r>
      <w:r>
        <w:rPr>
          <w:rStyle w:val="Link"/>
        </w:rPr>
        <w:instrText xml:space="preserve"> HYPERLINK "https://papyri.info/hgv/4913"</w:instrText>
      </w:r>
      <w:r>
        <w:rPr>
          <w:rStyle w:val="Link"/>
        </w:rPr>
        <w:fldChar w:fldCharType="separate" w:fldLock="0"/>
      </w:r>
      <w:r>
        <w:rPr>
          <w:rStyle w:val="Link"/>
          <w:rtl w:val="0"/>
        </w:rPr>
        <w:t>BGU 8 1834</w:t>
      </w:r>
      <w:r>
        <w:rPr/>
        <w:fldChar w:fldCharType="end" w:fldLock="0"/>
      </w:r>
      <w:r>
        <w:rPr>
          <w:rtl w:val="0"/>
          <w:lang w:val="en-US"/>
        </w:rPr>
        <w:t xml:space="preserve">.2 (50 BCE); </w:t>
      </w:r>
      <w:r>
        <w:rPr>
          <w:rStyle w:val="Link"/>
        </w:rPr>
        <w:fldChar w:fldCharType="begin" w:fldLock="0"/>
      </w:r>
      <w:r>
        <w:rPr>
          <w:rStyle w:val="Link"/>
        </w:rPr>
        <w:instrText xml:space="preserve"> HYPERLINK "https://papyri.info/hgv/4844"</w:instrText>
      </w:r>
      <w:r>
        <w:rPr>
          <w:rStyle w:val="Link"/>
        </w:rPr>
        <w:fldChar w:fldCharType="separate" w:fldLock="0"/>
      </w:r>
      <w:r>
        <w:rPr>
          <w:rStyle w:val="Link"/>
          <w:rtl w:val="0"/>
        </w:rPr>
        <w:t>BGU 20 2847</w:t>
      </w:r>
      <w:r>
        <w:rPr/>
        <w:fldChar w:fldCharType="end" w:fldLock="0"/>
      </w:r>
      <w:r>
        <w:rPr>
          <w:rtl w:val="0"/>
          <w:lang w:val="en-US"/>
        </w:rPr>
        <w:t xml:space="preserve">.1 (49 BCE). Letters: e.g. </w:t>
      </w:r>
      <w:r>
        <w:rPr>
          <w:rStyle w:val="Link"/>
        </w:rPr>
        <w:fldChar w:fldCharType="begin" w:fldLock="0"/>
      </w:r>
      <w:r>
        <w:rPr>
          <w:rStyle w:val="Link"/>
        </w:rPr>
        <w:instrText xml:space="preserve"> HYPERLINK "https://papyri.info/hgv/4952"</w:instrText>
      </w:r>
      <w:r>
        <w:rPr>
          <w:rStyle w:val="Link"/>
        </w:rPr>
        <w:fldChar w:fldCharType="separate" w:fldLock="0"/>
      </w:r>
      <w:r>
        <w:rPr>
          <w:rStyle w:val="Link"/>
          <w:rtl w:val="0"/>
        </w:rPr>
        <w:t>BGU 8 1873</w:t>
      </w:r>
      <w:r>
        <w:rPr/>
        <w:fldChar w:fldCharType="end" w:fldLock="0"/>
      </w:r>
      <w:r>
        <w:rPr>
          <w:rtl w:val="0"/>
          <w:lang w:val="en-US"/>
        </w:rPr>
        <w:t xml:space="preserve">.1 (mid-first century BCE); </w:t>
      </w:r>
      <w:r>
        <w:rPr>
          <w:rStyle w:val="Link"/>
        </w:rPr>
        <w:fldChar w:fldCharType="begin" w:fldLock="0"/>
      </w:r>
      <w:r>
        <w:rPr>
          <w:rStyle w:val="Link"/>
        </w:rPr>
        <w:instrText xml:space="preserve"> HYPERLINK "https://papyri.info/hgv/18657"</w:instrText>
      </w:r>
      <w:r>
        <w:rPr>
          <w:rStyle w:val="Link"/>
        </w:rPr>
        <w:fldChar w:fldCharType="separate" w:fldLock="0"/>
      </w:r>
      <w:r>
        <w:rPr>
          <w:rStyle w:val="Link"/>
          <w:rtl w:val="0"/>
        </w:rPr>
        <w:t>BGU 4 1207</w:t>
      </w:r>
      <w:r>
        <w:rPr/>
        <w:fldChar w:fldCharType="end" w:fldLock="0"/>
      </w:r>
      <w:r>
        <w:rPr>
          <w:rtl w:val="0"/>
          <w:lang w:val="en-US"/>
        </w:rPr>
        <w:t>.1 (28 BCE).</w:t>
      </w:r>
    </w:p>
  </w:footnote>
  <w:footnote w:id="87">
    <w:p>
      <w:pPr>
        <w:pStyle w:val="footnote text"/>
      </w:pPr>
      <w:r>
        <w:rPr>
          <w:vertAlign w:val="superscript"/>
        </w:rPr>
        <w:footnoteRef/>
      </w:r>
      <w:r>
        <w:rPr>
          <w:rtl w:val="0"/>
          <w:lang w:val="en-US"/>
        </w:rPr>
        <w:t xml:space="preserve"> On the date and the identification of the sender, </w:t>
      </w:r>
      <w:r>
        <w:rPr>
          <w:rStyle w:val="Link"/>
        </w:rPr>
        <w:fldChar w:fldCharType="begin" w:fldLock="0"/>
      </w:r>
      <w:r>
        <w:rPr>
          <w:rStyle w:val="Link"/>
        </w:rPr>
        <w:instrText xml:space="preserve"> HYPERLINK "https://papyri.info/biblio/42278"</w:instrText>
      </w:r>
      <w:r>
        <w:rPr>
          <w:rStyle w:val="Link"/>
        </w:rPr>
        <w:fldChar w:fldCharType="separate" w:fldLock="0"/>
      </w:r>
      <w:r>
        <w:rPr>
          <w:rStyle w:val="Link"/>
          <w:rtl w:val="0"/>
        </w:rPr>
        <w:t>Peremans and van</w:t>
      </w:r>
      <w:r>
        <w:rPr>
          <w:rStyle w:val="Link"/>
          <w:rtl w:val="0"/>
        </w:rPr>
        <w:t>’</w:t>
      </w:r>
      <w:r>
        <w:rPr>
          <w:rStyle w:val="Link"/>
          <w:rtl w:val="0"/>
        </w:rPr>
        <w:t>t Dack 1957</w:t>
      </w:r>
      <w:r>
        <w:rPr/>
        <w:fldChar w:fldCharType="end" w:fldLock="0"/>
      </w:r>
      <w:r>
        <w:rPr>
          <w:rtl w:val="0"/>
          <w:lang w:val="en-US"/>
        </w:rPr>
        <w:t>: 122.</w:t>
      </w:r>
    </w:p>
  </w:footnote>
  <w:footnote w:id="88">
    <w:p>
      <w:pPr>
        <w:pStyle w:val="footnote text"/>
      </w:pPr>
      <w:r>
        <w:rPr>
          <w:vertAlign w:val="superscript"/>
        </w:rPr>
        <w:footnoteRef/>
      </w:r>
      <w:r>
        <w:rPr>
          <w:rtl w:val="0"/>
          <w:lang w:val="de-DE"/>
        </w:rPr>
        <w:t xml:space="preserve"> </w:t>
      </w:r>
      <w:r>
        <w:rPr>
          <w:rStyle w:val="Hyperlink.3"/>
          <w:lang w:val="de-DE"/>
        </w:rPr>
        <w:fldChar w:fldCharType="begin" w:fldLock="0"/>
      </w:r>
      <w:r>
        <w:rPr>
          <w:rStyle w:val="Hyperlink.3"/>
          <w:lang w:val="de-DE"/>
        </w:rPr>
        <w:instrText xml:space="preserve"> HYPERLINK "https://papyri.info/biblio/3169"</w:instrText>
      </w:r>
      <w:r>
        <w:rPr>
          <w:rStyle w:val="Hyperlink.3"/>
          <w:lang w:val="de-DE"/>
        </w:rPr>
        <w:fldChar w:fldCharType="separate" w:fldLock="0"/>
      </w:r>
      <w:r>
        <w:rPr>
          <w:rStyle w:val="Hyperlink.3"/>
          <w:rtl w:val="0"/>
          <w:lang w:val="de-DE"/>
        </w:rPr>
        <w:t>Schubart and Sch</w:t>
      </w:r>
      <w:r>
        <w:rPr>
          <w:rStyle w:val="Hyperlink.3"/>
          <w:rtl w:val="0"/>
          <w:lang w:val="de-DE"/>
        </w:rPr>
        <w:t>ä</w:t>
      </w:r>
      <w:r>
        <w:rPr>
          <w:rStyle w:val="Hyperlink.3"/>
          <w:rtl w:val="0"/>
          <w:lang w:val="de-DE"/>
        </w:rPr>
        <w:t>fer 1933</w:t>
      </w:r>
      <w:r>
        <w:rPr/>
        <w:fldChar w:fldCharType="end" w:fldLock="0"/>
      </w:r>
      <w:r>
        <w:rPr>
          <w:rtl w:val="0"/>
          <w:lang w:val="de-DE"/>
        </w:rPr>
        <w:t xml:space="preserve">: 86 (= BGU VIII). </w:t>
      </w:r>
      <w:r>
        <w:rPr>
          <w:rtl w:val="0"/>
          <w:lang w:val="en-US"/>
        </w:rPr>
        <w:t xml:space="preserve">My interpretation differs somewhat from </w:t>
      </w:r>
      <w:r>
        <w:rPr>
          <w:rStyle w:val="Hyperlink.2"/>
          <w:lang w:val="en-US"/>
        </w:rPr>
        <w:fldChar w:fldCharType="begin" w:fldLock="0"/>
      </w:r>
      <w:r>
        <w:rPr>
          <w:rStyle w:val="Hyperlink.2"/>
          <w:lang w:val="en-US"/>
        </w:rPr>
        <w:instrText xml:space="preserve"> HYPERLINK "https://papyri.info/biblio/42278"</w:instrText>
      </w:r>
      <w:r>
        <w:rPr>
          <w:rStyle w:val="Hyperlink.2"/>
          <w:lang w:val="en-US"/>
        </w:rPr>
        <w:fldChar w:fldCharType="separate" w:fldLock="0"/>
      </w:r>
      <w:r>
        <w:rPr>
          <w:rStyle w:val="Hyperlink.2"/>
          <w:rtl w:val="0"/>
          <w:lang w:val="en-US"/>
        </w:rPr>
        <w:t>Peremans and van</w:t>
      </w:r>
      <w:r>
        <w:rPr>
          <w:rStyle w:val="Hyperlink.2"/>
          <w:rtl w:val="0"/>
          <w:lang w:val="en-US"/>
        </w:rPr>
        <w:t>’</w:t>
      </w:r>
      <w:r>
        <w:rPr>
          <w:rStyle w:val="Hyperlink.2"/>
          <w:rtl w:val="0"/>
          <w:lang w:val="en-US"/>
        </w:rPr>
        <w:t>t Dack 1957</w:t>
      </w:r>
      <w:r>
        <w:rPr/>
        <w:fldChar w:fldCharType="end" w:fldLock="0"/>
      </w:r>
      <w:r>
        <w:rPr>
          <w:rtl w:val="0"/>
          <w:lang w:val="en-US"/>
        </w:rPr>
        <w:t xml:space="preserve">: 126, who believe that Diokles was already in office at the time when Archidemos, a friend or relative of Achilleus, was designated for the same position. I agree with </w:t>
      </w:r>
      <w:r>
        <w:rPr>
          <w:rStyle w:val="Hyperlink.2"/>
          <w:lang w:val="en-US"/>
        </w:rPr>
        <w:fldChar w:fldCharType="begin" w:fldLock="0"/>
      </w:r>
      <w:r>
        <w:rPr>
          <w:rStyle w:val="Hyperlink.2"/>
          <w:lang w:val="en-US"/>
        </w:rPr>
        <w:instrText xml:space="preserve"> HYPERLINK "https://papyri.info/biblio/42278"</w:instrText>
      </w:r>
      <w:r>
        <w:rPr>
          <w:rStyle w:val="Hyperlink.2"/>
          <w:lang w:val="en-US"/>
        </w:rPr>
        <w:fldChar w:fldCharType="separate" w:fldLock="0"/>
      </w:r>
      <w:r>
        <w:rPr>
          <w:rStyle w:val="Hyperlink.2"/>
          <w:rtl w:val="0"/>
          <w:lang w:val="en-US"/>
        </w:rPr>
        <w:t>Peremans, van</w:t>
      </w:r>
      <w:r>
        <w:rPr>
          <w:rStyle w:val="Hyperlink.2"/>
          <w:rtl w:val="0"/>
          <w:lang w:val="en-US"/>
        </w:rPr>
        <w:t>’</w:t>
      </w:r>
      <w:r>
        <w:rPr>
          <w:rStyle w:val="Hyperlink.2"/>
          <w:rtl w:val="0"/>
          <w:lang w:val="en-US"/>
        </w:rPr>
        <w:t>t Dack 1957</w:t>
      </w:r>
      <w:r>
        <w:rPr/>
        <w:fldChar w:fldCharType="end" w:fldLock="0"/>
      </w:r>
      <w:r>
        <w:rPr>
          <w:rtl w:val="0"/>
          <w:lang w:val="en-US"/>
        </w:rPr>
        <w:t xml:space="preserve">: 126 in reading </w:t>
      </w:r>
      <w:r>
        <w:rPr>
          <w:rtl w:val="0"/>
          <w:lang w:val="en-US"/>
        </w:rPr>
        <w:t>ν</w:t>
      </w:r>
      <w:r>
        <w:rPr>
          <w:rtl w:val="0"/>
          <w:lang w:val="en-US"/>
        </w:rPr>
        <w:t>[</w:t>
      </w:r>
      <w:r>
        <w:rPr>
          <w:rtl w:val="0"/>
          <w:lang w:val="en-US"/>
        </w:rPr>
        <w:t>ο</w:t>
      </w:r>
      <w:r>
        <w:rPr>
          <w:rtl w:val="0"/>
          <w:lang w:val="en-US"/>
        </w:rPr>
        <w:t>]</w:t>
      </w:r>
      <w:r>
        <w:rPr>
          <w:rtl w:val="0"/>
          <w:lang w:val="en-US"/>
        </w:rPr>
        <w:t>μόν ‘</w:t>
      </w:r>
      <w:r>
        <w:rPr>
          <w:rtl w:val="0"/>
          <w:lang w:val="en-US"/>
        </w:rPr>
        <w:t>nome</w:t>
      </w:r>
      <w:r>
        <w:rPr>
          <w:rtl w:val="0"/>
          <w:lang w:val="en-US"/>
        </w:rPr>
        <w:t>’</w:t>
      </w:r>
      <w:r>
        <w:rPr>
          <w:rtl w:val="0"/>
          <w:lang w:val="en-US"/>
        </w:rPr>
        <w:t xml:space="preserve">, and not </w:t>
      </w:r>
      <w:r>
        <w:rPr>
          <w:rtl w:val="0"/>
          <w:lang w:val="en-US"/>
        </w:rPr>
        <w:t>ν</w:t>
      </w:r>
      <w:r>
        <w:rPr>
          <w:rtl w:val="0"/>
          <w:lang w:val="en-US"/>
        </w:rPr>
        <w:t>[</w:t>
      </w:r>
      <w:r>
        <w:rPr>
          <w:rtl w:val="0"/>
          <w:lang w:val="en-US"/>
        </w:rPr>
        <w:t>ό</w:t>
      </w:r>
      <w:r>
        <w:rPr>
          <w:rtl w:val="0"/>
          <w:lang w:val="en-US"/>
        </w:rPr>
        <w:t>]</w:t>
      </w:r>
      <w:r>
        <w:rPr>
          <w:rtl w:val="0"/>
          <w:lang w:val="en-US"/>
        </w:rPr>
        <w:t>μον ‘</w:t>
      </w:r>
      <w:r>
        <w:rPr>
          <w:rtl w:val="0"/>
          <w:lang w:val="en-US"/>
        </w:rPr>
        <w:t>law</w:t>
      </w:r>
      <w:r>
        <w:rPr>
          <w:rtl w:val="0"/>
          <w:lang w:val="en-US"/>
        </w:rPr>
        <w:t>’</w:t>
      </w:r>
      <w:r>
        <w:rPr>
          <w:rtl w:val="0"/>
          <w:lang w:val="en-US"/>
        </w:rPr>
        <w:t xml:space="preserve">. The words </w:t>
      </w:r>
      <w:r>
        <w:rPr>
          <w:rtl w:val="0"/>
          <w:lang w:val="en-US"/>
        </w:rPr>
        <w:t xml:space="preserve">προστασία </w:t>
      </w:r>
      <w:r>
        <w:rPr>
          <w:rtl w:val="0"/>
          <w:lang w:val="en-US"/>
        </w:rPr>
        <w:t xml:space="preserve">and </w:t>
      </w:r>
      <w:r>
        <w:rPr>
          <w:rtl w:val="0"/>
          <w:lang w:val="en-US"/>
        </w:rPr>
        <w:t xml:space="preserve">προίσταμαι </w:t>
      </w:r>
      <w:r>
        <w:rPr>
          <w:rtl w:val="0"/>
          <w:lang w:val="en-US"/>
        </w:rPr>
        <w:t>may apply to a variety of objects: an estate (</w:t>
      </w:r>
      <w:r>
        <w:rPr>
          <w:rStyle w:val="Hyperlink.2"/>
          <w:lang w:val="en-US"/>
        </w:rPr>
        <w:fldChar w:fldCharType="begin" w:fldLock="0"/>
      </w:r>
      <w:r>
        <w:rPr>
          <w:rStyle w:val="Hyperlink.2"/>
          <w:lang w:val="en-US"/>
        </w:rPr>
        <w:instrText xml:space="preserve"> HYPERLINK "https://papyri.info/hgv/41038"</w:instrText>
      </w:r>
      <w:r>
        <w:rPr>
          <w:rStyle w:val="Hyperlink.2"/>
          <w:lang w:val="en-US"/>
        </w:rPr>
        <w:fldChar w:fldCharType="separate" w:fldLock="0"/>
      </w:r>
      <w:r>
        <w:rPr>
          <w:rStyle w:val="Hyperlink.2"/>
          <w:rtl w:val="0"/>
          <w:lang w:val="en-US"/>
        </w:rPr>
        <w:t>BGU 2 365</w:t>
      </w:r>
      <w:r>
        <w:rPr/>
        <w:fldChar w:fldCharType="end" w:fldLock="0"/>
      </w:r>
      <w:r>
        <w:rPr>
          <w:rtl w:val="0"/>
          <w:lang w:val="en-US"/>
        </w:rPr>
        <w:t xml:space="preserve">.1-3; </w:t>
      </w:r>
      <w:r>
        <w:rPr>
          <w:rStyle w:val="Hyperlink.2"/>
          <w:lang w:val="en-US"/>
        </w:rPr>
        <w:fldChar w:fldCharType="begin" w:fldLock="0"/>
      </w:r>
      <w:r>
        <w:rPr>
          <w:rStyle w:val="Hyperlink.2"/>
          <w:lang w:val="en-US"/>
        </w:rPr>
        <w:instrText xml:space="preserve"> HYPERLINK "https://papyri.info/hgv/12918"</w:instrText>
      </w:r>
      <w:r>
        <w:rPr>
          <w:rStyle w:val="Hyperlink.2"/>
          <w:lang w:val="en-US"/>
        </w:rPr>
        <w:fldChar w:fldCharType="separate" w:fldLock="0"/>
      </w:r>
      <w:r>
        <w:rPr>
          <w:rStyle w:val="Hyperlink.2"/>
          <w:rtl w:val="0"/>
          <w:lang w:val="en-US"/>
        </w:rPr>
        <w:t>P.Ryl. 2 132</w:t>
      </w:r>
      <w:r>
        <w:rPr/>
        <w:fldChar w:fldCharType="end" w:fldLock="0"/>
      </w:r>
      <w:r>
        <w:rPr>
          <w:rtl w:val="0"/>
          <w:lang w:val="en-US"/>
        </w:rPr>
        <w:t xml:space="preserve">, </w:t>
      </w:r>
      <w:r>
        <w:rPr>
          <w:rStyle w:val="Hyperlink.2"/>
          <w:lang w:val="en-US"/>
        </w:rPr>
        <w:fldChar w:fldCharType="begin" w:fldLock="0"/>
      </w:r>
      <w:r>
        <w:rPr>
          <w:rStyle w:val="Hyperlink.2"/>
          <w:lang w:val="en-US"/>
        </w:rPr>
        <w:instrText xml:space="preserve"> HYPERLINK "https://papyri.info/hgv/12924"</w:instrText>
      </w:r>
      <w:r>
        <w:rPr>
          <w:rStyle w:val="Hyperlink.2"/>
          <w:lang w:val="en-US"/>
        </w:rPr>
        <w:fldChar w:fldCharType="separate" w:fldLock="0"/>
      </w:r>
      <w:r>
        <w:rPr>
          <w:rStyle w:val="Hyperlink.2"/>
          <w:rtl w:val="0"/>
          <w:lang w:val="en-US"/>
        </w:rPr>
        <w:t>138</w:t>
      </w:r>
      <w:r>
        <w:rPr/>
        <w:fldChar w:fldCharType="end" w:fldLock="0"/>
      </w:r>
      <w:r>
        <w:rPr>
          <w:rtl w:val="0"/>
          <w:lang w:val="en-US"/>
        </w:rPr>
        <w:t xml:space="preserve">, </w:t>
      </w:r>
      <w:r>
        <w:rPr>
          <w:rStyle w:val="Hyperlink.2"/>
          <w:lang w:val="en-US"/>
        </w:rPr>
        <w:fldChar w:fldCharType="begin" w:fldLock="0"/>
      </w:r>
      <w:r>
        <w:rPr>
          <w:rStyle w:val="Hyperlink.2"/>
          <w:lang w:val="en-US"/>
        </w:rPr>
        <w:instrText xml:space="preserve"> HYPERLINK "https://papyri.info/hgv/12931"</w:instrText>
      </w:r>
      <w:r>
        <w:rPr>
          <w:rStyle w:val="Hyperlink.2"/>
          <w:lang w:val="en-US"/>
        </w:rPr>
        <w:fldChar w:fldCharType="separate" w:fldLock="0"/>
      </w:r>
      <w:r>
        <w:rPr>
          <w:rStyle w:val="Hyperlink.2"/>
          <w:rtl w:val="0"/>
          <w:lang w:val="en-US"/>
        </w:rPr>
        <w:t>145</w:t>
      </w:r>
      <w:r>
        <w:rPr/>
        <w:fldChar w:fldCharType="end" w:fldLock="0"/>
      </w:r>
      <w:r>
        <w:rPr>
          <w:rtl w:val="0"/>
          <w:lang w:val="en-US"/>
        </w:rPr>
        <w:t xml:space="preserve"> and </w:t>
      </w:r>
      <w:r>
        <w:rPr>
          <w:rStyle w:val="Hyperlink.2"/>
          <w:lang w:val="en-US"/>
        </w:rPr>
        <w:fldChar w:fldCharType="begin" w:fldLock="0"/>
      </w:r>
      <w:r>
        <w:rPr>
          <w:rStyle w:val="Hyperlink.2"/>
          <w:lang w:val="en-US"/>
        </w:rPr>
        <w:instrText xml:space="preserve"> HYPERLINK "https://papyri.info/hgv/12934"</w:instrText>
      </w:r>
      <w:r>
        <w:rPr>
          <w:rStyle w:val="Hyperlink.2"/>
          <w:lang w:val="en-US"/>
        </w:rPr>
        <w:fldChar w:fldCharType="separate" w:fldLock="0"/>
      </w:r>
      <w:r>
        <w:rPr>
          <w:rStyle w:val="Hyperlink.2"/>
          <w:rtl w:val="0"/>
          <w:lang w:val="en-US"/>
        </w:rPr>
        <w:t>148</w:t>
      </w:r>
      <w:r>
        <w:rPr/>
        <w:fldChar w:fldCharType="end" w:fldLock="0"/>
      </w:r>
      <w:r>
        <w:rPr>
          <w:rtl w:val="0"/>
          <w:lang w:val="en-US"/>
        </w:rPr>
        <w:t xml:space="preserve">; </w:t>
      </w:r>
      <w:r>
        <w:rPr>
          <w:rStyle w:val="Hyperlink.2"/>
          <w:lang w:val="en-US"/>
        </w:rPr>
        <w:fldChar w:fldCharType="begin" w:fldLock="0"/>
      </w:r>
      <w:r>
        <w:rPr>
          <w:rStyle w:val="Hyperlink.2"/>
          <w:lang w:val="en-US"/>
        </w:rPr>
        <w:instrText xml:space="preserve"> HYPERLINK "https://papyri.info/hgv/14117"</w:instrText>
      </w:r>
      <w:r>
        <w:rPr>
          <w:rStyle w:val="Hyperlink.2"/>
          <w:lang w:val="en-US"/>
        </w:rPr>
        <w:fldChar w:fldCharType="separate" w:fldLock="0"/>
      </w:r>
      <w:r>
        <w:rPr>
          <w:rStyle w:val="Hyperlink.2"/>
          <w:rtl w:val="0"/>
          <w:lang w:val="en-US"/>
        </w:rPr>
        <w:t>P.NYU 2 3</w:t>
      </w:r>
      <w:r>
        <w:rPr/>
        <w:fldChar w:fldCharType="end" w:fldLock="0"/>
      </w:r>
      <w:r>
        <w:rPr>
          <w:rtl w:val="0"/>
          <w:lang w:val="en-US"/>
        </w:rPr>
        <w:t>.3-4), an endowment (</w:t>
      </w:r>
      <w:r>
        <w:rPr>
          <w:rStyle w:val="Hyperlink.2"/>
          <w:lang w:val="en-US"/>
        </w:rPr>
        <w:fldChar w:fldCharType="begin" w:fldLock="0"/>
      </w:r>
      <w:r>
        <w:rPr>
          <w:rStyle w:val="Hyperlink.2"/>
          <w:lang w:val="en-US"/>
        </w:rPr>
        <w:instrText xml:space="preserve"> HYPERLINK "https://papyri.info/hgv/8130"</w:instrText>
      </w:r>
      <w:r>
        <w:rPr>
          <w:rStyle w:val="Hyperlink.2"/>
          <w:lang w:val="en-US"/>
        </w:rPr>
        <w:fldChar w:fldCharType="separate" w:fldLock="0"/>
      </w:r>
      <w:r>
        <w:rPr>
          <w:rStyle w:val="Hyperlink.2"/>
          <w:rtl w:val="0"/>
          <w:lang w:val="en-US"/>
        </w:rPr>
        <w:t>SB 20 15150</w:t>
      </w:r>
      <w:r>
        <w:rPr/>
        <w:fldChar w:fldCharType="end" w:fldLock="0"/>
      </w:r>
      <w:r>
        <w:rPr>
          <w:rtl w:val="0"/>
          <w:lang w:val="en-US"/>
        </w:rPr>
        <w:t>.8-9), revenues (</w:t>
      </w:r>
      <w:r>
        <w:rPr>
          <w:rStyle w:val="Hyperlink.2"/>
          <w:lang w:val="en-US"/>
        </w:rPr>
        <w:fldChar w:fldCharType="begin" w:fldLock="0"/>
      </w:r>
      <w:r>
        <w:rPr>
          <w:rStyle w:val="Hyperlink.2"/>
          <w:lang w:val="en-US"/>
        </w:rPr>
        <w:instrText xml:space="preserve"> HYPERLINK "https://papyri.info/hgv/2938"</w:instrText>
      </w:r>
      <w:r>
        <w:rPr>
          <w:rStyle w:val="Hyperlink.2"/>
          <w:lang w:val="en-US"/>
        </w:rPr>
        <w:fldChar w:fldCharType="separate" w:fldLock="0"/>
      </w:r>
      <w:r>
        <w:rPr>
          <w:rStyle w:val="Hyperlink.2"/>
          <w:rtl w:val="0"/>
          <w:lang w:val="en-US"/>
        </w:rPr>
        <w:t>P.Tebt. 1 5</w:t>
      </w:r>
      <w:r>
        <w:rPr/>
        <w:fldChar w:fldCharType="end" w:fldLock="0"/>
      </w:r>
      <w:r>
        <w:rPr>
          <w:rtl w:val="0"/>
          <w:lang w:val="en-US"/>
        </w:rPr>
        <w:t xml:space="preserve">.58; </w:t>
      </w:r>
      <w:r>
        <w:rPr>
          <w:rStyle w:val="Hyperlink.2"/>
          <w:lang w:val="en-US"/>
        </w:rPr>
        <w:fldChar w:fldCharType="begin" w:fldLock="0"/>
      </w:r>
      <w:r>
        <w:rPr>
          <w:rStyle w:val="Hyperlink.2"/>
          <w:lang w:val="en-US"/>
        </w:rPr>
        <w:instrText xml:space="preserve"> HYPERLINK "https://papyri.info/hgv/23324"</w:instrText>
      </w:r>
      <w:r>
        <w:rPr>
          <w:rStyle w:val="Hyperlink.2"/>
          <w:lang w:val="en-US"/>
        </w:rPr>
        <w:fldChar w:fldCharType="separate" w:fldLock="0"/>
      </w:r>
      <w:r>
        <w:rPr>
          <w:rStyle w:val="Hyperlink.2"/>
          <w:rtl w:val="0"/>
          <w:lang w:val="en-US"/>
        </w:rPr>
        <w:t>BGU 16 2601</w:t>
      </w:r>
      <w:r>
        <w:rPr/>
        <w:fldChar w:fldCharType="end" w:fldLock="0"/>
      </w:r>
      <w:r>
        <w:rPr>
          <w:rtl w:val="0"/>
          <w:lang w:val="en-US"/>
        </w:rPr>
        <w:t>.6-7), a shrine (</w:t>
      </w:r>
      <w:r>
        <w:rPr>
          <w:rStyle w:val="Hyperlink.2"/>
          <w:lang w:val="en-US"/>
        </w:rPr>
        <w:fldChar w:fldCharType="begin" w:fldLock="0"/>
      </w:r>
      <w:r>
        <w:rPr>
          <w:rStyle w:val="Hyperlink.2"/>
          <w:lang w:val="en-US"/>
        </w:rPr>
        <w:instrText xml:space="preserve"> HYPERLINK "https://papyri.info/hgv/5376"</w:instrText>
      </w:r>
      <w:r>
        <w:rPr>
          <w:rStyle w:val="Hyperlink.2"/>
          <w:lang w:val="en-US"/>
        </w:rPr>
        <w:fldChar w:fldCharType="separate" w:fldLock="0"/>
      </w:r>
      <w:r>
        <w:rPr>
          <w:rStyle w:val="Hyperlink.2"/>
          <w:rtl w:val="0"/>
          <w:lang w:val="en-US"/>
        </w:rPr>
        <w:t>P.Tebt. 3.1 790</w:t>
      </w:r>
      <w:r>
        <w:rPr/>
        <w:fldChar w:fldCharType="end" w:fldLock="0"/>
      </w:r>
      <w:r>
        <w:rPr>
          <w:rtl w:val="0"/>
          <w:lang w:val="en-US"/>
        </w:rPr>
        <w:t>.5), a chapel of sacred ibis (</w:t>
      </w:r>
      <w:r>
        <w:rPr>
          <w:rStyle w:val="Hyperlink.2"/>
          <w:lang w:val="en-US"/>
        </w:rPr>
        <w:fldChar w:fldCharType="begin" w:fldLock="0"/>
      </w:r>
      <w:r>
        <w:rPr>
          <w:rStyle w:val="Hyperlink.2"/>
          <w:lang w:val="en-US"/>
        </w:rPr>
        <w:instrText xml:space="preserve"> HYPERLINK "https://papyri.info/hgv/5093"</w:instrText>
      </w:r>
      <w:r>
        <w:rPr>
          <w:rStyle w:val="Hyperlink.2"/>
          <w:lang w:val="en-US"/>
        </w:rPr>
        <w:fldChar w:fldCharType="separate" w:fldLock="0"/>
      </w:r>
      <w:r>
        <w:rPr>
          <w:rStyle w:val="Hyperlink.2"/>
          <w:rtl w:val="0"/>
          <w:lang w:val="en-US"/>
        </w:rPr>
        <w:t>P.Fouad 1 16</w:t>
      </w:r>
      <w:r>
        <w:rPr/>
        <w:fldChar w:fldCharType="end" w:fldLock="0"/>
      </w:r>
      <w:r>
        <w:rPr>
          <w:rtl w:val="0"/>
          <w:lang w:val="en-US"/>
        </w:rPr>
        <w:t>.4-5), policemen (</w:t>
      </w:r>
      <w:r>
        <w:rPr>
          <w:rStyle w:val="Hyperlink.2"/>
          <w:lang w:val="en-US"/>
        </w:rPr>
        <w:fldChar w:fldCharType="begin" w:fldLock="0"/>
      </w:r>
      <w:r>
        <w:rPr>
          <w:rStyle w:val="Hyperlink.2"/>
          <w:lang w:val="en-US"/>
        </w:rPr>
        <w:instrText xml:space="preserve"> HYPERLINK "https://papyri.info/hgv/4308"</w:instrText>
      </w:r>
      <w:r>
        <w:rPr>
          <w:rStyle w:val="Hyperlink.2"/>
          <w:lang w:val="en-US"/>
        </w:rPr>
        <w:fldChar w:fldCharType="separate" w:fldLock="0"/>
      </w:r>
      <w:r>
        <w:rPr>
          <w:rStyle w:val="Hyperlink.2"/>
          <w:rtl w:val="0"/>
          <w:lang w:val="en-US"/>
        </w:rPr>
        <w:t>SB 14 12089</w:t>
      </w:r>
      <w:r>
        <w:rPr/>
        <w:fldChar w:fldCharType="end" w:fldLock="0"/>
      </w:r>
      <w:r>
        <w:rPr>
          <w:rtl w:val="0"/>
          <w:lang w:val="en-US"/>
        </w:rPr>
        <w:t>.1-2), sheep (</w:t>
      </w:r>
      <w:r>
        <w:rPr>
          <w:rStyle w:val="Hyperlink.2"/>
          <w:lang w:val="en-US"/>
        </w:rPr>
        <w:fldChar w:fldCharType="begin" w:fldLock="0"/>
      </w:r>
      <w:r>
        <w:rPr>
          <w:rStyle w:val="Hyperlink.2"/>
          <w:lang w:val="en-US"/>
        </w:rPr>
        <w:instrText xml:space="preserve"> HYPERLINK "https://papyri.info/hgv/23309"</w:instrText>
      </w:r>
      <w:r>
        <w:rPr>
          <w:rStyle w:val="Hyperlink.2"/>
          <w:lang w:val="en-US"/>
        </w:rPr>
        <w:fldChar w:fldCharType="separate" w:fldLock="0"/>
      </w:r>
      <w:r>
        <w:rPr>
          <w:rStyle w:val="Hyperlink.2"/>
          <w:rtl w:val="0"/>
          <w:lang w:val="en-US"/>
        </w:rPr>
        <w:t>BGU 16 2586</w:t>
      </w:r>
      <w:r>
        <w:rPr/>
        <w:fldChar w:fldCharType="end" w:fldLock="0"/>
      </w:r>
      <w:r>
        <w:rPr>
          <w:rtl w:val="0"/>
          <w:lang w:val="en-US"/>
        </w:rPr>
        <w:t xml:space="preserve">.4-5; </w:t>
      </w:r>
      <w:r>
        <w:rPr>
          <w:rStyle w:val="Hyperlink.2"/>
          <w:lang w:val="en-US"/>
        </w:rPr>
        <w:fldChar w:fldCharType="begin" w:fldLock="0"/>
      </w:r>
      <w:r>
        <w:rPr>
          <w:rStyle w:val="Hyperlink.2"/>
          <w:lang w:val="en-US"/>
        </w:rPr>
        <w:instrText xml:space="preserve"> HYPERLINK "https://papyri.info/hgv/3689"</w:instrText>
      </w:r>
      <w:r>
        <w:rPr>
          <w:rStyle w:val="Hyperlink.2"/>
          <w:lang w:val="en-US"/>
        </w:rPr>
        <w:fldChar w:fldCharType="separate" w:fldLock="0"/>
      </w:r>
      <w:r>
        <w:rPr>
          <w:rStyle w:val="Hyperlink.2"/>
          <w:rtl w:val="0"/>
          <w:lang w:val="en-US"/>
        </w:rPr>
        <w:t>P.Tebt. 1 53</w:t>
      </w:r>
      <w:r>
        <w:rPr/>
        <w:fldChar w:fldCharType="end" w:fldLock="0"/>
      </w:r>
      <w:r>
        <w:rPr>
          <w:rtl w:val="0"/>
          <w:lang w:val="en-US"/>
        </w:rPr>
        <w:t>.8).</w:t>
      </w:r>
    </w:p>
  </w:footnote>
  <w:footnote w:id="89">
    <w:p>
      <w:pPr>
        <w:pStyle w:val="footnote text"/>
      </w:pPr>
      <w:r>
        <w:rPr>
          <w:vertAlign w:val="superscript"/>
        </w:rPr>
        <w:footnoteRef/>
      </w:r>
      <w:r>
        <w:rPr>
          <w:rtl w:val="0"/>
          <w:lang w:val="en-US"/>
        </w:rPr>
        <w:t xml:space="preserve"> Seleukos is recorded </w:t>
      </w:r>
      <w:r>
        <w:rPr>
          <w:rtl w:val="0"/>
          <w:lang w:val="en-US"/>
        </w:rPr>
        <w:t xml:space="preserve">– </w:t>
      </w:r>
      <w:r>
        <w:rPr>
          <w:rtl w:val="0"/>
          <w:lang w:val="en-US"/>
        </w:rPr>
        <w:t xml:space="preserve">among other attestations </w:t>
      </w:r>
      <w:r>
        <w:rPr>
          <w:rtl w:val="0"/>
          <w:lang w:val="en-US"/>
        </w:rPr>
        <w:t xml:space="preserve">– </w:t>
      </w:r>
      <w:r>
        <w:rPr>
          <w:rtl w:val="0"/>
          <w:lang w:val="en-US"/>
        </w:rPr>
        <w:t xml:space="preserve">as </w:t>
      </w:r>
      <w:r>
        <w:rPr>
          <w:i w:val="1"/>
          <w:iCs w:val="1"/>
          <w:rtl w:val="0"/>
          <w:lang w:val="en-US"/>
        </w:rPr>
        <w:t>strategos</w:t>
      </w:r>
      <w:r>
        <w:rPr>
          <w:rtl w:val="0"/>
          <w:lang w:val="en-US"/>
        </w:rPr>
        <w:t xml:space="preserve"> on June 20, 51 BCE (</w:t>
      </w:r>
      <w:r>
        <w:rPr>
          <w:rStyle w:val="Link"/>
        </w:rPr>
        <w:fldChar w:fldCharType="begin" w:fldLock="0"/>
      </w:r>
      <w:r>
        <w:rPr>
          <w:rStyle w:val="Link"/>
        </w:rPr>
        <w:instrText xml:space="preserve"> HYPERLINK "https://papyri.info/hgv/4911"</w:instrText>
      </w:r>
      <w:r>
        <w:rPr>
          <w:rStyle w:val="Link"/>
        </w:rPr>
        <w:fldChar w:fldCharType="separate" w:fldLock="0"/>
      </w:r>
      <w:r>
        <w:rPr>
          <w:rStyle w:val="Link"/>
          <w:rtl w:val="0"/>
        </w:rPr>
        <w:t>BGU 8 1832</w:t>
      </w:r>
      <w:r>
        <w:rPr/>
        <w:fldChar w:fldCharType="end" w:fldLock="0"/>
      </w:r>
      <w:r>
        <w:rPr>
          <w:rtl w:val="0"/>
          <w:lang w:val="en-US"/>
        </w:rPr>
        <w:t>.1-2) and on February 12, 50 BCE (</w:t>
      </w:r>
      <w:r>
        <w:rPr>
          <w:rStyle w:val="Link"/>
        </w:rPr>
        <w:fldChar w:fldCharType="begin" w:fldLock="0"/>
      </w:r>
      <w:r>
        <w:rPr>
          <w:rStyle w:val="Link"/>
        </w:rPr>
        <w:instrText xml:space="preserve"> HYPERLINK "https://papyri.info/hgv/4842"</w:instrText>
      </w:r>
      <w:r>
        <w:rPr>
          <w:rStyle w:val="Link"/>
        </w:rPr>
        <w:fldChar w:fldCharType="separate" w:fldLock="0"/>
      </w:r>
      <w:r>
        <w:rPr>
          <w:rStyle w:val="Link"/>
          <w:rtl w:val="0"/>
        </w:rPr>
        <w:t>BGU 8 1761</w:t>
      </w:r>
      <w:r>
        <w:rPr/>
        <w:fldChar w:fldCharType="end" w:fldLock="0"/>
      </w:r>
      <w:r>
        <w:rPr>
          <w:rtl w:val="0"/>
          <w:lang w:val="en-US"/>
        </w:rPr>
        <w:t xml:space="preserve">.12 and 17). On October 24, 50 BCE, he has been replaced in office by a </w:t>
      </w:r>
      <w:r>
        <w:rPr>
          <w:i w:val="1"/>
          <w:iCs w:val="1"/>
          <w:rtl w:val="0"/>
          <w:lang w:val="en-US"/>
        </w:rPr>
        <w:t>strategos</w:t>
      </w:r>
      <w:r>
        <w:rPr>
          <w:rtl w:val="0"/>
          <w:lang w:val="en-US"/>
        </w:rPr>
        <w:t xml:space="preserve"> named Soteles (</w:t>
      </w:r>
      <w:r>
        <w:rPr>
          <w:rStyle w:val="Link"/>
        </w:rPr>
        <w:fldChar w:fldCharType="begin" w:fldLock="0"/>
      </w:r>
      <w:r>
        <w:rPr>
          <w:rStyle w:val="Link"/>
        </w:rPr>
        <w:instrText xml:space="preserve"> HYPERLINK "https://papyri.info/hgv/5701"</w:instrText>
      </w:r>
      <w:r>
        <w:rPr>
          <w:rStyle w:val="Link"/>
        </w:rPr>
        <w:fldChar w:fldCharType="separate" w:fldLock="0"/>
      </w:r>
      <w:r>
        <w:rPr>
          <w:rStyle w:val="Link"/>
          <w:rtl w:val="0"/>
        </w:rPr>
        <w:t>SB 5 7611</w:t>
      </w:r>
      <w:r>
        <w:rPr/>
        <w:fldChar w:fldCharType="end" w:fldLock="0"/>
      </w:r>
      <w:r>
        <w:rPr>
          <w:rtl w:val="0"/>
          <w:lang w:val="en-US"/>
        </w:rPr>
        <w:t>.1-2 and 8-9), who is himself succeeded by Eurylochos on August 9, 47 BCE (</w:t>
      </w:r>
      <w:r>
        <w:rPr>
          <w:rStyle w:val="Link"/>
        </w:rPr>
        <w:fldChar w:fldCharType="begin" w:fldLock="0"/>
      </w:r>
      <w:r>
        <w:rPr>
          <w:rStyle w:val="Link"/>
        </w:rPr>
        <w:instrText xml:space="preserve"> HYPERLINK "https://papyri.info/hgv/4891"</w:instrText>
      </w:r>
      <w:r>
        <w:rPr>
          <w:rStyle w:val="Link"/>
        </w:rPr>
        <w:fldChar w:fldCharType="separate" w:fldLock="0"/>
      </w:r>
      <w:r>
        <w:rPr>
          <w:rStyle w:val="Link"/>
          <w:rtl w:val="0"/>
        </w:rPr>
        <w:t>BGU 8 1811</w:t>
      </w:r>
      <w:r>
        <w:rPr/>
        <w:fldChar w:fldCharType="end" w:fldLock="0"/>
      </w:r>
      <w:r>
        <w:rPr>
          <w:rtl w:val="0"/>
          <w:lang w:val="en-US"/>
        </w:rPr>
        <w:t xml:space="preserve">.1). On the possible overlap between the </w:t>
      </w:r>
      <w:r>
        <w:rPr>
          <w:i w:val="1"/>
          <w:iCs w:val="1"/>
          <w:rtl w:val="0"/>
          <w:lang w:val="en-US"/>
        </w:rPr>
        <w:t>strategoi</w:t>
      </w:r>
      <w:r>
        <w:rPr>
          <w:rtl w:val="0"/>
          <w:lang w:val="en-US"/>
        </w:rPr>
        <w:t xml:space="preserve"> Seleukos and Paniskos, </w:t>
      </w:r>
      <w:r>
        <w:rPr>
          <w:rStyle w:val="Link"/>
        </w:rPr>
        <w:fldChar w:fldCharType="begin" w:fldLock="0"/>
      </w:r>
      <w:r>
        <w:rPr>
          <w:rStyle w:val="Link"/>
        </w:rPr>
        <w:instrText xml:space="preserve"> HYPERLINK "https://papyri.info/biblio/42278"</w:instrText>
      </w:r>
      <w:r>
        <w:rPr>
          <w:rStyle w:val="Link"/>
        </w:rPr>
        <w:fldChar w:fldCharType="separate" w:fldLock="0"/>
      </w:r>
      <w:r>
        <w:rPr>
          <w:rStyle w:val="Link"/>
          <w:rtl w:val="0"/>
        </w:rPr>
        <w:t>Peremans and van</w:t>
      </w:r>
      <w:r>
        <w:rPr>
          <w:rStyle w:val="Link"/>
          <w:rtl w:val="0"/>
        </w:rPr>
        <w:t>’</w:t>
      </w:r>
      <w:r>
        <w:rPr>
          <w:rStyle w:val="Link"/>
          <w:rtl w:val="0"/>
        </w:rPr>
        <w:t>t Dack 1957</w:t>
      </w:r>
      <w:r>
        <w:rPr/>
        <w:fldChar w:fldCharType="end" w:fldLock="0"/>
      </w:r>
      <w:r>
        <w:rPr>
          <w:rtl w:val="0"/>
          <w:lang w:val="en-US"/>
        </w:rPr>
        <w:t>: 122-123 reach the conclusion that Paniskos was in office from year 21 of Auletes (61-60 BCE) till year 26 (56 BCE, taking into account the reign of Berenike IV).</w:t>
      </w:r>
    </w:p>
  </w:footnote>
  <w:footnote w:id="90">
    <w:p>
      <w:pPr>
        <w:pStyle w:val="footnote text"/>
      </w:pPr>
      <w:r>
        <w:rPr>
          <w:vertAlign w:val="superscript"/>
        </w:rPr>
        <w:footnoteRef/>
      </w:r>
      <w:r>
        <w:rPr>
          <w:rtl w:val="0"/>
          <w:lang w:val="en-US"/>
        </w:rPr>
        <w:t xml:space="preserve"> Here my interpretation diverges from that of </w:t>
      </w:r>
      <w:r>
        <w:rPr>
          <w:rStyle w:val="Link"/>
        </w:rPr>
        <w:fldChar w:fldCharType="begin" w:fldLock="0"/>
      </w:r>
      <w:r>
        <w:rPr>
          <w:rStyle w:val="Link"/>
        </w:rPr>
        <w:instrText xml:space="preserve"> HYPERLINK "https://papyri.info/biblio/42278"</w:instrText>
      </w:r>
      <w:r>
        <w:rPr>
          <w:rStyle w:val="Link"/>
        </w:rPr>
        <w:fldChar w:fldCharType="separate" w:fldLock="0"/>
      </w:r>
      <w:r>
        <w:rPr>
          <w:rStyle w:val="Link"/>
          <w:rtl w:val="0"/>
        </w:rPr>
        <w:t>Peremans and van</w:t>
      </w:r>
      <w:r>
        <w:rPr>
          <w:rStyle w:val="Link"/>
          <w:rtl w:val="0"/>
        </w:rPr>
        <w:t>’</w:t>
      </w:r>
      <w:r>
        <w:rPr>
          <w:rStyle w:val="Link"/>
          <w:rtl w:val="0"/>
        </w:rPr>
        <w:t>t Dack 1957</w:t>
      </w:r>
      <w:r>
        <w:rPr/>
        <w:fldChar w:fldCharType="end" w:fldLock="0"/>
      </w:r>
      <w:r>
        <w:rPr>
          <w:rtl w:val="0"/>
          <w:lang w:val="en-US"/>
        </w:rPr>
        <w:t>: 127, who believe that Archedemos and Diokles were appointed, on a regular basis, to oversee a specific aspect of the administration in the nome. Thus, Achilleus is identified as the nome</w:t>
      </w:r>
      <w:r>
        <w:rPr>
          <w:rtl w:val="0"/>
          <w:lang w:val="en-US"/>
        </w:rPr>
        <w:t>’</w:t>
      </w:r>
      <w:r>
        <w:rPr>
          <w:rtl w:val="0"/>
          <w:lang w:val="en-US"/>
        </w:rPr>
        <w:t xml:space="preserve">s </w:t>
      </w:r>
      <w:r>
        <w:rPr>
          <w:i w:val="1"/>
          <w:iCs w:val="1"/>
          <w:rtl w:val="0"/>
          <w:lang w:val="en-US"/>
        </w:rPr>
        <w:t>eklogistes</w:t>
      </w:r>
      <w:r>
        <w:rPr>
          <w:rtl w:val="0"/>
          <w:lang w:val="en-US"/>
        </w:rPr>
        <w:t xml:space="preserve"> in </w:t>
      </w:r>
      <w:r>
        <w:rPr>
          <w:i w:val="1"/>
          <w:iCs w:val="1"/>
          <w:rtl w:val="0"/>
          <w:lang w:val="en-US"/>
        </w:rPr>
        <w:t>Prosp. Ptol.</w:t>
      </w:r>
      <w:r>
        <w:rPr>
          <w:rtl w:val="0"/>
          <w:lang w:val="en-US"/>
        </w:rPr>
        <w:t xml:space="preserve"> 1.146 and 4.1070. Their whole interpretation does not fit in well with Seleukos</w:t>
      </w:r>
      <w:r>
        <w:rPr>
          <w:rtl w:val="0"/>
          <w:lang w:val="en-US"/>
        </w:rPr>
        <w:t xml:space="preserve">’ </w:t>
      </w:r>
      <w:r>
        <w:rPr>
          <w:rtl w:val="0"/>
          <w:lang w:val="en-US"/>
        </w:rPr>
        <w:t xml:space="preserve">wording </w:t>
      </w:r>
      <w:r>
        <w:rPr>
          <w:rtl w:val="0"/>
          <w:lang w:val="en-US"/>
        </w:rPr>
        <w:t xml:space="preserve">τῶν κατὰ </w:t>
      </w:r>
      <w:r>
        <w:rPr>
          <w:rtl w:val="0"/>
          <w:lang w:val="en-US"/>
        </w:rPr>
        <w:t>[</w:t>
      </w:r>
      <w:r>
        <w:rPr>
          <w:rtl w:val="0"/>
          <w:lang w:val="en-US"/>
        </w:rPr>
        <w:t>τὸ</w:t>
      </w:r>
      <w:r>
        <w:rPr>
          <w:rtl w:val="0"/>
          <w:lang w:val="en-US"/>
        </w:rPr>
        <w:t>]</w:t>
      </w:r>
      <w:r>
        <w:rPr>
          <w:rtl w:val="0"/>
          <w:lang w:val="en-US"/>
        </w:rPr>
        <w:t>ν ν</w:t>
      </w:r>
      <w:r>
        <w:rPr>
          <w:rtl w:val="0"/>
          <w:lang w:val="en-US"/>
        </w:rPr>
        <w:t>[</w:t>
      </w:r>
      <w:r>
        <w:rPr>
          <w:rtl w:val="0"/>
          <w:lang w:val="en-US"/>
        </w:rPr>
        <w:t>ο</w:t>
      </w:r>
      <w:r>
        <w:rPr>
          <w:rtl w:val="0"/>
          <w:lang w:val="en-US"/>
        </w:rPr>
        <w:t>]</w:t>
      </w:r>
      <w:r>
        <w:rPr>
          <w:rtl w:val="0"/>
          <w:lang w:val="en-US"/>
        </w:rPr>
        <w:t>μὸν πάντων</w:t>
      </w:r>
      <w:r>
        <w:rPr>
          <w:rtl w:val="0"/>
          <w:lang w:val="en-US"/>
        </w:rPr>
        <w:t>.</w:t>
      </w:r>
    </w:p>
  </w:footnote>
  <w:footnote w:id="91">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"https://papyri.info/biblio/42278"</w:instrText>
      </w:r>
      <w:r>
        <w:rPr>
          <w:rStyle w:val="Link"/>
        </w:rPr>
        <w:fldChar w:fldCharType="separate" w:fldLock="0"/>
      </w:r>
      <w:r>
        <w:rPr>
          <w:rStyle w:val="Link"/>
          <w:rtl w:val="0"/>
        </w:rPr>
        <w:t>Peremans and van</w:t>
      </w:r>
      <w:r>
        <w:rPr>
          <w:rStyle w:val="Link"/>
          <w:rtl w:val="0"/>
        </w:rPr>
        <w:t>’</w:t>
      </w:r>
      <w:r>
        <w:rPr>
          <w:rStyle w:val="Link"/>
          <w:rtl w:val="0"/>
        </w:rPr>
        <w:t>t Dack 1957</w:t>
      </w:r>
      <w:r>
        <w:rPr/>
        <w:fldChar w:fldCharType="end" w:fldLock="0"/>
      </w:r>
      <w:r>
        <w:rPr>
          <w:rtl w:val="0"/>
          <w:lang w:val="en-US"/>
        </w:rPr>
        <w:t>: 123 already raise this possibility.</w:t>
      </w:r>
    </w:p>
  </w:footnote>
  <w:footnote w:id="92">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"https://papyri.info/biblio/97282"</w:instrText>
      </w:r>
      <w:r>
        <w:rPr>
          <w:rStyle w:val="Link"/>
        </w:rPr>
        <w:fldChar w:fldCharType="separate" w:fldLock="0"/>
      </w:r>
      <w:r>
        <w:rPr>
          <w:rStyle w:val="Link"/>
          <w:rtl w:val="0"/>
        </w:rPr>
        <w:t>van Minnen 2023</w:t>
      </w:r>
      <w:r>
        <w:rPr/>
        <w:fldChar w:fldCharType="end" w:fldLock="0"/>
      </w:r>
      <w:r>
        <w:rPr>
          <w:rtl w:val="0"/>
          <w:lang w:val="en-US"/>
        </w:rPr>
        <w:t>: 96.</w:t>
      </w:r>
    </w:p>
  </w:footnote>
  <w:footnote w:id="93">
    <w:p>
      <w:pPr>
        <w:pStyle w:val="footnote text"/>
      </w:pPr>
      <w:r>
        <w:rPr>
          <w:vertAlign w:val="superscript"/>
        </w:rPr>
        <w:footnoteRef/>
      </w:r>
      <w:r>
        <w:rPr>
          <w:rtl w:val="0"/>
          <w:lang w:val="en-US"/>
        </w:rPr>
        <w:t xml:space="preserve"> </w:t>
      </w:r>
      <w:r>
        <w:rPr>
          <w:rtl w:val="0"/>
          <w:lang w:val="en-US"/>
        </w:rPr>
        <w:t xml:space="preserve">Instead of malleability, he writes of a formulary gone wild. </w:t>
      </w:r>
      <w:r>
        <w:rPr>
          <w:rtl w:val="0"/>
          <w:lang w:val="de-DE"/>
        </w:rPr>
        <w:t xml:space="preserve">Wilcken 1899: 85 </w:t>
      </w:r>
      <w:r>
        <w:rPr>
          <w:rtl w:val="0"/>
          <w:lang w:val="de-DE"/>
        </w:rPr>
        <w:t>“</w:t>
      </w:r>
      <w:r>
        <w:rPr>
          <w:rtl w:val="0"/>
          <w:lang w:val="de-DE"/>
        </w:rPr>
        <w:t>(</w:t>
      </w:r>
      <w:r>
        <w:rPr>
          <w:rtl w:val="0"/>
          <w:lang w:val="de-DE"/>
        </w:rPr>
        <w:t>…</w:t>
      </w:r>
      <w:r>
        <w:rPr>
          <w:rtl w:val="0"/>
          <w:lang w:val="de-DE"/>
        </w:rPr>
        <w:t>) sodass schliesslich der urspr</w:t>
      </w:r>
      <w:r>
        <w:rPr>
          <w:rtl w:val="0"/>
          <w:lang w:val="de-DE"/>
        </w:rPr>
        <w:t>ü</w:t>
      </w:r>
      <w:r>
        <w:rPr>
          <w:rtl w:val="0"/>
          <w:lang w:val="de-DE"/>
        </w:rPr>
        <w:t>ngliche Briefstil ganz verwildert ist.</w:t>
      </w:r>
      <w:r>
        <w:rPr>
          <w:rtl w:val="0"/>
          <w:lang w:val="de-DE"/>
        </w:rPr>
        <w:t>”</w:t>
      </w:r>
    </w:p>
  </w:footnote>
  <w:footnote w:id="94">
    <w:p>
      <w:pPr>
        <w:pStyle w:val="footnote text"/>
      </w:pPr>
      <w:r>
        <w:rPr>
          <w:vertAlign w:val="superscript"/>
        </w:rPr>
        <w:footnoteRef/>
      </w:r>
      <w:r>
        <w:rPr>
          <w:rtl w:val="0"/>
          <w:lang w:val="en-US"/>
        </w:rPr>
        <w:t xml:space="preserve"> Wilcken 1899: 84-85.</w:t>
      </w:r>
    </w:p>
  </w:footnote>
  <w:footnote w:id="95">
    <w:p>
      <w:pPr>
        <w:pStyle w:val="footnote text"/>
      </w:pPr>
      <w:r>
        <w:rPr>
          <w:vertAlign w:val="superscript"/>
          <w:lang w:val="en-US"/>
        </w:rPr>
        <w:footnoteRef/>
      </w:r>
      <w:r>
        <w:rPr>
          <w:rtl w:val="0"/>
          <w:lang w:val="en-US"/>
        </w:rPr>
        <w:t xml:space="preserve"> </w:t>
      </w:r>
      <w:r>
        <w:rPr>
          <w:rtl w:val="0"/>
          <w:lang w:val="en-US"/>
        </w:rPr>
        <w:t xml:space="preserve">Wilcken 1899: 119, referring to </w:t>
      </w:r>
      <w:r>
        <w:rPr>
          <w:rStyle w:val="Hyperlink.0"/>
          <w:lang w:val="en-US"/>
        </w:rPr>
        <w:fldChar w:fldCharType="begin" w:fldLock="0"/>
      </w:r>
      <w:r>
        <w:rPr>
          <w:rStyle w:val="Hyperlink.0"/>
          <w:lang w:val="en-US"/>
        </w:rPr>
        <w:instrText xml:space="preserve"> HYPERLINK "https://papyri.info/hgv/76802"</w:instrText>
      </w:r>
      <w:r>
        <w:rPr>
          <w:rStyle w:val="Hyperlink.0"/>
          <w:lang w:val="en-US"/>
        </w:rPr>
        <w:fldChar w:fldCharType="separate" w:fldLock="0"/>
      </w:r>
      <w:r>
        <w:rPr>
          <w:rStyle w:val="Hyperlink.0"/>
          <w:rtl w:val="0"/>
          <w:lang w:val="en-US"/>
        </w:rPr>
        <w:t>O.Wilck. 235</w:t>
      </w:r>
      <w:r>
        <w:rPr/>
        <w:fldChar w:fldCharType="end" w:fldLock="0"/>
      </w:r>
      <w:r>
        <w:rPr>
          <w:rtl w:val="0"/>
          <w:lang w:val="en-US"/>
        </w:rPr>
        <w:t xml:space="preserve"> (158 CE, Elephantine).</w:t>
      </w:r>
    </w:p>
  </w:footnote>
  <w:footnote w:id="96">
    <w:p>
      <w:pPr>
        <w:pStyle w:val="footnote text"/>
      </w:pPr>
      <w:r>
        <w:rPr>
          <w:vertAlign w:val="superscript"/>
        </w:rPr>
        <w:footnoteRef/>
      </w:r>
      <w:r>
        <w:rPr>
          <w:rtl w:val="0"/>
          <w:lang w:val="en-US"/>
        </w:rPr>
        <w:t xml:space="preserve"> Schubert 2025.</w:t>
      </w:r>
    </w:p>
  </w:footnote>
  <w:footnote w:id="97">
    <w:p>
      <w:pPr>
        <w:pStyle w:val="footnote text"/>
      </w:pPr>
      <w:r>
        <w:rPr>
          <w:vertAlign w:val="superscript"/>
          <w:lang w:val="en-US"/>
        </w:rPr>
        <w:footnoteRef/>
      </w:r>
      <w:r>
        <w:rPr>
          <w:rtl w:val="0"/>
          <w:lang w:val="en-US"/>
        </w:rPr>
        <w:t xml:space="preserve"> Information kindly provided by Lavinia Ferretti.</w:t>
      </w:r>
    </w:p>
  </w:footnote>
  <w:footnote w:id="98">
    <w:p>
      <w:pPr>
        <w:pStyle w:val="footnote text"/>
      </w:pPr>
      <w:r>
        <w:rPr>
          <w:vertAlign w:val="superscript"/>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"https://papyri.info/biblio/75042"</w:instrText>
      </w:r>
      <w:r>
        <w:rPr>
          <w:rStyle w:val="Hyperlink.0"/>
          <w:lang w:val="en-US"/>
        </w:rPr>
        <w:fldChar w:fldCharType="separate" w:fldLock="0"/>
      </w:r>
      <w:r>
        <w:rPr>
          <w:rStyle w:val="Hyperlink.0"/>
          <w:rtl w:val="0"/>
          <w:lang w:val="en-US"/>
        </w:rPr>
        <w:t>Hagedorn and J</w:t>
      </w:r>
      <w:r>
        <w:rPr>
          <w:rStyle w:val="Hyperlink.0"/>
          <w:rtl w:val="0"/>
          <w:lang w:val="en-US"/>
        </w:rPr>
        <w:t>ö</w:t>
      </w:r>
      <w:r>
        <w:rPr>
          <w:rStyle w:val="Hyperlink.0"/>
          <w:rtl w:val="0"/>
          <w:lang w:val="en-US"/>
        </w:rPr>
        <w:t>rdens 2006</w:t>
      </w:r>
      <w:r>
        <w:rPr/>
        <w:fldChar w:fldCharType="end" w:fldLock="0"/>
      </w:r>
      <w:r>
        <w:rPr>
          <w:rtl w:val="0"/>
          <w:lang w:val="en-US"/>
        </w:rPr>
        <w:t xml:space="preserve">: 172-174. </w:t>
      </w:r>
      <w:r>
        <w:rPr>
          <w:rtl w:val="0"/>
          <w:lang w:val="en-US"/>
        </w:rPr>
        <w:t xml:space="preserve">The right to issue an edict (line 1: </w:t>
      </w:r>
      <w:r>
        <w:rPr>
          <w:rtl w:val="0"/>
          <w:lang w:val="en-US"/>
        </w:rPr>
        <w:t>λέγει</w:t>
      </w:r>
      <w:r>
        <w:rPr>
          <w:rtl w:val="0"/>
          <w:lang w:val="en-US"/>
        </w:rPr>
        <w:t>) is limited to the highest levels of command, but Hagedorn and J</w:t>
      </w:r>
      <w:r>
        <w:rPr>
          <w:rtl w:val="0"/>
          <w:lang w:val="en-US"/>
        </w:rPr>
        <w:t>ö</w:t>
      </w:r>
      <w:r>
        <w:rPr>
          <w:rtl w:val="0"/>
          <w:lang w:val="en-US"/>
        </w:rPr>
        <w:t xml:space="preserve">rdens believe that in this case the Prefect of Egypt must be ruled out. They also note (169) that, contrary to the claim made by the editor of </w:t>
      </w:r>
      <w:r>
        <w:rPr>
          <w:rStyle w:val="Hyperlink.0"/>
          <w:lang w:val="en-US"/>
        </w:rPr>
        <w:fldChar w:fldCharType="begin" w:fldLock="0"/>
      </w:r>
      <w:r>
        <w:rPr>
          <w:rStyle w:val="Hyperlink.0"/>
          <w:lang w:val="en-US"/>
        </w:rPr>
        <w:instrText xml:space="preserve"> HYPERLINK "https://papyri.info/hgv/23280"</w:instrText>
      </w:r>
      <w:r>
        <w:rPr>
          <w:rStyle w:val="Hyperlink.0"/>
          <w:lang w:val="en-US"/>
        </w:rPr>
        <w:fldChar w:fldCharType="separate" w:fldLock="0"/>
      </w:r>
      <w:r>
        <w:rPr>
          <w:rStyle w:val="Hyperlink.0"/>
          <w:rtl w:val="0"/>
          <w:lang w:val="en-US"/>
        </w:rPr>
        <w:t>BGU 16 2558</w:t>
      </w:r>
      <w:r>
        <w:rPr/>
        <w:fldChar w:fldCharType="end" w:fldLock="0"/>
      </w:r>
      <w:r>
        <w:rPr>
          <w:rtl w:val="0"/>
          <w:lang w:val="en-US"/>
        </w:rPr>
        <w:t>, this may not be the earliest attested edict from Roman Egypt, but it certainly ranks among the earliest occurrences.</w:t>
      </w:r>
    </w:p>
  </w:footnote>
  <w:footnote w:id="99">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"https://papyri.info/biblio/86165"</w:instrText>
      </w:r>
      <w:r>
        <w:rPr>
          <w:rStyle w:val="Link"/>
        </w:rPr>
        <w:fldChar w:fldCharType="separate" w:fldLock="0"/>
      </w:r>
      <w:r>
        <w:rPr>
          <w:rStyle w:val="Link"/>
          <w:rtl w:val="0"/>
        </w:rPr>
        <w:t>Capponi 2016</w:t>
      </w:r>
      <w:r>
        <w:rPr/>
        <w:fldChar w:fldCharType="end" w:fldLock="0"/>
      </w:r>
      <w:r>
        <w:rPr>
          <w:rtl w:val="0"/>
          <w:lang w:val="en-US"/>
        </w:rPr>
        <w:t xml:space="preserve">: 1716-1718, with a reinterpretation of </w:t>
      </w:r>
      <w:r>
        <w:rPr>
          <w:rStyle w:val="Link"/>
        </w:rPr>
        <w:fldChar w:fldCharType="begin" w:fldLock="0"/>
      </w:r>
      <w:r>
        <w:rPr>
          <w:rStyle w:val="Link"/>
        </w:rPr>
        <w:instrText xml:space="preserve"> HYPERLINK "https://papyri.info/hgv/70137"</w:instrText>
      </w:r>
      <w:r>
        <w:rPr>
          <w:rStyle w:val="Link"/>
        </w:rPr>
        <w:fldChar w:fldCharType="separate" w:fldLock="0"/>
      </w:r>
      <w:r>
        <w:rPr>
          <w:rStyle w:val="Link"/>
          <w:rtl w:val="0"/>
        </w:rPr>
        <w:t>SB 24 16132</w:t>
      </w:r>
      <w:r>
        <w:rPr/>
        <w:fldChar w:fldCharType="end" w:fldLock="0"/>
      </w:r>
      <w:r>
        <w:rPr>
          <w:rtl w:val="0"/>
          <w:lang w:val="en-US"/>
        </w:rPr>
        <w:t xml:space="preserve"> (= ChLA 47.1434; Oxyrhynchos, 13 BCE).</w:t>
      </w:r>
    </w:p>
  </w:footnote>
  <w:footnote w:id="100">
    <w:p>
      <w:pPr>
        <w:pStyle w:val="footnote text"/>
      </w:pPr>
      <w:r>
        <w:rPr>
          <w:vertAlign w:val="superscript"/>
        </w:rPr>
        <w:footnoteRef/>
      </w:r>
      <w:r>
        <w:rPr>
          <w:rtl w:val="0"/>
          <w:lang w:val="en-US"/>
        </w:rPr>
        <w:t xml:space="preserve"> H 15 cm x W 14.7 cm, in contrast with </w:t>
      </w:r>
      <w:r>
        <w:rPr>
          <w:rStyle w:val="Hyperlink.2"/>
          <w:lang w:val="en-US"/>
        </w:rPr>
        <w:fldChar w:fldCharType="begin" w:fldLock="0"/>
      </w:r>
      <w:r>
        <w:rPr>
          <w:rStyle w:val="Hyperlink.2"/>
          <w:lang w:val="en-US"/>
        </w:rPr>
        <w:instrText xml:space="preserve"> HYPERLINK "https://papyri.info/hgv/78025"</w:instrText>
      </w:r>
      <w:r>
        <w:rPr>
          <w:rStyle w:val="Hyperlink.2"/>
          <w:lang w:val="en-US"/>
        </w:rPr>
        <w:fldChar w:fldCharType="separate" w:fldLock="0"/>
      </w:r>
      <w:r>
        <w:rPr>
          <w:rStyle w:val="Hyperlink.2"/>
          <w:rtl w:val="0"/>
          <w:lang w:val="en-US"/>
        </w:rPr>
        <w:t>P.Bingen 45</w:t>
      </w:r>
      <w:r>
        <w:rPr/>
        <w:fldChar w:fldCharType="end" w:fldLock="0"/>
      </w:r>
      <w:r>
        <w:rPr>
          <w:rtl w:val="0"/>
          <w:lang w:val="en-US"/>
        </w:rPr>
        <w:t>: H 23.3 cm x W 20 cm.</w:t>
      </w:r>
    </w:p>
  </w:footnote>
  <w:footnote w:id="101">
    <w:p>
      <w:pPr>
        <w:pStyle w:val="footnote text"/>
      </w:pPr>
      <w:r>
        <w:rPr>
          <w:vertAlign w:val="superscript"/>
        </w:rPr>
        <w:footnoteRef/>
      </w:r>
      <w:r>
        <w:rPr>
          <w:rtl w:val="0"/>
          <w:lang w:val="en-US"/>
        </w:rPr>
        <w:t xml:space="preserve"> Partial revision by </w:t>
      </w:r>
      <w:r>
        <w:rPr>
          <w:rStyle w:val="Link"/>
        </w:rPr>
        <w:fldChar w:fldCharType="begin" w:fldLock="0"/>
      </w:r>
      <w:r>
        <w:rPr>
          <w:rStyle w:val="Link"/>
        </w:rPr>
        <w:instrText xml:space="preserve"> HYPERLINK "https://papyri.info/biblio/75040"</w:instrText>
      </w:r>
      <w:r>
        <w:rPr>
          <w:rStyle w:val="Link"/>
        </w:rPr>
        <w:fldChar w:fldCharType="separate" w:fldLock="0"/>
      </w:r>
      <w:r>
        <w:rPr>
          <w:rStyle w:val="Link"/>
          <w:rtl w:val="0"/>
        </w:rPr>
        <w:t>Hagedorn 2006</w:t>
      </w:r>
      <w:r>
        <w:rPr/>
        <w:fldChar w:fldCharType="end" w:fldLock="0"/>
      </w:r>
      <w:r>
        <w:rPr>
          <w:rtl w:val="0"/>
          <w:lang w:val="en-US"/>
        </w:rPr>
        <w:t>: 165.</w:t>
      </w:r>
    </w:p>
  </w:footnote>
  <w:footnote w:id="102">
    <w:p>
      <w:pPr>
        <w:pStyle w:val="footnote text"/>
      </w:pPr>
      <w:r>
        <w:rPr>
          <w:vertAlign w:val="superscript"/>
        </w:rPr>
        <w:footnoteRef/>
      </w:r>
      <w:r>
        <w:rPr>
          <w:rtl w:val="0"/>
          <w:lang w:val="en-US"/>
        </w:rPr>
        <w:t xml:space="preserve"> 3-4: </w:t>
      </w:r>
      <w:r>
        <w:rPr>
          <w:rtl w:val="0"/>
          <w:lang w:val="en-US"/>
        </w:rPr>
        <w:t>ἀναπλέων εἰς τὸν Ἡρακλεοπολ</w:t>
      </w:r>
      <w:r>
        <w:rPr>
          <w:rtl w:val="0"/>
          <w:lang w:val="en-US"/>
        </w:rPr>
        <w:t>(</w:t>
      </w:r>
      <w:r>
        <w:rPr>
          <w:rtl w:val="0"/>
          <w:lang w:val="en-US"/>
        </w:rPr>
        <w:t>ίτην</w:t>
      </w:r>
      <w:r>
        <w:rPr>
          <w:rtl w:val="0"/>
          <w:lang w:val="en-US"/>
        </w:rPr>
        <w:t xml:space="preserve">) </w:t>
      </w:r>
      <w:r>
        <w:rPr>
          <w:rtl w:val="0"/>
          <w:lang w:val="en-US"/>
        </w:rPr>
        <w:t>ἐπὶ εἴσπραξιν ἰδίων κερματίων</w:t>
      </w:r>
      <w:r>
        <w:rPr>
          <w:rtl w:val="0"/>
          <w:lang w:val="en-US"/>
        </w:rPr>
        <w:t xml:space="preserve">. </w:t>
      </w:r>
      <w:r>
        <w:rPr>
          <w:rtl w:val="0"/>
          <w:lang w:val="en-US"/>
        </w:rPr>
        <w:t xml:space="preserve">The formula </w:t>
      </w:r>
      <w:r>
        <w:rPr>
          <w:rtl w:val="0"/>
          <w:lang w:val="en-US"/>
        </w:rPr>
        <w:t>ἀνὴρ</w:t>
      </w:r>
      <w:r>
        <w:rPr>
          <w:rtl w:val="0"/>
          <w:lang w:val="en-US"/>
        </w:rPr>
        <w:t xml:space="preserve"> </w:t>
      </w:r>
      <w:r>
        <w:rPr>
          <w:rtl w:val="0"/>
          <w:lang w:val="en-US"/>
        </w:rPr>
        <w:t>ἀγαθός</w:t>
      </w:r>
      <w:r>
        <w:rPr>
          <w:rtl w:val="0"/>
          <w:lang w:val="en-US"/>
        </w:rPr>
        <w:t xml:space="preserve"> </w:t>
      </w:r>
      <w:r>
        <w:rPr>
          <w:rtl w:val="0"/>
          <w:lang w:val="en-US"/>
        </w:rPr>
        <w:t xml:space="preserve">and the corresponding verb </w:t>
      </w:r>
      <w:r>
        <w:rPr>
          <w:rtl w:val="0"/>
          <w:lang w:val="en-US"/>
        </w:rPr>
        <w:t xml:space="preserve">ἀνδραγαθέω </w:t>
      </w:r>
      <w:r>
        <w:rPr>
          <w:rtl w:val="0"/>
          <w:lang w:val="en-US"/>
        </w:rPr>
        <w:t xml:space="preserve">originally refer to a set of values that define a Greek of noble behaviour, and within the context of Graeco-Roman Egypt it may apply to a man respected by his peers, e.g. </w:t>
      </w:r>
      <w:r>
        <w:rPr>
          <w:rStyle w:val="Hyperlink.0"/>
          <w:lang w:val="en-US"/>
        </w:rPr>
        <w:fldChar w:fldCharType="begin" w:fldLock="0"/>
      </w:r>
      <w:r>
        <w:rPr>
          <w:rStyle w:val="Hyperlink.0"/>
          <w:lang w:val="en-US"/>
        </w:rPr>
        <w:instrText xml:space="preserve"> HYPERLINK "https://papyri.info/hgv/12086"</w:instrText>
      </w:r>
      <w:r>
        <w:rPr>
          <w:rStyle w:val="Hyperlink.0"/>
          <w:lang w:val="en-US"/>
        </w:rPr>
        <w:fldChar w:fldCharType="separate" w:fldLock="0"/>
      </w:r>
      <w:r>
        <w:rPr>
          <w:rStyle w:val="Hyperlink.0"/>
          <w:rtl w:val="0"/>
          <w:lang w:val="en-US"/>
        </w:rPr>
        <w:t>P.Mich. 5 245</w:t>
      </w:r>
      <w:r>
        <w:rPr/>
        <w:fldChar w:fldCharType="end" w:fldLock="0"/>
      </w:r>
      <w:r>
        <w:rPr>
          <w:rtl w:val="0"/>
          <w:lang w:val="en-US"/>
        </w:rPr>
        <w:t xml:space="preserve">.3-6 (= SB 5 8030; 47 CE, Tebtynis): </w:t>
      </w:r>
      <w:r>
        <w:rPr>
          <w:rtl w:val="0"/>
          <w:lang w:val="en-US"/>
        </w:rPr>
        <w:t xml:space="preserve">ἔδοξαν </w:t>
      </w:r>
      <w:r>
        <w:rPr>
          <w:rtl w:val="0"/>
          <w:lang w:val="en-US"/>
        </w:rPr>
        <w:t>{</w:t>
      </w:r>
      <w:r>
        <w:rPr>
          <w:rtl w:val="0"/>
          <w:lang w:val="en-US"/>
        </w:rPr>
        <w:t>σαν</w:t>
      </w:r>
      <w:r>
        <w:rPr>
          <w:rtl w:val="0"/>
          <w:lang w:val="en-US"/>
        </w:rPr>
        <w:t xml:space="preserve">} </w:t>
      </w:r>
      <w:r>
        <w:rPr>
          <w:rtl w:val="0"/>
          <w:lang w:val="en-US"/>
        </w:rPr>
        <w:t>ἑαυτῦς κυνῇ γνώμῃ προχιρίσαι τινὰ ἐξ αὑτῶν ἄνδρα ἀγαθ</w:t>
      </w:r>
      <w:r>
        <w:rPr>
          <w:rtl w:val="0"/>
          <w:lang w:val="en-US"/>
        </w:rPr>
        <w:t>ό</w:t>
      </w:r>
      <w:r>
        <w:rPr>
          <w:rtl w:val="0"/>
          <w:lang w:val="en-US"/>
        </w:rPr>
        <w:t xml:space="preserve">ν </w:t>
      </w:r>
      <w:r>
        <w:rPr>
          <w:rtl w:val="0"/>
          <w:lang w:val="en-US"/>
        </w:rPr>
        <w:t>(</w:t>
      </w:r>
      <w:r>
        <w:rPr>
          <w:rtl w:val="0"/>
          <w:lang w:val="en-US"/>
        </w:rPr>
        <w:t>…</w:t>
      </w:r>
      <w:r>
        <w:rPr>
          <w:rtl w:val="0"/>
          <w:lang w:val="en-US"/>
        </w:rPr>
        <w:t xml:space="preserve">) </w:t>
      </w:r>
      <w:r>
        <w:rPr>
          <w:rtl w:val="0"/>
          <w:lang w:val="en-US"/>
        </w:rPr>
        <w:t>Ἀπύνχιν Ὀρσεῦτος “</w:t>
      </w:r>
      <w:r>
        <w:rPr>
          <w:rtl w:val="0"/>
          <w:lang w:val="en-US"/>
        </w:rPr>
        <w:t>they have decided by common consent to elect one of their number, a good man, Apynchis, son of Orseus</w:t>
      </w:r>
      <w:r>
        <w:rPr>
          <w:rtl w:val="0"/>
          <w:lang w:val="en-US"/>
        </w:rPr>
        <w:t xml:space="preserve">” </w:t>
      </w:r>
      <w:r>
        <w:rPr>
          <w:rtl w:val="0"/>
          <w:lang w:val="en-US"/>
        </w:rPr>
        <w:t xml:space="preserve">[transl. Husselman, Boak, and Edgerton]. Quite often, however, it should be understood simply as </w:t>
      </w:r>
      <w:r>
        <w:rPr>
          <w:rtl w:val="0"/>
          <w:lang w:val="en-US"/>
        </w:rPr>
        <w:t>“</w:t>
      </w:r>
      <w:r>
        <w:rPr>
          <w:rtl w:val="0"/>
          <w:lang w:val="en-US"/>
        </w:rPr>
        <w:t>to behave properly, to do things the right way, [hence] to make an effort</w:t>
      </w:r>
      <w:r>
        <w:rPr>
          <w:rtl w:val="0"/>
          <w:lang w:val="en-US"/>
        </w:rPr>
        <w:t>”</w:t>
      </w:r>
      <w:r>
        <w:rPr>
          <w:rtl w:val="0"/>
          <w:lang w:val="en-US"/>
        </w:rPr>
        <w:t xml:space="preserve">. </w:t>
      </w:r>
      <w:r>
        <w:rPr>
          <w:rStyle w:val="Hyperlink.0"/>
          <w:lang w:val="en-US"/>
        </w:rPr>
        <w:fldChar w:fldCharType="begin" w:fldLock="0"/>
      </w:r>
      <w:r>
        <w:rPr>
          <w:rStyle w:val="Hyperlink.0"/>
          <w:lang w:val="en-US"/>
        </w:rPr>
        <w:instrText xml:space="preserve"> HYPERLINK "https://papyri.info/hgv/18657"</w:instrText>
      </w:r>
      <w:r>
        <w:rPr>
          <w:rStyle w:val="Hyperlink.0"/>
          <w:lang w:val="en-US"/>
        </w:rPr>
        <w:fldChar w:fldCharType="separate" w:fldLock="0"/>
      </w:r>
      <w:r>
        <w:rPr>
          <w:rStyle w:val="Hyperlink.0"/>
          <w:rtl w:val="0"/>
          <w:lang w:val="en-US"/>
        </w:rPr>
        <w:t>BGU 4 1207</w:t>
      </w:r>
      <w:r>
        <w:rPr/>
        <w:fldChar w:fldCharType="end" w:fldLock="0"/>
      </w:r>
      <w:r>
        <w:rPr>
          <w:rtl w:val="0"/>
          <w:lang w:val="en-US"/>
        </w:rPr>
        <w:t xml:space="preserve">.10-12 (28 BCE, Herakleopolite nome, from the Tomos of Asklepiades, discussed above): </w:t>
      </w:r>
      <w:r>
        <w:rPr>
          <w:rtl w:val="0"/>
          <w:lang w:val="en-US"/>
        </w:rPr>
        <w:t xml:space="preserve">σὺ οὖν κ̣α̣ὶ̣ </w:t>
      </w:r>
      <w:r>
        <w:rPr>
          <w:rtl w:val="0"/>
          <w:lang w:val="en-US"/>
        </w:rPr>
        <w:t>[</w:t>
      </w:r>
      <w:r>
        <w:rPr>
          <w:rtl w:val="0"/>
          <w:lang w:val="en-US"/>
        </w:rPr>
        <w:t>Ἁραμώτης</w:t>
      </w:r>
      <w:r>
        <w:rPr>
          <w:rtl w:val="0"/>
          <w:lang w:val="en-US"/>
        </w:rPr>
        <w:t xml:space="preserve">] </w:t>
      </w:r>
      <w:r>
        <w:rPr>
          <w:rtl w:val="0"/>
          <w:lang w:val="en-US"/>
        </w:rPr>
        <w:t>ἀνδραγαθεῖτε καὶ εἰσάγεσθε τ̣</w:t>
      </w:r>
      <w:r>
        <w:rPr>
          <w:rtl w:val="0"/>
          <w:lang w:val="en-US"/>
        </w:rPr>
        <w:t>[</w:t>
      </w:r>
      <w:r>
        <w:rPr>
          <w:rtl w:val="0"/>
          <w:lang w:val="en-US"/>
        </w:rPr>
        <w:t>ιμὴν φ</w:t>
      </w:r>
      <w:r>
        <w:rPr>
          <w:rtl w:val="0"/>
          <w:lang w:val="en-US"/>
        </w:rPr>
        <w:t>]</w:t>
      </w:r>
      <w:r>
        <w:rPr>
          <w:rtl w:val="0"/>
          <w:lang w:val="en-US"/>
        </w:rPr>
        <w:t>ακο̣ῦ̣ ὀλυρίω “</w:t>
      </w:r>
      <w:r>
        <w:rPr>
          <w:rtl w:val="0"/>
          <w:lang w:val="en-US"/>
        </w:rPr>
        <w:t>Therefore, would you and Haramothes please do the right thing, namely forward the value of the lentil (mixed with?) barley.</w:t>
      </w:r>
      <w:r>
        <w:rPr>
          <w:rtl w:val="0"/>
          <w:lang w:val="en-US"/>
        </w:rPr>
        <w:t xml:space="preserve">” </w:t>
      </w:r>
      <w:r>
        <w:rPr>
          <w:rtl w:val="0"/>
          <w:lang w:val="en-US"/>
        </w:rPr>
        <w:t xml:space="preserve">In the same archive, </w:t>
      </w:r>
      <w:r>
        <w:rPr>
          <w:rStyle w:val="Hyperlink.0"/>
          <w:lang w:val="en-US"/>
        </w:rPr>
        <w:fldChar w:fldCharType="begin" w:fldLock="0"/>
      </w:r>
      <w:r>
        <w:rPr>
          <w:rStyle w:val="Hyperlink.0"/>
          <w:lang w:val="en-US"/>
        </w:rPr>
        <w:instrText xml:space="preserve"> HYPERLINK "https://papyri.info/hgv/18654"</w:instrText>
      </w:r>
      <w:r>
        <w:rPr>
          <w:rStyle w:val="Hyperlink.0"/>
          <w:lang w:val="en-US"/>
        </w:rPr>
        <w:fldChar w:fldCharType="separate" w:fldLock="0"/>
      </w:r>
      <w:r>
        <w:rPr>
          <w:rStyle w:val="Hyperlink.0"/>
          <w:rtl w:val="0"/>
          <w:lang w:val="en-US"/>
        </w:rPr>
        <w:t>BGU 4 1204</w:t>
      </w:r>
      <w:r>
        <w:rPr/>
        <w:fldChar w:fldCharType="end" w:fldLock="0"/>
      </w:r>
      <w:r>
        <w:rPr>
          <w:rtl w:val="0"/>
          <w:lang w:val="en-US"/>
        </w:rPr>
        <w:t xml:space="preserve">.6; </w:t>
      </w:r>
      <w:r>
        <w:rPr>
          <w:rStyle w:val="Hyperlink.0"/>
          <w:lang w:val="en-US"/>
        </w:rPr>
        <w:fldChar w:fldCharType="begin" w:fldLock="0"/>
      </w:r>
      <w:r>
        <w:rPr>
          <w:rStyle w:val="Hyperlink.0"/>
          <w:lang w:val="en-US"/>
        </w:rPr>
        <w:instrText xml:space="preserve"> HYPERLINK "https://papyri.info/hgv/18655"</w:instrText>
      </w:r>
      <w:r>
        <w:rPr>
          <w:rStyle w:val="Hyperlink.0"/>
          <w:lang w:val="en-US"/>
        </w:rPr>
        <w:fldChar w:fldCharType="separate" w:fldLock="0"/>
      </w:r>
      <w:r>
        <w:rPr>
          <w:rStyle w:val="Hyperlink.0"/>
          <w:rtl w:val="0"/>
          <w:lang w:val="en-US"/>
        </w:rPr>
        <w:t>1205</w:t>
      </w:r>
      <w:r>
        <w:rPr/>
        <w:fldChar w:fldCharType="end" w:fldLock="0"/>
      </w:r>
      <w:r>
        <w:rPr>
          <w:rtl w:val="0"/>
          <w:lang w:val="en-US"/>
        </w:rPr>
        <w:t xml:space="preserve">.13-14; </w:t>
      </w:r>
      <w:r>
        <w:rPr>
          <w:rStyle w:val="Hyperlink.0"/>
          <w:lang w:val="en-US"/>
        </w:rPr>
        <w:fldChar w:fldCharType="begin" w:fldLock="0"/>
      </w:r>
      <w:r>
        <w:rPr>
          <w:rStyle w:val="Hyperlink.0"/>
          <w:lang w:val="en-US"/>
        </w:rPr>
        <w:instrText xml:space="preserve"> HYPERLINK "https://papyri.info/hgv/18656"</w:instrText>
      </w:r>
      <w:r>
        <w:rPr>
          <w:rStyle w:val="Hyperlink.0"/>
          <w:lang w:val="en-US"/>
        </w:rPr>
        <w:fldChar w:fldCharType="separate" w:fldLock="0"/>
      </w:r>
      <w:r>
        <w:rPr>
          <w:rStyle w:val="Hyperlink.0"/>
          <w:rtl w:val="0"/>
          <w:lang w:val="en-US"/>
        </w:rPr>
        <w:t>1206</w:t>
      </w:r>
      <w:r>
        <w:rPr/>
        <w:fldChar w:fldCharType="end" w:fldLock="0"/>
      </w:r>
      <w:r>
        <w:rPr>
          <w:rtl w:val="0"/>
          <w:lang w:val="en-US"/>
        </w:rPr>
        <w:t>.13.</w:t>
      </w:r>
      <w:r>
        <w:rPr>
          <w:rtl w:val="0"/>
          <w:lang w:val="en-US"/>
        </w:rPr>
        <w:t xml:space="preserve"> </w:t>
      </w:r>
      <w:r>
        <w:rPr>
          <w:rtl w:val="0"/>
          <w:lang w:val="en-US"/>
        </w:rPr>
        <w:t xml:space="preserve">Also </w:t>
      </w:r>
      <w:r>
        <w:rPr>
          <w:rStyle w:val="Hyperlink.0"/>
          <w:lang w:val="en-US"/>
        </w:rPr>
        <w:fldChar w:fldCharType="begin" w:fldLock="0"/>
      </w:r>
      <w:r>
        <w:rPr>
          <w:rStyle w:val="Hyperlink.0"/>
          <w:lang w:val="en-US"/>
        </w:rPr>
        <w:instrText xml:space="preserve"> HYPERLINK "https://papyri.info/hgv/30336"</w:instrText>
      </w:r>
      <w:r>
        <w:rPr>
          <w:rStyle w:val="Hyperlink.0"/>
          <w:lang w:val="en-US"/>
        </w:rPr>
        <w:fldChar w:fldCharType="separate" w:fldLock="0"/>
      </w:r>
      <w:r>
        <w:rPr>
          <w:rStyle w:val="Hyperlink.0"/>
          <w:rtl w:val="0"/>
          <w:lang w:val="en-US"/>
        </w:rPr>
        <w:t>P.Oxy. 42 3069</w:t>
      </w:r>
      <w:r>
        <w:rPr/>
        <w:fldChar w:fldCharType="end" w:fldLock="0"/>
      </w:r>
      <w:r>
        <w:rPr>
          <w:rtl w:val="0"/>
          <w:lang w:val="en-US"/>
        </w:rPr>
        <w:t xml:space="preserve">.13-15 (III/IV CE, Oxyrhynchos): </w:t>
      </w:r>
      <w:r>
        <w:rPr>
          <w:rtl w:val="0"/>
          <w:lang w:val="en-US"/>
        </w:rPr>
        <w:t>ἀνδραγάθε̣</w:t>
      </w:r>
      <w:r>
        <w:rPr>
          <w:rtl w:val="0"/>
          <w:lang w:val="en-US"/>
        </w:rPr>
        <w:t>[</w:t>
      </w:r>
      <w:r>
        <w:rPr>
          <w:rtl w:val="0"/>
          <w:lang w:val="en-US"/>
        </w:rPr>
        <w:t>ι</w:t>
      </w:r>
      <w:r>
        <w:rPr>
          <w:rtl w:val="0"/>
          <w:lang w:val="en-US"/>
        </w:rPr>
        <w:t xml:space="preserve">] </w:t>
      </w:r>
      <w:r>
        <w:rPr>
          <w:rtl w:val="0"/>
          <w:lang w:val="en-US"/>
        </w:rPr>
        <w:t>οὖν καὶ τὰ λοιπὰ ἐπιτέλεσον ὡς ἀνὴ</w:t>
      </w:r>
      <w:r>
        <w:rPr>
          <w:rtl w:val="0"/>
          <w:lang w:val="en-US"/>
        </w:rPr>
        <w:t>[</w:t>
      </w:r>
      <w:r>
        <w:rPr>
          <w:rtl w:val="0"/>
          <w:lang w:val="en-US"/>
        </w:rPr>
        <w:t>ρ ἀ</w:t>
      </w:r>
      <w:r>
        <w:rPr>
          <w:rtl w:val="0"/>
          <w:lang w:val="en-US"/>
        </w:rPr>
        <w:t>]</w:t>
      </w:r>
      <w:r>
        <w:rPr>
          <w:rtl w:val="0"/>
          <w:lang w:val="en-US"/>
        </w:rPr>
        <w:t>γ̣α̣θός “</w:t>
      </w:r>
      <w:r>
        <w:rPr>
          <w:rtl w:val="0"/>
          <w:lang w:val="en-US"/>
        </w:rPr>
        <w:t>Therefore, behave in an upright manner and carry out the rest like a gentleman.</w:t>
      </w:r>
      <w:r>
        <w:rPr>
          <w:rtl w:val="0"/>
          <w:lang w:val="en-US"/>
        </w:rPr>
        <w:t>”</w:t>
      </w:r>
    </w:p>
  </w:footnote>
  <w:footnote w:id="103">
    <w:p>
      <w:pPr>
        <w:pStyle w:val="footnote text"/>
      </w:pPr>
      <w:r>
        <w:rPr>
          <w:vertAlign w:val="superscript"/>
        </w:rPr>
        <w:footnoteRef/>
      </w:r>
      <w:r>
        <w:rPr>
          <w:rtl w:val="0"/>
          <w:lang w:val="en-US"/>
        </w:rPr>
        <w:t xml:space="preserve"> 6-7: </w:t>
      </w:r>
      <w:r>
        <w:rPr>
          <w:rtl w:val="0"/>
          <w:lang w:val="en-US"/>
        </w:rPr>
        <w:t>οὐχ ὁρῶν οὖν ἐν τῶι παρό̣ντι ἄ̣</w:t>
      </w:r>
      <w:r>
        <w:rPr>
          <w:rtl w:val="0"/>
          <w:lang w:val="en-US"/>
        </w:rPr>
        <w:t>[</w:t>
      </w:r>
      <w:r>
        <w:rPr>
          <w:rtl w:val="0"/>
          <w:lang w:val="en-US"/>
        </w:rPr>
        <w:t>λλο</w:t>
      </w:r>
      <w:r>
        <w:rPr>
          <w:rtl w:val="0"/>
          <w:lang w:val="en-US"/>
        </w:rPr>
        <w:t>]</w:t>
      </w:r>
      <w:r>
        <w:rPr>
          <w:rtl w:val="0"/>
          <w:lang w:val="en-US"/>
        </w:rPr>
        <w:t xml:space="preserve">ν̣ </w:t>
      </w:r>
      <w:r>
        <w:rPr>
          <w:rtl w:val="0"/>
          <w:lang w:val="en-US"/>
        </w:rPr>
        <w:t>[</w:t>
      </w:r>
      <w:r>
        <w:rPr>
          <w:rtl w:val="0"/>
          <w:lang w:val="en-US"/>
        </w:rPr>
        <w:t>ἀ</w:t>
      </w:r>
      <w:r>
        <w:rPr>
          <w:rtl w:val="0"/>
          <w:lang w:val="en-US"/>
        </w:rPr>
        <w:t>]</w:t>
      </w:r>
      <w:r>
        <w:rPr>
          <w:rtl w:val="0"/>
          <w:lang w:val="en-US"/>
        </w:rPr>
        <w:t>νότερόν σου</w:t>
      </w:r>
      <w:r>
        <w:rPr>
          <w:rtl w:val="0"/>
          <w:lang w:val="en-US"/>
        </w:rPr>
        <w:t xml:space="preserve">, with </w:t>
      </w:r>
      <w:r>
        <w:rPr>
          <w:rtl w:val="0"/>
          <w:lang w:val="en-US"/>
        </w:rPr>
        <w:t xml:space="preserve">ἀνώτερον </w:t>
      </w:r>
      <w:r>
        <w:rPr>
          <w:rtl w:val="0"/>
          <w:lang w:val="en-US"/>
        </w:rPr>
        <w:t xml:space="preserve">to be understood as </w:t>
      </w:r>
      <w:r>
        <w:rPr>
          <w:rtl w:val="0"/>
          <w:lang w:val="en-US"/>
        </w:rPr>
        <w:t>“</w:t>
      </w:r>
      <w:r>
        <w:rPr>
          <w:rtl w:val="0"/>
          <w:lang w:val="en-US"/>
        </w:rPr>
        <w:t>higher in social standing</w:t>
      </w:r>
      <w:r>
        <w:rPr>
          <w:rtl w:val="0"/>
          <w:lang w:val="en-US"/>
        </w:rPr>
        <w:t>”</w:t>
      </w:r>
      <w:r>
        <w:rPr>
          <w:rtl w:val="0"/>
          <w:lang w:val="en-US"/>
        </w:rPr>
        <w:t xml:space="preserve">, not </w:t>
      </w:r>
      <w:r>
        <w:rPr>
          <w:rtl w:val="0"/>
          <w:lang w:val="en-US"/>
        </w:rPr>
        <w:t>“</w:t>
      </w:r>
      <w:r>
        <w:rPr>
          <w:rtl w:val="0"/>
          <w:lang w:val="en-US"/>
        </w:rPr>
        <w:t>residing higher upriver</w:t>
      </w:r>
      <w:r>
        <w:rPr>
          <w:rtl w:val="0"/>
          <w:lang w:val="en-US"/>
        </w:rPr>
        <w:t>”</w:t>
      </w:r>
      <w:r>
        <w:rPr>
          <w:rtl w:val="0"/>
          <w:lang w:val="en-US"/>
        </w:rPr>
        <w:t xml:space="preserve">; </w:t>
      </w:r>
      <w:r>
        <w:rPr>
          <w:rStyle w:val="Link"/>
        </w:rPr>
        <w:fldChar w:fldCharType="begin" w:fldLock="0"/>
      </w:r>
      <w:r>
        <w:rPr>
          <w:rStyle w:val="Link"/>
        </w:rPr>
        <w:instrText xml:space="preserve"> HYPERLINK "https://papyri.info/biblio/75040"</w:instrText>
      </w:r>
      <w:r>
        <w:rPr>
          <w:rStyle w:val="Link"/>
        </w:rPr>
        <w:fldChar w:fldCharType="separate" w:fldLock="0"/>
      </w:r>
      <w:r>
        <w:rPr>
          <w:rStyle w:val="Link"/>
          <w:rtl w:val="0"/>
        </w:rPr>
        <w:t>Hagedorn 2006</w:t>
      </w:r>
      <w:r>
        <w:rPr/>
        <w:fldChar w:fldCharType="end" w:fldLock="0"/>
      </w:r>
      <w:r>
        <w:rPr>
          <w:rtl w:val="0"/>
          <w:lang w:val="en-US"/>
        </w:rPr>
        <w:t>: 165.</w:t>
      </w:r>
    </w:p>
  </w:footnote>
  <w:footnote w:id="104">
    <w:p>
      <w:pPr>
        <w:pStyle w:val="footnote text"/>
      </w:pPr>
      <w:r>
        <w:rPr>
          <w:vertAlign w:val="superscript"/>
          <w:lang w:val="en-US"/>
        </w:rPr>
        <w:footnoteRef/>
      </w:r>
      <w:r>
        <w:rPr>
          <w:rtl w:val="0"/>
          <w:lang w:val="de-DE"/>
        </w:rPr>
        <w:t xml:space="preserve"> </w:t>
      </w:r>
      <w:r>
        <w:rPr>
          <w:rStyle w:val="Hyperlink.3"/>
          <w:lang w:val="de-DE"/>
        </w:rPr>
        <w:fldChar w:fldCharType="begin" w:fldLock="0"/>
      </w:r>
      <w:r>
        <w:rPr>
          <w:rStyle w:val="Hyperlink.3"/>
          <w:lang w:val="de-DE"/>
        </w:rPr>
        <w:instrText xml:space="preserve"> HYPERLINK "https://papyri.info/biblio/96953"</w:instrText>
      </w:r>
      <w:r>
        <w:rPr>
          <w:rStyle w:val="Hyperlink.3"/>
          <w:lang w:val="de-DE"/>
        </w:rPr>
        <w:fldChar w:fldCharType="separate" w:fldLock="0"/>
      </w:r>
      <w:r>
        <w:rPr>
          <w:rStyle w:val="Hyperlink.3"/>
          <w:rtl w:val="0"/>
          <w:lang w:val="de-DE"/>
        </w:rPr>
        <w:t>Mascellari 2024</w:t>
      </w:r>
      <w:r>
        <w:rPr>
          <w:lang w:val="de-DE"/>
        </w:rPr>
        <w:fldChar w:fldCharType="end" w:fldLock="0"/>
      </w:r>
      <w:r>
        <w:rPr>
          <w:rtl w:val="0"/>
          <w:lang w:val="de-DE"/>
        </w:rPr>
        <w:t>: 93.</w:t>
      </w:r>
    </w:p>
  </w:footnote>
  <w:footnote w:id="105">
    <w:p>
      <w:pPr>
        <w:pStyle w:val="footnote text"/>
      </w:pPr>
      <w:r>
        <w:rPr>
          <w:vertAlign w:val="superscript"/>
          <w:lang w:val="en-US"/>
        </w:rPr>
        <w:footnoteRef/>
      </w:r>
      <w:r>
        <w:rPr>
          <w:rtl w:val="0"/>
          <w:lang w:val="de-DE"/>
        </w:rPr>
        <w:t xml:space="preserve"> </w:t>
      </w:r>
      <w:r>
        <w:rPr>
          <w:rStyle w:val="Link"/>
          <w:lang w:val="de-DE"/>
        </w:rPr>
        <w:fldChar w:fldCharType="begin" w:fldLock="0"/>
      </w:r>
      <w:r>
        <w:rPr>
          <w:rStyle w:val="Link"/>
          <w:lang w:val="de-DE"/>
        </w:rPr>
        <w:instrText xml:space="preserve"> HYPERLINK "https://papyri.info/biblio/97509"</w:instrText>
      </w:r>
      <w:r>
        <w:rPr>
          <w:rStyle w:val="Link"/>
          <w:lang w:val="de-DE"/>
        </w:rPr>
        <w:fldChar w:fldCharType="separate" w:fldLock="0"/>
      </w:r>
      <w:r>
        <w:rPr>
          <w:rStyle w:val="Link"/>
          <w:rtl w:val="0"/>
          <w:lang w:val="de-DE"/>
        </w:rPr>
        <w:t>Haensch and Kreuzsaler 2020</w:t>
      </w:r>
      <w:r>
        <w:rPr>
          <w:lang w:val="de-DE"/>
        </w:rPr>
        <w:fldChar w:fldCharType="end" w:fldLock="0"/>
      </w:r>
      <w:r>
        <w:rPr>
          <w:rtl w:val="0"/>
          <w:lang w:val="de-DE"/>
        </w:rPr>
        <w:t xml:space="preserve">: 205-215; </w:t>
      </w:r>
      <w:r>
        <w:rPr>
          <w:rStyle w:val="Hyperlink.3"/>
          <w:lang w:val="de-DE"/>
        </w:rPr>
        <w:fldChar w:fldCharType="begin" w:fldLock="0"/>
      </w:r>
      <w:r>
        <w:rPr>
          <w:rStyle w:val="Hyperlink.3"/>
          <w:lang w:val="de-DE"/>
        </w:rPr>
        <w:instrText xml:space="preserve"> HYPERLINK "https://papyri.info/biblio/96953"</w:instrText>
      </w:r>
      <w:r>
        <w:rPr>
          <w:rStyle w:val="Hyperlink.3"/>
          <w:lang w:val="de-DE"/>
        </w:rPr>
        <w:fldChar w:fldCharType="separate" w:fldLock="0"/>
      </w:r>
      <w:r>
        <w:rPr>
          <w:rStyle w:val="Hyperlink.3"/>
          <w:rtl w:val="0"/>
          <w:lang w:val="de-DE"/>
        </w:rPr>
        <w:t>Mascellari 2024</w:t>
      </w:r>
      <w:r>
        <w:rPr>
          <w:lang w:val="de-DE"/>
        </w:rPr>
        <w:fldChar w:fldCharType="end" w:fldLock="0"/>
      </w:r>
      <w:r>
        <w:rPr>
          <w:rtl w:val="0"/>
          <w:lang w:val="de-DE"/>
        </w:rPr>
        <w:t>: 82-83.</w:t>
      </w:r>
    </w:p>
  </w:footnote>
  <w:footnote w:id="106">
    <w:p>
      <w:pPr>
        <w:pStyle w:val="footnote text"/>
      </w:pPr>
      <w:r>
        <w:rPr>
          <w:vertAlign w:val="superscript"/>
          <w:lang w:val="en-US"/>
        </w:rPr>
        <w:footnoteRef/>
      </w:r>
      <w:r>
        <w:rPr>
          <w:rtl w:val="0"/>
          <w:lang w:val="en-US"/>
        </w:rPr>
        <w:t xml:space="preserve"> The identity of the Prefect of Egypt in 10 BCE remains as yet unknown.</w:t>
      </w:r>
    </w:p>
  </w:footnote>
  <w:footnote w:id="107">
    <w:p>
      <w:pPr>
        <w:pStyle w:val="footnote text"/>
      </w:pPr>
      <w:r>
        <w:rPr>
          <w:vertAlign w:val="superscript"/>
          <w:lang w:val="en-US"/>
        </w:rPr>
        <w:footnoteRef/>
      </w:r>
      <w:r>
        <w:rPr>
          <w:rtl w:val="0"/>
          <w:lang w:val="en-US"/>
        </w:rPr>
        <w:t xml:space="preserve"> A parallel to this sequence of several versions of a same petition is to be found in </w:t>
      </w:r>
      <w:r>
        <w:rPr>
          <w:rStyle w:val="Link"/>
        </w:rPr>
        <w:fldChar w:fldCharType="begin" w:fldLock="0"/>
      </w:r>
      <w:r>
        <w:rPr>
          <w:rStyle w:val="Link"/>
        </w:rPr>
        <w:instrText xml:space="preserve"> HYPERLINK "https://papyri.info/hgv/3409"</w:instrText>
      </w:r>
      <w:r>
        <w:rPr>
          <w:rStyle w:val="Link"/>
        </w:rPr>
        <w:fldChar w:fldCharType="separate" w:fldLock="0"/>
      </w:r>
      <w:r>
        <w:rPr>
          <w:rStyle w:val="Link"/>
          <w:rtl w:val="0"/>
        </w:rPr>
        <w:t>UPZ 1 18</w:t>
      </w:r>
      <w:r>
        <w:rPr/>
        <w:fldChar w:fldCharType="end" w:fldLock="0"/>
      </w:r>
      <w:r>
        <w:rPr>
          <w:rtl w:val="0"/>
          <w:lang w:val="en-US"/>
        </w:rPr>
        <w:t>-</w:t>
      </w:r>
      <w:r>
        <w:rPr>
          <w:rStyle w:val="Link"/>
        </w:rPr>
        <w:fldChar w:fldCharType="begin" w:fldLock="0"/>
      </w:r>
      <w:r>
        <w:rPr>
          <w:rStyle w:val="Link"/>
        </w:rPr>
        <w:instrText xml:space="preserve"> HYPERLINK "https://papyri.info/hgv/3411"</w:instrText>
      </w:r>
      <w:r>
        <w:rPr>
          <w:rStyle w:val="Link"/>
        </w:rPr>
        <w:fldChar w:fldCharType="separate" w:fldLock="0"/>
      </w:r>
      <w:r>
        <w:rPr>
          <w:rStyle w:val="Link"/>
          <w:rtl w:val="0"/>
        </w:rPr>
        <w:t>20</w:t>
      </w:r>
      <w:r>
        <w:rPr/>
        <w:fldChar w:fldCharType="end" w:fldLock="0"/>
      </w:r>
      <w:r>
        <w:rPr>
          <w:rtl w:val="0"/>
          <w:lang w:val="en-US"/>
        </w:rPr>
        <w:t xml:space="preserve"> (163 BCE, Memphis) and in </w:t>
      </w:r>
      <w:r>
        <w:rPr>
          <w:rStyle w:val="Link"/>
        </w:rPr>
        <w:fldChar w:fldCharType="begin" w:fldLock="0"/>
      </w:r>
      <w:r>
        <w:rPr>
          <w:rStyle w:val="Link"/>
        </w:rPr>
        <w:instrText xml:space="preserve"> HYPERLINK "https://papyri.info/hgv/11735"</w:instrText>
      </w:r>
      <w:r>
        <w:rPr>
          <w:rStyle w:val="Link"/>
        </w:rPr>
        <w:fldChar w:fldCharType="separate" w:fldLock="0"/>
      </w:r>
      <w:r>
        <w:rPr>
          <w:rStyle w:val="Link"/>
          <w:rtl w:val="0"/>
        </w:rPr>
        <w:t>P.Lond. 2 354</w:t>
      </w:r>
      <w:r>
        <w:rPr/>
        <w:fldChar w:fldCharType="end" w:fldLock="0"/>
      </w:r>
      <w:r>
        <w:rPr>
          <w:rtl w:val="0"/>
          <w:lang w:val="en-US"/>
        </w:rPr>
        <w:t xml:space="preserve"> (p. 163) + </w:t>
      </w:r>
      <w:r>
        <w:rPr>
          <w:rStyle w:val="Link"/>
        </w:rPr>
        <w:fldChar w:fldCharType="begin" w:fldLock="0"/>
      </w:r>
      <w:r>
        <w:rPr>
          <w:rStyle w:val="Link"/>
        </w:rPr>
        <w:instrText xml:space="preserve"> HYPERLINK "https://papyri.info/hgv/9902"</w:instrText>
      </w:r>
      <w:r>
        <w:rPr>
          <w:rStyle w:val="Link"/>
        </w:rPr>
        <w:fldChar w:fldCharType="separate" w:fldLock="0"/>
      </w:r>
      <w:r>
        <w:rPr>
          <w:rStyle w:val="Link"/>
          <w:rtl w:val="0"/>
        </w:rPr>
        <w:t>CPR 15 15</w:t>
      </w:r>
      <w:r>
        <w:rPr/>
        <w:fldChar w:fldCharType="end" w:fldLock="0"/>
      </w:r>
      <w:r>
        <w:rPr>
          <w:rtl w:val="0"/>
          <w:lang w:val="en-US"/>
        </w:rPr>
        <w:t xml:space="preserve"> (7-4 BCE, Soknopaiou Nesos); </w:t>
      </w:r>
      <w:r>
        <w:rPr>
          <w:rStyle w:val="Link"/>
        </w:rPr>
        <w:fldChar w:fldCharType="begin" w:fldLock="0"/>
      </w:r>
      <w:r>
        <w:rPr>
          <w:rStyle w:val="Link"/>
        </w:rPr>
        <w:instrText xml:space="preserve"> HYPERLINK "https://papyri.info/biblio/96417"</w:instrText>
      </w:r>
      <w:r>
        <w:rPr>
          <w:rStyle w:val="Link"/>
        </w:rPr>
        <w:fldChar w:fldCharType="separate" w:fldLock="0"/>
      </w:r>
      <w:r>
        <w:rPr>
          <w:rStyle w:val="Link"/>
          <w:rtl w:val="0"/>
        </w:rPr>
        <w:t>J</w:t>
      </w:r>
      <w:r>
        <w:rPr>
          <w:rStyle w:val="Link"/>
          <w:rtl w:val="0"/>
        </w:rPr>
        <w:t>ö</w:t>
      </w:r>
      <w:r>
        <w:rPr>
          <w:rStyle w:val="Link"/>
          <w:rtl w:val="0"/>
        </w:rPr>
        <w:t>rdens 2017</w:t>
      </w:r>
      <w:r>
        <w:rPr/>
        <w:fldChar w:fldCharType="end" w:fldLock="0"/>
      </w:r>
      <w:r>
        <w:rPr>
          <w:rtl w:val="0"/>
          <w:lang w:val="en-US"/>
        </w:rPr>
        <w:t>: 272-273. In the latter case, J</w:t>
      </w:r>
      <w:r>
        <w:rPr>
          <w:rtl w:val="0"/>
          <w:lang w:val="en-US"/>
        </w:rPr>
        <w:t>ö</w:t>
      </w:r>
      <w:r>
        <w:rPr>
          <w:rtl w:val="0"/>
          <w:lang w:val="en-US"/>
        </w:rPr>
        <w:t>rdens shows that the difference between draft and clean version does not pertain only to the layout or spelling, but that the argumentative strategy is developed from one version to the next.</w:t>
      </w:r>
    </w:p>
  </w:footnote>
  <w:footnote w:id="108">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"https://papyri.info/biblio/34630"</w:instrText>
      </w:r>
      <w:r>
        <w:rPr>
          <w:rStyle w:val="Hyperlink.0"/>
          <w:lang w:val="en-US"/>
        </w:rPr>
        <w:fldChar w:fldCharType="separate" w:fldLock="0"/>
      </w:r>
      <w:r>
        <w:rPr>
          <w:rStyle w:val="Hyperlink.0"/>
          <w:rtl w:val="0"/>
          <w:lang w:val="en-US"/>
        </w:rPr>
        <w:t>Sch</w:t>
      </w:r>
      <w:r>
        <w:rPr>
          <w:rStyle w:val="Hyperlink.0"/>
          <w:rtl w:val="0"/>
          <w:lang w:val="en-US"/>
        </w:rPr>
        <w:t>ä</w:t>
      </w:r>
      <w:r>
        <w:rPr>
          <w:rStyle w:val="Hyperlink.0"/>
          <w:rtl w:val="0"/>
          <w:lang w:val="en-US"/>
        </w:rPr>
        <w:t>fer 1933</w:t>
      </w:r>
      <w:r>
        <w:rPr>
          <w:lang w:val="en-US"/>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"https://papyri.info/biblio/9474"</w:instrText>
      </w:r>
      <w:r>
        <w:rPr>
          <w:rStyle w:val="Hyperlink.0"/>
          <w:lang w:val="en-US"/>
        </w:rPr>
        <w:fldChar w:fldCharType="separate" w:fldLock="0"/>
      </w:r>
      <w:r>
        <w:rPr>
          <w:rStyle w:val="Hyperlink.0"/>
          <w:rtl w:val="0"/>
          <w:lang w:val="en-US"/>
        </w:rPr>
        <w:t>Lenger 1980</w:t>
      </w:r>
      <w:r>
        <w:rPr>
          <w:lang w:val="en-US"/>
        </w:rPr>
        <w:fldChar w:fldCharType="end" w:fldLock="0"/>
      </w:r>
      <w:r>
        <w:rPr>
          <w:rtl w:val="0"/>
          <w:lang w:val="en-US"/>
        </w:rPr>
        <w:t>: 208-209 (introduction to C.Ord. Ptol. 74).</w:t>
      </w:r>
    </w:p>
  </w:footnote>
  <w:footnote w:id="109">
    <w:p>
      <w:pPr>
        <w:pStyle w:val="footnote text"/>
      </w:pPr>
      <w:r>
        <w:rPr>
          <w:vertAlign w:val="superscript"/>
        </w:rPr>
        <w:footnoteRef/>
      </w:r>
      <w:r>
        <w:rPr>
          <w:rtl w:val="0"/>
          <w:lang w:val="en-US"/>
        </w:rPr>
        <w:t xml:space="preserve"> Royal ordinance: </w:t>
      </w:r>
      <w:r>
        <w:rPr>
          <w:rStyle w:val="Link"/>
        </w:rPr>
        <w:fldChar w:fldCharType="begin" w:fldLock="0"/>
      </w:r>
      <w:r>
        <w:rPr>
          <w:rStyle w:val="Link"/>
        </w:rPr>
        <w:instrText xml:space="preserve"> HYPERLINK "https://papyri.info/hgv/8296"</w:instrText>
      </w:r>
      <w:r>
        <w:rPr>
          <w:rStyle w:val="Link"/>
        </w:rPr>
        <w:fldChar w:fldCharType="separate" w:fldLock="0"/>
      </w:r>
      <w:r>
        <w:rPr>
          <w:rStyle w:val="Link"/>
          <w:rtl w:val="0"/>
        </w:rPr>
        <w:t>BGU 8 1812</w:t>
      </w:r>
      <w:r>
        <w:rPr/>
        <w:fldChar w:fldCharType="end" w:fldLock="0"/>
      </w:r>
      <w:r>
        <w:rPr>
          <w:rtl w:val="0"/>
          <w:lang w:val="en-US"/>
        </w:rPr>
        <w:t xml:space="preserve">.3-5 (= C.Ord. Ptol. 74; 49-48 BCE) </w:t>
      </w:r>
      <w:r>
        <w:rPr>
          <w:rtl w:val="0"/>
          <w:lang w:val="en-US"/>
        </w:rPr>
        <w:t>εἶν̣α̣ι̣ δ̣ὲ̣ ἀ̣ν̣επάφους καὶ τοὺς παρ̣</w:t>
      </w:r>
      <w:r>
        <w:rPr>
          <w:rtl w:val="0"/>
          <w:lang w:val="en-US"/>
        </w:rPr>
        <w:t>[</w:t>
      </w:r>
      <w:r>
        <w:rPr>
          <w:rtl w:val="0"/>
          <w:lang w:val="en-US"/>
        </w:rPr>
        <w:t>αλαβόντας τὰς</w:t>
      </w:r>
      <w:r>
        <w:rPr>
          <w:rtl w:val="0"/>
          <w:lang w:val="en-US"/>
        </w:rPr>
        <w:t xml:space="preserve">] </w:t>
      </w:r>
      <w:r>
        <w:rPr>
          <w:rtl w:val="0"/>
          <w:lang w:val="en-US"/>
        </w:rPr>
        <w:t>παρʼ ἡμῶν πίστεις μέχρι ἂν ἀπὸ τῆ̣</w:t>
      </w:r>
      <w:r>
        <w:rPr>
          <w:rtl w:val="0"/>
          <w:lang w:val="en-US"/>
        </w:rPr>
        <w:t>[</w:t>
      </w:r>
      <w:r>
        <w:rPr>
          <w:rtl w:val="0"/>
          <w:lang w:val="en-US"/>
        </w:rPr>
        <w:t>ς γεωργίας</w:t>
      </w:r>
      <w:r>
        <w:rPr>
          <w:rtl w:val="0"/>
          <w:lang w:val="en-US"/>
        </w:rPr>
        <w:t xml:space="preserve">] </w:t>
      </w:r>
      <w:r>
        <w:rPr>
          <w:rtl w:val="0"/>
          <w:lang w:val="en-US"/>
        </w:rPr>
        <w:t>τῶν ἐδαφῶν γένωνται “</w:t>
      </w:r>
      <w:r>
        <w:rPr>
          <w:rtl w:val="0"/>
          <w:lang w:val="en-US"/>
        </w:rPr>
        <w:t>(and we have ordered) that those who have received the pledges from us be protected from seizure until they are through with cultivating the plots</w:t>
      </w:r>
      <w:r>
        <w:rPr>
          <w:rtl w:val="0"/>
          <w:lang w:val="en-US"/>
        </w:rPr>
        <w:t>”</w:t>
      </w:r>
      <w:r>
        <w:rPr>
          <w:rtl w:val="0"/>
          <w:lang w:val="en-US"/>
        </w:rPr>
        <w:t xml:space="preserve">. </w:t>
      </w:r>
      <w:r>
        <w:rPr>
          <w:i w:val="1"/>
          <w:iCs w:val="1"/>
          <w:rtl w:val="0"/>
          <w:lang w:val="en-US"/>
        </w:rPr>
        <w:t>Strategos</w:t>
      </w:r>
      <w:r>
        <w:rPr>
          <w:rtl w:val="0"/>
          <w:lang w:val="en-US"/>
        </w:rPr>
        <w:t xml:space="preserve"> issuing the </w:t>
      </w:r>
      <w:r>
        <w:rPr>
          <w:i w:val="1"/>
          <w:iCs w:val="1"/>
          <w:rtl w:val="0"/>
          <w:lang w:val="en-US"/>
        </w:rPr>
        <w:t>pistis</w:t>
      </w:r>
      <w:r>
        <w:rPr>
          <w:rtl w:val="0"/>
          <w:lang w:val="en-US"/>
        </w:rPr>
        <w:t xml:space="preserve">: </w:t>
      </w:r>
      <w:r>
        <w:rPr>
          <w:rStyle w:val="Link"/>
        </w:rPr>
        <w:fldChar w:fldCharType="begin" w:fldLock="0"/>
      </w:r>
      <w:r>
        <w:rPr>
          <w:rStyle w:val="Link"/>
        </w:rPr>
        <w:instrText xml:space="preserve"> HYPERLINK "https://papyri.info/hgv/78772"</w:instrText>
      </w:r>
      <w:r>
        <w:rPr>
          <w:rStyle w:val="Link"/>
        </w:rPr>
        <w:fldChar w:fldCharType="separate" w:fldLock="0"/>
      </w:r>
      <w:r>
        <w:rPr>
          <w:rStyle w:val="Link"/>
          <w:rtl w:val="0"/>
        </w:rPr>
        <w:t>P.Tebt. 1 41</w:t>
      </w:r>
      <w:r>
        <w:rPr/>
        <w:fldChar w:fldCharType="end" w:fldLock="0"/>
      </w:r>
      <w:r>
        <w:rPr>
          <w:rtl w:val="0"/>
          <w:lang w:val="en-US"/>
        </w:rPr>
        <w:t xml:space="preserve">.11-12 (105-90 BCE) </w:t>
      </w:r>
      <w:r>
        <w:rPr>
          <w:rtl w:val="0"/>
          <w:lang w:val="en-US"/>
        </w:rPr>
        <w:t>ὧν ἔχομεν παρὰ Λυσανίου τοῦ συγγενοῦς καὶ στρατηγοῦ πίστεω̣ν “</w:t>
      </w:r>
      <w:r>
        <w:rPr>
          <w:rtl w:val="0"/>
          <w:lang w:val="en-US"/>
        </w:rPr>
        <w:t xml:space="preserve">the pledges which we have (received) from Lysanias, of the rank of relatives (to the King), and </w:t>
      </w:r>
      <w:r>
        <w:rPr>
          <w:i w:val="1"/>
          <w:iCs w:val="1"/>
          <w:rtl w:val="0"/>
          <w:lang w:val="en-US"/>
        </w:rPr>
        <w:t>strategos</w:t>
      </w:r>
      <w:r>
        <w:rPr>
          <w:rtl w:val="0"/>
          <w:lang w:val="en-US"/>
        </w:rPr>
        <w:t>”</w:t>
      </w:r>
      <w:r>
        <w:rPr>
          <w:rtl w:val="0"/>
          <w:lang w:val="en-US"/>
        </w:rPr>
        <w:t>.</w:t>
      </w:r>
    </w:p>
  </w:footnote>
  <w:footnote w:id="110">
    <w:p>
      <w:pPr>
        <w:pStyle w:val="Body"/>
      </w:pPr>
      <w:r>
        <w:rPr>
          <w:vertAlign w:val="superscript"/>
        </w:rPr>
        <w:footnoteRef/>
      </w:r>
      <w:r>
        <w:rPr>
          <w:rtl w:val="0"/>
        </w:rPr>
        <w:t xml:space="preserve"> </w:t>
      </w:r>
      <w:r>
        <w:rPr>
          <w:rStyle w:val="Hyperlink.8"/>
        </w:rPr>
        <w:fldChar w:fldCharType="begin" w:fldLock="0"/>
      </w:r>
      <w:r>
        <w:rPr>
          <w:rStyle w:val="Hyperlink.8"/>
        </w:rPr>
        <w:instrText xml:space="preserve"> HYPERLINK "https://papyri.info/hgv/5371"</w:instrText>
      </w:r>
      <w:r>
        <w:rPr>
          <w:rStyle w:val="Hyperlink.8"/>
        </w:rPr>
        <w:fldChar w:fldCharType="separate" w:fldLock="0"/>
      </w:r>
      <w:r>
        <w:rPr>
          <w:rStyle w:val="Hyperlink.8"/>
          <w:rtl w:val="0"/>
        </w:rPr>
        <w:t>P.Tebt. 3.1 785</w:t>
      </w:r>
      <w:r>
        <w:rPr/>
        <w:fldChar w:fldCharType="end" w:fldLock="0"/>
      </w:r>
      <w:r>
        <w:rPr>
          <w:sz w:val="20"/>
          <w:szCs w:val="20"/>
          <w:rtl w:val="0"/>
        </w:rPr>
        <w:t xml:space="preserve">.22-25 (ca. 138 BC, Tebtynis): </w:t>
      </w:r>
      <w:r>
        <w:rPr>
          <w:sz w:val="20"/>
          <w:szCs w:val="20"/>
          <w:rtl w:val="0"/>
        </w:rPr>
        <w:t>διʼ ὃν πεπόηται παραλογισμὸν συμβέβηκεν περισπᾶσθαί με ἀλόγως ἀπὸ τῆς βασιλικῆς γῆς</w:t>
      </w:r>
      <w:r>
        <w:rPr>
          <w:sz w:val="20"/>
          <w:szCs w:val="20"/>
          <w:rtl w:val="0"/>
        </w:rPr>
        <w:t xml:space="preserve">. </w:t>
      </w:r>
      <w:r>
        <w:rPr>
          <w:sz w:val="20"/>
          <w:szCs w:val="20"/>
          <w:rtl w:val="1"/>
          <w:lang w:val="ar-SA" w:bidi="ar-SA"/>
        </w:rPr>
        <w:t>“</w:t>
      </w:r>
      <w:r>
        <w:rPr>
          <w:sz w:val="20"/>
          <w:szCs w:val="20"/>
          <w:rtl w:val="0"/>
          <w:lang w:val="en-US"/>
        </w:rPr>
        <w:t>Through her false statement it came about that I was unreasonably disturbed from the crown land.</w:t>
      </w:r>
      <w:r>
        <w:rPr>
          <w:sz w:val="20"/>
          <w:szCs w:val="20"/>
          <w:rtl w:val="0"/>
        </w:rPr>
        <w:t xml:space="preserve">” </w:t>
      </w:r>
      <w:r>
        <w:rPr>
          <w:sz w:val="20"/>
          <w:szCs w:val="20"/>
          <w:rtl w:val="0"/>
          <w:lang w:val="en-US"/>
        </w:rPr>
        <w:t>(transl. Hunt and Smyly)</w:t>
      </w:r>
    </w:p>
  </w:footnote>
  <w:footnote w:id="111">
    <w:p>
      <w:pPr>
        <w:pStyle w:val="Body"/>
      </w:pPr>
      <w:r>
        <w:rPr>
          <w:vertAlign w:val="superscript"/>
        </w:rPr>
        <w:footnoteRef/>
      </w:r>
      <w:r>
        <w:rPr>
          <w:rtl w:val="0"/>
        </w:rPr>
        <w:t xml:space="preserve"> </w:t>
      </w:r>
      <w:r>
        <w:rPr>
          <w:rStyle w:val="Hyperlink.8"/>
        </w:rPr>
        <w:fldChar w:fldCharType="begin" w:fldLock="0"/>
      </w:r>
      <w:r>
        <w:rPr>
          <w:rStyle w:val="Hyperlink.8"/>
        </w:rPr>
        <w:instrText xml:space="preserve"> HYPERLINK "https://papyri.info/hgv/2609"</w:instrText>
      </w:r>
      <w:r>
        <w:rPr>
          <w:rStyle w:val="Hyperlink.8"/>
        </w:rPr>
        <w:fldChar w:fldCharType="separate" w:fldLock="0"/>
      </w:r>
      <w:r>
        <w:rPr>
          <w:rStyle w:val="Hyperlink.8"/>
          <w:rtl w:val="0"/>
        </w:rPr>
        <w:t>SB 18 13861</w:t>
      </w:r>
      <w:r>
        <w:rPr/>
        <w:fldChar w:fldCharType="end" w:fldLock="0"/>
      </w:r>
      <w:r>
        <w:rPr>
          <w:sz w:val="20"/>
          <w:szCs w:val="20"/>
          <w:rtl w:val="0"/>
          <w:lang w:val="pt-PT"/>
        </w:rPr>
        <w:t xml:space="preserve">.13-15 (= P.Mich. 10.601; 210 BCE, Philadelphia [?]): </w:t>
      </w:r>
      <w:r>
        <w:rPr>
          <w:sz w:val="20"/>
          <w:szCs w:val="20"/>
          <w:rtl w:val="0"/>
        </w:rPr>
        <w:t>σὺ οὖν καλῶς ποείσεις φροντίσας ὡς οὐ περισπασθησόμεθα</w:t>
      </w:r>
      <w:r>
        <w:rPr>
          <w:sz w:val="20"/>
          <w:szCs w:val="20"/>
          <w:rtl w:val="0"/>
        </w:rPr>
        <w:t xml:space="preserve">. </w:t>
      </w:r>
      <w:r>
        <w:rPr>
          <w:sz w:val="20"/>
          <w:szCs w:val="20"/>
          <w:rtl w:val="1"/>
          <w:lang w:val="ar-SA" w:bidi="ar-SA"/>
        </w:rPr>
        <w:t>“</w:t>
      </w:r>
      <w:r>
        <w:rPr>
          <w:sz w:val="20"/>
          <w:szCs w:val="20"/>
          <w:rtl w:val="0"/>
          <w:lang w:val="en-US"/>
        </w:rPr>
        <w:t>Therefore, would you please see to it that we remain unmolested.</w:t>
      </w:r>
      <w:r>
        <w:rPr>
          <w:sz w:val="20"/>
          <w:szCs w:val="20"/>
          <w:rtl w:val="0"/>
        </w:rPr>
        <w:t xml:space="preserve">” </w:t>
      </w:r>
      <w:r>
        <w:rPr>
          <w:rStyle w:val="Hyperlink.8"/>
        </w:rPr>
        <w:fldChar w:fldCharType="begin" w:fldLock="0"/>
      </w:r>
      <w:r>
        <w:rPr>
          <w:rStyle w:val="Hyperlink.8"/>
        </w:rPr>
        <w:instrText xml:space="preserve"> HYPERLINK "https://papyri.info/hgv/5344"</w:instrText>
      </w:r>
      <w:r>
        <w:rPr>
          <w:rStyle w:val="Hyperlink.8"/>
        </w:rPr>
        <w:fldChar w:fldCharType="separate" w:fldLock="0"/>
      </w:r>
      <w:r>
        <w:rPr>
          <w:rStyle w:val="Hyperlink.8"/>
          <w:rtl w:val="0"/>
        </w:rPr>
        <w:t>P.Tebt. 3.1 741</w:t>
      </w:r>
      <w:r>
        <w:rPr/>
        <w:fldChar w:fldCharType="end" w:fldLock="0"/>
      </w:r>
      <w:r>
        <w:rPr>
          <w:sz w:val="20"/>
          <w:szCs w:val="20"/>
          <w:rtl w:val="0"/>
        </w:rPr>
        <w:t xml:space="preserve">.1-5 (187-186 BCE, Tebtynis): </w:t>
      </w:r>
      <w:r>
        <w:rPr>
          <w:sz w:val="20"/>
          <w:szCs w:val="20"/>
          <w:rtl w:val="0"/>
        </w:rPr>
        <w:t>τῆς πρὸς Ἀνί</w:t>
      </w:r>
      <w:r>
        <w:rPr>
          <w:sz w:val="20"/>
          <w:szCs w:val="20"/>
          <w:rtl w:val="0"/>
          <w:lang w:val="pt-PT"/>
        </w:rPr>
        <w:t>[</w:t>
      </w:r>
      <w:r>
        <w:rPr>
          <w:sz w:val="20"/>
          <w:szCs w:val="20"/>
          <w:rtl w:val="0"/>
        </w:rPr>
        <w:t>κητον</w:t>
      </w:r>
      <w:r>
        <w:rPr>
          <w:sz w:val="20"/>
          <w:szCs w:val="20"/>
          <w:rtl w:val="0"/>
          <w:lang w:val="pt-PT"/>
        </w:rPr>
        <w:t xml:space="preserve">] </w:t>
      </w:r>
      <w:r>
        <w:rPr>
          <w:sz w:val="20"/>
          <w:szCs w:val="20"/>
          <w:rtl w:val="0"/>
        </w:rPr>
        <w:t>τὸν παρʼ ἡμῶν ἐπιστολῆς ὑπόκειταί σοι τὸ ἀν</w:t>
      </w:r>
      <w:r>
        <w:rPr>
          <w:sz w:val="20"/>
          <w:szCs w:val="20"/>
          <w:rtl w:val="0"/>
          <w:lang w:val="pt-PT"/>
        </w:rPr>
        <w:t>[</w:t>
      </w:r>
      <w:r>
        <w:rPr>
          <w:sz w:val="20"/>
          <w:szCs w:val="20"/>
          <w:rtl w:val="0"/>
        </w:rPr>
        <w:t>τίγραφον</w:t>
      </w:r>
      <w:r>
        <w:rPr>
          <w:sz w:val="20"/>
          <w:szCs w:val="20"/>
          <w:rtl w:val="0"/>
          <w:lang w:val="pt-PT"/>
        </w:rPr>
        <w:t xml:space="preserve">]. </w:t>
      </w:r>
      <w:r>
        <w:rPr>
          <w:sz w:val="20"/>
          <w:szCs w:val="20"/>
          <w:rtl w:val="0"/>
        </w:rPr>
        <w:t>καλῶς οὖν ποήσεις καὶ σὺ συντάξας μὴ περ̣</w:t>
      </w:r>
      <w:r>
        <w:rPr>
          <w:sz w:val="20"/>
          <w:szCs w:val="20"/>
          <w:rtl w:val="0"/>
          <w:lang w:val="pt-PT"/>
        </w:rPr>
        <w:t>[</w:t>
      </w:r>
      <w:r>
        <w:rPr>
          <w:sz w:val="20"/>
          <w:szCs w:val="20"/>
          <w:rtl w:val="0"/>
        </w:rPr>
        <w:t>ισπᾶν</w:t>
      </w:r>
      <w:r>
        <w:rPr>
          <w:sz w:val="20"/>
          <w:szCs w:val="20"/>
          <w:rtl w:val="0"/>
          <w:lang w:val="pt-PT"/>
        </w:rPr>
        <w:t xml:space="preserve">] </w:t>
      </w:r>
      <w:r>
        <w:rPr>
          <w:sz w:val="20"/>
          <w:szCs w:val="20"/>
          <w:rtl w:val="0"/>
        </w:rPr>
        <w:t>τοὺς̣ ἀ̣ν̣θ̣ρ̣ώ̣π̣ους μέχρι τοῦ ἐπιβα̣</w:t>
      </w:r>
      <w:r>
        <w:rPr>
          <w:sz w:val="20"/>
          <w:szCs w:val="20"/>
          <w:rtl w:val="0"/>
          <w:lang w:val="pt-PT"/>
        </w:rPr>
        <w:t>[</w:t>
      </w:r>
      <w:r>
        <w:rPr>
          <w:sz w:val="20"/>
          <w:szCs w:val="20"/>
          <w:rtl w:val="0"/>
        </w:rPr>
        <w:t>λό</w:t>
      </w:r>
      <w:r>
        <w:rPr>
          <w:sz w:val="20"/>
          <w:szCs w:val="20"/>
          <w:rtl w:val="0"/>
          <w:lang w:val="pt-PT"/>
        </w:rPr>
        <w:t>]</w:t>
      </w:r>
      <w:r>
        <w:rPr>
          <w:sz w:val="20"/>
          <w:szCs w:val="20"/>
          <w:rtl w:val="0"/>
        </w:rPr>
        <w:t>ν̣τ̣</w:t>
      </w:r>
      <w:r>
        <w:rPr>
          <w:sz w:val="20"/>
          <w:szCs w:val="20"/>
          <w:rtl w:val="0"/>
          <w:lang w:val="pt-PT"/>
        </w:rPr>
        <w:t>[</w:t>
      </w:r>
      <w:r>
        <w:rPr>
          <w:sz w:val="20"/>
          <w:szCs w:val="20"/>
          <w:rtl w:val="0"/>
        </w:rPr>
        <w:t>α</w:t>
      </w:r>
      <w:r>
        <w:rPr>
          <w:sz w:val="20"/>
          <w:szCs w:val="20"/>
          <w:rtl w:val="0"/>
          <w:lang w:val="pt-PT"/>
        </w:rPr>
        <w:t>]</w:t>
      </w:r>
      <w:r>
        <w:rPr>
          <w:sz w:val="20"/>
          <w:szCs w:val="20"/>
          <w:rtl w:val="0"/>
        </w:rPr>
        <w:t>ς̣ ἡ̣μ̣</w:t>
      </w:r>
      <w:r>
        <w:rPr>
          <w:sz w:val="20"/>
          <w:szCs w:val="20"/>
          <w:rtl w:val="0"/>
          <w:lang w:val="pt-PT"/>
        </w:rPr>
        <w:t>[</w:t>
      </w:r>
      <w:r>
        <w:rPr>
          <w:sz w:val="20"/>
          <w:szCs w:val="20"/>
          <w:rtl w:val="0"/>
        </w:rPr>
        <w:t>ᾶς ποιήσασθαι</w:t>
      </w:r>
      <w:r>
        <w:rPr>
          <w:sz w:val="20"/>
          <w:szCs w:val="20"/>
          <w:rtl w:val="0"/>
          <w:lang w:val="pt-PT"/>
        </w:rPr>
        <w:t xml:space="preserve">] </w:t>
      </w:r>
      <w:r>
        <w:rPr>
          <w:sz w:val="20"/>
          <w:szCs w:val="20"/>
          <w:rtl w:val="0"/>
        </w:rPr>
        <w:t>τὴν ἁρμόζουσαν ἐ̣</w:t>
      </w:r>
      <w:r>
        <w:rPr>
          <w:sz w:val="20"/>
          <w:szCs w:val="20"/>
          <w:rtl w:val="0"/>
          <w:lang w:val="pt-PT"/>
        </w:rPr>
        <w:t>[</w:t>
      </w:r>
      <w:r>
        <w:rPr>
          <w:sz w:val="20"/>
          <w:szCs w:val="20"/>
          <w:rtl w:val="0"/>
        </w:rPr>
        <w:t>πι</w:t>
      </w:r>
      <w:r>
        <w:rPr>
          <w:sz w:val="20"/>
          <w:szCs w:val="20"/>
          <w:rtl w:val="0"/>
          <w:lang w:val="pt-PT"/>
        </w:rPr>
        <w:t>]</w:t>
      </w:r>
      <w:r>
        <w:rPr>
          <w:sz w:val="20"/>
          <w:szCs w:val="20"/>
          <w:rtl w:val="0"/>
        </w:rPr>
        <w:t xml:space="preserve">στροφὴν </w:t>
      </w:r>
      <w:r>
        <w:rPr>
          <w:sz w:val="20"/>
          <w:szCs w:val="20"/>
          <w:rtl w:val="0"/>
          <w:lang w:val="pt-PT"/>
        </w:rPr>
        <w:t>[</w:t>
      </w:r>
      <w:r>
        <w:rPr>
          <w:sz w:val="20"/>
          <w:szCs w:val="20"/>
          <w:rtl w:val="0"/>
        </w:rPr>
        <w:t>ὑ</w:t>
      </w:r>
      <w:r>
        <w:rPr>
          <w:sz w:val="20"/>
          <w:szCs w:val="20"/>
          <w:rtl w:val="0"/>
          <w:lang w:val="pt-PT"/>
        </w:rPr>
        <w:t>]</w:t>
      </w:r>
      <w:r>
        <w:rPr>
          <w:sz w:val="20"/>
          <w:szCs w:val="20"/>
          <w:rtl w:val="0"/>
        </w:rPr>
        <w:t>πὲρ ὧν δη</w:t>
      </w:r>
      <w:r>
        <w:rPr>
          <w:sz w:val="20"/>
          <w:szCs w:val="20"/>
          <w:rtl w:val="0"/>
          <w:lang w:val="pt-PT"/>
        </w:rPr>
        <w:t>[</w:t>
      </w:r>
      <w:r>
        <w:rPr>
          <w:sz w:val="20"/>
          <w:szCs w:val="20"/>
          <w:rtl w:val="0"/>
        </w:rPr>
        <w:t>λοῦσιν</w:t>
      </w:r>
      <w:r>
        <w:rPr>
          <w:sz w:val="20"/>
          <w:szCs w:val="20"/>
          <w:rtl w:val="0"/>
          <w:lang w:val="pt-PT"/>
        </w:rPr>
        <w:t xml:space="preserve">]. </w:t>
      </w:r>
      <w:r>
        <w:rPr>
          <w:sz w:val="20"/>
          <w:szCs w:val="20"/>
          <w:rtl w:val="1"/>
          <w:lang w:val="ar-SA" w:bidi="ar-SA"/>
        </w:rPr>
        <w:t>“</w:t>
      </w:r>
      <w:r>
        <w:rPr>
          <w:sz w:val="20"/>
          <w:szCs w:val="20"/>
          <w:rtl w:val="0"/>
          <w:lang w:val="en-US"/>
        </w:rPr>
        <w:t>Below is a copy of a letter to my agent Aniketos. Accordingly, you will do well to issue orders yourself that the persons are not to be molested before I arrive and give their statements proper attention.</w:t>
      </w:r>
      <w:r>
        <w:rPr>
          <w:sz w:val="20"/>
          <w:szCs w:val="20"/>
          <w:rtl w:val="0"/>
        </w:rPr>
        <w:t xml:space="preserve">” </w:t>
      </w:r>
      <w:r>
        <w:rPr>
          <w:sz w:val="20"/>
          <w:szCs w:val="20"/>
          <w:rtl w:val="0"/>
          <w:lang w:val="en-US"/>
        </w:rPr>
        <w:t xml:space="preserve">(transl. Hunt and Smyly) </w:t>
      </w:r>
    </w:p>
  </w:footnote>
  <w:footnote w:id="112">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"https://papyri.info/biblio/96179"</w:instrText>
      </w:r>
      <w:r>
        <w:rPr>
          <w:rStyle w:val="Link"/>
        </w:rPr>
        <w:fldChar w:fldCharType="separate" w:fldLock="0"/>
      </w:r>
      <w:r>
        <w:rPr>
          <w:rStyle w:val="Link"/>
          <w:rtl w:val="0"/>
        </w:rPr>
        <w:t>Schubert 2018</w:t>
      </w:r>
      <w:r>
        <w:rPr/>
        <w:fldChar w:fldCharType="end" w:fldLock="0"/>
      </w:r>
      <w:r>
        <w:rPr>
          <w:rtl w:val="0"/>
          <w:lang w:val="en-US"/>
        </w:rPr>
        <w:t xml:space="preserve">. A close relationship between </w:t>
      </w:r>
      <w:r>
        <w:rPr>
          <w:i w:val="1"/>
          <w:iCs w:val="1"/>
          <w:rtl w:val="0"/>
          <w:lang w:val="en-US"/>
        </w:rPr>
        <w:t>pistis</w:t>
      </w:r>
      <w:r>
        <w:rPr>
          <w:rtl w:val="0"/>
          <w:lang w:val="en-US"/>
        </w:rPr>
        <w:t xml:space="preserve"> and warrant may be established through the example of </w:t>
      </w:r>
      <w:r>
        <w:rPr>
          <w:rStyle w:val="Link"/>
        </w:rPr>
        <w:fldChar w:fldCharType="begin" w:fldLock="0"/>
      </w:r>
      <w:r>
        <w:rPr>
          <w:rStyle w:val="Link"/>
        </w:rPr>
        <w:instrText xml:space="preserve"> HYPERLINK "https://papyri.info/hgv/31215"</w:instrText>
      </w:r>
      <w:r>
        <w:rPr>
          <w:rStyle w:val="Link"/>
        </w:rPr>
        <w:fldChar w:fldCharType="separate" w:fldLock="0"/>
      </w:r>
      <w:r>
        <w:rPr>
          <w:rStyle w:val="Link"/>
          <w:rtl w:val="0"/>
        </w:rPr>
        <w:t>P.Lond. 2 379</w:t>
      </w:r>
      <w:r>
        <w:rPr/>
        <w:fldChar w:fldCharType="end" w:fldLock="0"/>
      </w:r>
      <w:r>
        <w:rPr>
          <w:rtl w:val="0"/>
          <w:lang w:val="en-US"/>
        </w:rPr>
        <w:t xml:space="preserve"> (p. 162; Herakleia [Ars. Nome]), a </w:t>
      </w:r>
      <w:r>
        <w:rPr>
          <w:i w:val="1"/>
          <w:iCs w:val="1"/>
          <w:rtl w:val="0"/>
          <w:lang w:val="en-US"/>
        </w:rPr>
        <w:t>pistis</w:t>
      </w:r>
      <w:r>
        <w:rPr>
          <w:rtl w:val="0"/>
          <w:lang w:val="en-US"/>
        </w:rPr>
        <w:t xml:space="preserve"> by content with the format and general phrasing of a warrant. It is undoubtedly an official</w:t>
      </w:r>
      <w:r>
        <w:rPr>
          <w:rtl w:val="0"/>
          <w:lang w:val="en-US"/>
        </w:rPr>
        <w:t>’</w:t>
      </w:r>
      <w:r>
        <w:rPr>
          <w:rtl w:val="0"/>
          <w:lang w:val="en-US"/>
        </w:rPr>
        <w:t xml:space="preserve">s response to a petition. This papyrus was dated to the third century CE by Kenyon, but the first century CE seems more likely; </w:t>
      </w:r>
      <w:r>
        <w:rPr>
          <w:rStyle w:val="Link"/>
        </w:rPr>
        <w:fldChar w:fldCharType="begin" w:fldLock="0"/>
      </w:r>
      <w:r>
        <w:rPr>
          <w:rStyle w:val="Link"/>
        </w:rPr>
        <w:instrText xml:space="preserve"> HYPERLINK "https://papyri.info/biblio/96179"</w:instrText>
      </w:r>
      <w:r>
        <w:rPr>
          <w:rStyle w:val="Link"/>
        </w:rPr>
        <w:fldChar w:fldCharType="separate" w:fldLock="0"/>
      </w:r>
      <w:r>
        <w:rPr>
          <w:rStyle w:val="Link"/>
          <w:rtl w:val="0"/>
        </w:rPr>
        <w:t>Schubert 2018</w:t>
      </w:r>
      <w:r>
        <w:rPr/>
        <w:fldChar w:fldCharType="end" w:fldLock="0"/>
      </w:r>
      <w:r>
        <w:rPr>
          <w:rtl w:val="0"/>
          <w:lang w:val="en-US"/>
        </w:rPr>
        <w:t>: 263 and 268-269.</w:t>
      </w:r>
    </w:p>
  </w:footnote>
  <w:footnote w:id="113">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"https://papyri.info/hgv/3094"</w:instrText>
      </w:r>
      <w:r>
        <w:rPr>
          <w:rStyle w:val="Link"/>
        </w:rPr>
        <w:fldChar w:fldCharType="separate" w:fldLock="0"/>
      </w:r>
      <w:r>
        <w:rPr>
          <w:rStyle w:val="Link"/>
          <w:rtl w:val="0"/>
        </w:rPr>
        <w:t>P.Dion. 11</w:t>
      </w:r>
      <w:r>
        <w:rPr/>
        <w:fldChar w:fldCharType="end" w:fldLock="0"/>
      </w:r>
      <w:r>
        <w:rPr>
          <w:rtl w:val="0"/>
          <w:lang w:val="en-US"/>
        </w:rPr>
        <w:t xml:space="preserve">.38-43 (ca. 108 BCE, Hermopolite nome; discussed above in relation with petitions): </w:t>
      </w:r>
      <w:r>
        <w:rPr>
          <w:rtl w:val="0"/>
          <w:lang w:val="en-US"/>
        </w:rPr>
        <w:t>Βίαντι· ε</w:t>
      </w:r>
      <w:r>
        <w:rPr>
          <w:rtl w:val="0"/>
          <w:lang w:val="en-US"/>
        </w:rPr>
        <w:t>[</w:t>
      </w:r>
      <w:r>
        <w:rPr>
          <w:rtl w:val="0"/>
          <w:lang w:val="en-US"/>
        </w:rPr>
        <w:t>ἰ ἔ</w:t>
      </w:r>
      <w:r>
        <w:rPr>
          <w:rtl w:val="0"/>
          <w:lang w:val="en-US"/>
        </w:rPr>
        <w:t>]</w:t>
      </w:r>
      <w:r>
        <w:rPr>
          <w:rtl w:val="0"/>
          <w:lang w:val="en-US"/>
        </w:rPr>
        <w:t>σ̣τ̣ι̣ βα̣σιλικὸς γεωργός</w:t>
      </w:r>
      <w:r>
        <w:rPr>
          <w:rtl w:val="0"/>
          <w:lang w:val="en-US"/>
        </w:rPr>
        <w:t>, [</w:t>
      </w:r>
      <w:r>
        <w:rPr>
          <w:rtl w:val="0"/>
          <w:lang w:val="en-US"/>
        </w:rPr>
        <w:t>π</w:t>
      </w:r>
      <w:r>
        <w:rPr>
          <w:rtl w:val="0"/>
          <w:lang w:val="en-US"/>
        </w:rPr>
        <w:t>]</w:t>
      </w:r>
      <w:r>
        <w:rPr>
          <w:rtl w:val="0"/>
          <w:lang w:val="en-US"/>
        </w:rPr>
        <w:t>ρ̣ονοηθῆναι ὡς ἀπερίσπα̣</w:t>
      </w:r>
      <w:r>
        <w:rPr>
          <w:rtl w:val="0"/>
          <w:lang w:val="en-US"/>
        </w:rPr>
        <w:t>[</w:t>
      </w:r>
      <w:r>
        <w:rPr>
          <w:rtl w:val="0"/>
          <w:lang w:val="en-US"/>
        </w:rPr>
        <w:t>στ</w:t>
      </w:r>
      <w:r>
        <w:rPr>
          <w:rtl w:val="0"/>
          <w:lang w:val="en-US"/>
        </w:rPr>
        <w:t>]</w:t>
      </w:r>
      <w:r>
        <w:rPr>
          <w:rtl w:val="0"/>
          <w:lang w:val="en-US"/>
        </w:rPr>
        <w:t xml:space="preserve">ο̣ς̣ κατασταθήσεται μέχρι ἂν </w:t>
      </w:r>
      <w:r>
        <w:rPr>
          <w:rtl w:val="0"/>
          <w:lang w:val="en-US"/>
        </w:rPr>
        <w:t>[</w:t>
      </w:r>
      <w:r>
        <w:rPr>
          <w:rtl w:val="0"/>
          <w:lang w:val="en-US"/>
        </w:rPr>
        <w:t>ἀπὸ</w:t>
      </w:r>
      <w:r>
        <w:rPr>
          <w:rtl w:val="0"/>
          <w:lang w:val="en-US"/>
        </w:rPr>
        <w:t xml:space="preserve">] </w:t>
      </w:r>
      <w:r>
        <w:rPr>
          <w:rtl w:val="0"/>
          <w:lang w:val="en-US"/>
        </w:rPr>
        <w:t>τ̣οῦ σπόρου γένηται</w:t>
      </w:r>
      <w:r>
        <w:rPr>
          <w:rtl w:val="0"/>
          <w:lang w:val="en-US"/>
        </w:rPr>
        <w:t>. (</w:t>
      </w:r>
      <w:r>
        <w:rPr>
          <w:rtl w:val="0"/>
          <w:lang w:val="en-US"/>
        </w:rPr>
        <w:t>ἔτους</w:t>
      </w:r>
      <w:r>
        <w:rPr>
          <w:rtl w:val="0"/>
          <w:lang w:val="en-US"/>
        </w:rPr>
        <w:t xml:space="preserve">) </w:t>
      </w:r>
      <w:r>
        <w:rPr>
          <w:rtl w:val="0"/>
          <w:lang w:val="en-US"/>
        </w:rPr>
        <w:t>ι Θῶυθ κδ</w:t>
      </w:r>
      <w:r>
        <w:rPr>
          <w:rtl w:val="0"/>
          <w:lang w:val="en-US"/>
        </w:rPr>
        <w:t xml:space="preserve">. </w:t>
      </w:r>
      <w:r>
        <w:rPr>
          <w:rtl w:val="0"/>
          <w:lang w:val="en-US"/>
        </w:rPr>
        <w:t>“</w:t>
      </w:r>
      <w:r>
        <w:rPr>
          <w:rtl w:val="0"/>
          <w:lang w:val="en-US"/>
        </w:rPr>
        <w:t>To Bias: if he is a royal farmer, see to it that he remain unmolested until he is through with the sowing. Year 10. Thoth 24.</w:t>
      </w:r>
      <w:r>
        <w:rPr>
          <w:rtl w:val="0"/>
          <w:lang w:val="en-US"/>
        </w:rPr>
        <w:t xml:space="preserve">” </w:t>
      </w:r>
      <w:r>
        <w:rPr>
          <w:rtl w:val="0"/>
          <w:lang w:val="en-US"/>
        </w:rPr>
        <w:t>The following day (Thoth 25), two officials sent a copy of the petition, preceded by a letter where they explicitly stated that the royal farmer should be left unmolested (</w:t>
      </w:r>
      <w:r>
        <w:rPr>
          <w:rStyle w:val="Link"/>
        </w:rPr>
        <w:fldChar w:fldCharType="begin" w:fldLock="0"/>
      </w:r>
      <w:r>
        <w:rPr>
          <w:rStyle w:val="Link"/>
        </w:rPr>
        <w:instrText xml:space="preserve"> HYPERLINK "https://papyri.info/hgv/3095"</w:instrText>
      </w:r>
      <w:r>
        <w:rPr>
          <w:rStyle w:val="Link"/>
        </w:rPr>
        <w:fldChar w:fldCharType="separate" w:fldLock="0"/>
      </w:r>
      <w:r>
        <w:rPr>
          <w:rStyle w:val="Link"/>
          <w:rtl w:val="0"/>
        </w:rPr>
        <w:t>P.Dion. 12</w:t>
      </w:r>
      <w:r>
        <w:rPr/>
        <w:fldChar w:fldCharType="end" w:fldLock="0"/>
      </w:r>
      <w:r>
        <w:rPr>
          <w:rtl w:val="0"/>
          <w:lang w:val="en-US"/>
        </w:rPr>
        <w:t xml:space="preserve">). In </w:t>
      </w:r>
      <w:r>
        <w:rPr>
          <w:rStyle w:val="Link"/>
        </w:rPr>
        <w:fldChar w:fldCharType="begin" w:fldLock="0"/>
      </w:r>
      <w:r>
        <w:rPr>
          <w:rStyle w:val="Link"/>
        </w:rPr>
        <w:instrText xml:space="preserve"> HYPERLINK "https://papyri.info/hgv/3679"</w:instrText>
      </w:r>
      <w:r>
        <w:rPr>
          <w:rStyle w:val="Link"/>
        </w:rPr>
        <w:fldChar w:fldCharType="separate" w:fldLock="0"/>
      </w:r>
      <w:r>
        <w:rPr>
          <w:rStyle w:val="Link"/>
          <w:rtl w:val="0"/>
        </w:rPr>
        <w:t>P.Tebt. 1 43</w:t>
      </w:r>
      <w:r>
        <w:rPr/>
        <w:fldChar w:fldCharType="end" w:fldLock="0"/>
      </w:r>
      <w:r>
        <w:rPr>
          <w:rtl w:val="0"/>
          <w:lang w:val="en-US"/>
        </w:rPr>
        <w:t xml:space="preserve"> (= M.Chr. 46; 117 BCE, Alexandria), a petitioner requests from the King and Queen protection against molesting (38-42), which is granted in an apostil to the petition (44-45); also </w:t>
      </w:r>
      <w:r>
        <w:rPr>
          <w:rStyle w:val="Link"/>
        </w:rPr>
        <w:fldChar w:fldCharType="begin" w:fldLock="0"/>
      </w:r>
      <w:r>
        <w:rPr>
          <w:rStyle w:val="Link"/>
        </w:rPr>
        <w:instrText xml:space="preserve"> HYPERLINK "https://papyri.info/hgv/697550"</w:instrText>
      </w:r>
      <w:r>
        <w:rPr>
          <w:rStyle w:val="Link"/>
        </w:rPr>
        <w:fldChar w:fldCharType="separate" w:fldLock="0"/>
      </w:r>
      <w:r>
        <w:rPr>
          <w:rStyle w:val="Link"/>
          <w:rtl w:val="0"/>
        </w:rPr>
        <w:t>P.Coles 14</w:t>
      </w:r>
      <w:r>
        <w:rPr/>
        <w:fldChar w:fldCharType="end" w:fldLock="0"/>
      </w:r>
      <w:r>
        <w:rPr>
          <w:rtl w:val="0"/>
          <w:lang w:val="en-US"/>
        </w:rPr>
        <w:t xml:space="preserve"> (13 CE, Aueris [?; Arsinoite nome]).</w:t>
      </w:r>
    </w:p>
  </w:footnote>
  <w:footnote w:id="114">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"https://papyri.info/hgv/4891"</w:instrText>
      </w:r>
      <w:r>
        <w:rPr>
          <w:rStyle w:val="Hyperlink.0"/>
          <w:lang w:val="en-US"/>
        </w:rPr>
        <w:fldChar w:fldCharType="separate" w:fldLock="0"/>
      </w:r>
      <w:r>
        <w:rPr>
          <w:rStyle w:val="Hyperlink.0"/>
          <w:rtl w:val="0"/>
          <w:lang w:val="en-US"/>
        </w:rPr>
        <w:t>BGU 8 1811</w:t>
      </w:r>
      <w:r>
        <w:rPr>
          <w:lang w:val="en-US"/>
        </w:rPr>
        <w:fldChar w:fldCharType="end" w:fldLock="0"/>
      </w:r>
      <w:r>
        <w:rPr>
          <w:rtl w:val="0"/>
          <w:lang w:val="en-US"/>
        </w:rPr>
        <w:t xml:space="preserve"> (47 BCE).</w:t>
      </w:r>
    </w:p>
  </w:footnote>
  <w:footnote w:id="115">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"https://papyri.info/hgv/4012"</w:instrText>
      </w:r>
      <w:r>
        <w:rPr>
          <w:rStyle w:val="Hyperlink.0"/>
          <w:lang w:val="en-US"/>
        </w:rPr>
        <w:fldChar w:fldCharType="separate" w:fldLock="0"/>
      </w:r>
      <w:r>
        <w:rPr>
          <w:rStyle w:val="Hyperlink.0"/>
          <w:rtl w:val="0"/>
          <w:lang w:val="en-US"/>
        </w:rPr>
        <w:t>BGU 14 2401</w:t>
      </w:r>
      <w:r>
        <w:rPr>
          <w:lang w:val="en-US"/>
        </w:rPr>
        <w:fldChar w:fldCharType="end" w:fldLock="0"/>
      </w:r>
      <w:r>
        <w:rPr>
          <w:rtl w:val="0"/>
          <w:lang w:val="en-US"/>
        </w:rPr>
        <w:t>-</w:t>
      </w:r>
      <w:r>
        <w:rPr>
          <w:rStyle w:val="Hyperlink.0"/>
          <w:lang w:val="en-US"/>
        </w:rPr>
        <w:fldChar w:fldCharType="begin" w:fldLock="0"/>
      </w:r>
      <w:r>
        <w:rPr>
          <w:rStyle w:val="Hyperlink.0"/>
          <w:lang w:val="en-US"/>
        </w:rPr>
        <w:instrText xml:space="preserve"> HYPERLINK "https://papyri.info/hgv/4068"</w:instrText>
      </w:r>
      <w:r>
        <w:rPr>
          <w:rStyle w:val="Hyperlink.0"/>
          <w:lang w:val="en-US"/>
        </w:rPr>
        <w:fldChar w:fldCharType="separate" w:fldLock="0"/>
      </w:r>
      <w:r>
        <w:rPr>
          <w:rStyle w:val="Hyperlink.0"/>
          <w:rtl w:val="0"/>
          <w:lang w:val="en-US"/>
        </w:rPr>
        <w:t>2416</w:t>
      </w:r>
      <w:r>
        <w:rPr>
          <w:lang w:val="en-US"/>
        </w:rPr>
        <w:fldChar w:fldCharType="end" w:fldLock="0"/>
      </w:r>
      <w:r>
        <w:rPr>
          <w:rtl w:val="0"/>
          <w:lang w:val="en-US"/>
        </w:rPr>
        <w:t>.</w:t>
      </w:r>
    </w:p>
  </w:footnote>
  <w:footnote w:id="116">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"https://papyri.info/biblio/50460"</w:instrText>
      </w:r>
      <w:r>
        <w:rPr>
          <w:rStyle w:val="Link"/>
        </w:rPr>
        <w:fldChar w:fldCharType="separate" w:fldLock="0"/>
      </w:r>
      <w:r>
        <w:rPr>
          <w:rStyle w:val="Link"/>
          <w:rtl w:val="0"/>
        </w:rPr>
        <w:t>Bagnall and Bogaert 1975</w:t>
      </w:r>
      <w:r>
        <w:rPr/>
        <w:fldChar w:fldCharType="end" w:fldLock="0"/>
      </w:r>
      <w:r>
        <w:rPr>
          <w:rtl w:val="0"/>
          <w:lang w:val="en-US"/>
        </w:rPr>
        <w:t xml:space="preserve"> (= </w:t>
      </w:r>
      <w:r>
        <w:rPr>
          <w:rStyle w:val="Link"/>
        </w:rPr>
        <w:fldChar w:fldCharType="begin" w:fldLock="0"/>
      </w:r>
      <w:r>
        <w:rPr>
          <w:rStyle w:val="Link"/>
        </w:rPr>
        <w:instrText xml:space="preserve"> HYPERLINK "https://papyri.info/hgv/4211"</w:instrText>
      </w:r>
      <w:r>
        <w:rPr>
          <w:rStyle w:val="Link"/>
        </w:rPr>
        <w:fldChar w:fldCharType="separate" w:fldLock="0"/>
      </w:r>
      <w:r>
        <w:rPr>
          <w:rStyle w:val="Link"/>
          <w:rtl w:val="0"/>
        </w:rPr>
        <w:t>SB 14 11309</w:t>
      </w:r>
      <w:r>
        <w:rPr/>
        <w:fldChar w:fldCharType="end" w:fldLock="0"/>
      </w:r>
      <w:r>
        <w:rPr>
          <w:rtl w:val="0"/>
          <w:lang w:val="en-US"/>
        </w:rPr>
        <w:t>-</w:t>
      </w:r>
      <w:r>
        <w:rPr>
          <w:rStyle w:val="Link"/>
        </w:rPr>
        <w:fldChar w:fldCharType="begin" w:fldLock="0"/>
      </w:r>
      <w:r>
        <w:rPr>
          <w:rStyle w:val="Link"/>
        </w:rPr>
        <w:instrText xml:space="preserve"> HYPERLINK "https://papyri.info/hgv/4230"</w:instrText>
      </w:r>
      <w:r>
        <w:rPr>
          <w:rStyle w:val="Link"/>
        </w:rPr>
        <w:fldChar w:fldCharType="separate" w:fldLock="0"/>
      </w:r>
      <w:r>
        <w:rPr>
          <w:rStyle w:val="Link"/>
          <w:rtl w:val="0"/>
        </w:rPr>
        <w:t>11328</w:t>
      </w:r>
      <w:r>
        <w:rPr/>
        <w:fldChar w:fldCharType="end" w:fldLock="0"/>
      </w:r>
      <w:r>
        <w:rPr>
          <w:rtl w:val="0"/>
          <w:lang w:val="en-US"/>
        </w:rPr>
        <w:t> </w:t>
      </w:r>
      <w:r>
        <w:rPr>
          <w:rtl w:val="0"/>
          <w:lang w:val="en-US"/>
        </w:rPr>
        <w:t xml:space="preserve">; four </w:t>
      </w:r>
      <w:r>
        <w:rPr>
          <w:i w:val="1"/>
          <w:iCs w:val="1"/>
          <w:rtl w:val="0"/>
          <w:lang w:val="en-US"/>
        </w:rPr>
        <w:t>descripta</w:t>
      </w:r>
      <w:r>
        <w:rPr>
          <w:rtl w:val="0"/>
          <w:lang w:val="en-US"/>
        </w:rPr>
        <w:t>).</w:t>
      </w:r>
    </w:p>
  </w:footnote>
  <w:footnote w:id="117">
    <w:p>
      <w:pPr>
        <w:pStyle w:val="footnote text"/>
      </w:pPr>
      <w:r>
        <w:rPr>
          <w:vertAlign w:val="superscript"/>
        </w:rPr>
        <w:footnoteRef/>
      </w:r>
      <w:r>
        <w:rPr>
          <w:rtl w:val="0"/>
          <w:lang w:val="en-US"/>
        </w:rPr>
        <w:t xml:space="preserve"> Payment orders from the earlier Ptolemaic period always carry the greeting </w:t>
      </w:r>
      <w:r>
        <w:rPr>
          <w:rtl w:val="0"/>
          <w:lang w:val="en-US"/>
        </w:rPr>
        <w:t>ἔρρωσο</w:t>
      </w:r>
      <w:r>
        <w:rPr>
          <w:rtl w:val="0"/>
          <w:lang w:val="en-US"/>
        </w:rPr>
        <w:t xml:space="preserve">, while in the Roman period there is never a closing formula; </w:t>
      </w:r>
      <w:r>
        <w:rPr>
          <w:rStyle w:val="Link"/>
        </w:rPr>
        <w:fldChar w:fldCharType="begin" w:fldLock="0"/>
      </w:r>
      <w:r>
        <w:rPr>
          <w:rStyle w:val="Link"/>
        </w:rPr>
        <w:instrText xml:space="preserve"> HYPERLINK "https://papyri.info/biblio/50460"</w:instrText>
      </w:r>
      <w:r>
        <w:rPr>
          <w:rStyle w:val="Link"/>
        </w:rPr>
        <w:fldChar w:fldCharType="separate" w:fldLock="0"/>
      </w:r>
      <w:r>
        <w:rPr>
          <w:rStyle w:val="Link"/>
          <w:rtl w:val="0"/>
        </w:rPr>
        <w:t>Bagnall and Bogaert 1975</w:t>
      </w:r>
      <w:r>
        <w:rPr/>
        <w:fldChar w:fldCharType="end" w:fldLock="0"/>
      </w:r>
      <w:r>
        <w:rPr>
          <w:rtl w:val="0"/>
          <w:lang w:val="en-US"/>
        </w:rPr>
        <w:t xml:space="preserve">: 99. </w:t>
      </w:r>
    </w:p>
  </w:footnote>
  <w:footnote w:id="118">
    <w:p>
      <w:pPr>
        <w:pStyle w:val="footnote text"/>
      </w:pPr>
      <w:r>
        <w:rPr>
          <w:vertAlign w:val="superscript"/>
          <w:lang w:val="en-US"/>
        </w:rPr>
        <w:footnoteRef/>
      </w:r>
      <w:r>
        <w:rPr>
          <w:rtl w:val="0"/>
          <w:lang w:val="en-US"/>
        </w:rPr>
        <w:t xml:space="preserve"> 1: </w:t>
      </w:r>
      <w:r>
        <w:rPr>
          <w:rtl w:val="0"/>
          <w:lang w:val="en-US"/>
        </w:rPr>
        <w:t>Φατρῆς ὁ προγεγραμμένος</w:t>
      </w:r>
      <w:r>
        <w:rPr>
          <w:rtl w:val="0"/>
          <w:lang w:val="en-US"/>
        </w:rPr>
        <w:t xml:space="preserve">; 3-4: </w:t>
      </w:r>
      <w:r>
        <w:rPr>
          <w:rtl w:val="0"/>
          <w:lang w:val="en-US"/>
        </w:rPr>
        <w:t>τὴν προκειμέ̣νην ἀναφοράν</w:t>
      </w:r>
      <w:r>
        <w:rPr>
          <w:rtl w:val="0"/>
          <w:lang w:val="en-US"/>
        </w:rPr>
        <w:t xml:space="preserve">. </w:t>
      </w:r>
      <w:r>
        <w:rPr>
          <w:rtl w:val="0"/>
          <w:lang w:val="en-US"/>
        </w:rPr>
        <w:t xml:space="preserve">The editors suggest the possibility that this document was originally submitted together with another one that contained the data mentioned in </w:t>
      </w:r>
      <w:r>
        <w:rPr>
          <w:rStyle w:val="Hyperlink.0"/>
          <w:lang w:val="en-US"/>
        </w:rPr>
        <w:fldChar w:fldCharType="begin" w:fldLock="0"/>
      </w:r>
      <w:r>
        <w:rPr>
          <w:rStyle w:val="Hyperlink.0"/>
          <w:lang w:val="en-US"/>
        </w:rPr>
        <w:instrText xml:space="preserve"> HYPERLINK "https://papyri.info/hgv/15484"</w:instrText>
      </w:r>
      <w:r>
        <w:rPr>
          <w:rStyle w:val="Hyperlink.0"/>
          <w:lang w:val="en-US"/>
        </w:rPr>
        <w:fldChar w:fldCharType="separate" w:fldLock="0"/>
      </w:r>
      <w:r>
        <w:rPr>
          <w:rStyle w:val="Hyperlink.0"/>
          <w:rtl w:val="0"/>
          <w:lang w:val="en-US"/>
        </w:rPr>
        <w:t>P.Amst. 1 28</w:t>
      </w:r>
      <w:r>
        <w:rPr/>
        <w:fldChar w:fldCharType="end" w:fldLock="0"/>
      </w:r>
      <w:r>
        <w:rPr>
          <w:rtl w:val="0"/>
          <w:lang w:val="en-US"/>
        </w:rPr>
        <w:t>.</w:t>
      </w:r>
    </w:p>
  </w:footnote>
  <w:footnote w:id="119">
    <w:p>
      <w:pPr>
        <w:pStyle w:val="footnote text"/>
      </w:pPr>
      <w:r>
        <w:rPr>
          <w:vertAlign w:val="superscript"/>
        </w:rPr>
        <w:footnoteRef/>
      </w:r>
      <w:r>
        <w:rPr>
          <w:rtl w:val="0"/>
          <w:lang w:val="en-US"/>
        </w:rPr>
        <w:t xml:space="preserve"> </w:t>
      </w:r>
      <w:r>
        <w:rPr>
          <w:rtl w:val="0"/>
          <w:lang w:val="en-US"/>
        </w:rPr>
        <w:t xml:space="preserve">The content of the document is interpreted by </w:t>
      </w:r>
      <w:r>
        <w:rPr>
          <w:rStyle w:val="Link"/>
        </w:rPr>
        <w:fldChar w:fldCharType="begin" w:fldLock="0"/>
      </w:r>
      <w:r>
        <w:rPr>
          <w:rStyle w:val="Link"/>
        </w:rPr>
        <w:instrText xml:space="preserve"> HYPERLINK "https://papyri.info/biblio/97505"</w:instrText>
      </w:r>
      <w:r>
        <w:rPr>
          <w:rStyle w:val="Link"/>
        </w:rPr>
        <w:fldChar w:fldCharType="separate" w:fldLock="0"/>
      </w:r>
      <w:r>
        <w:rPr>
          <w:rStyle w:val="Link"/>
          <w:rtl w:val="0"/>
          <w:lang w:val="de-DE"/>
        </w:rPr>
        <w:t>Schram 2023</w:t>
      </w:r>
      <w:r>
        <w:rPr/>
        <w:fldChar w:fldCharType="end" w:fldLock="0"/>
      </w:r>
      <w:r>
        <w:rPr>
          <w:rtl w:val="0"/>
          <w:lang w:val="en-US"/>
        </w:rPr>
        <w:t>: 342-343. The approximate dating rests on a titulature of Augustus in the oath.</w:t>
      </w:r>
    </w:p>
  </w:footnote>
  <w:footnote w:id="12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"http://www.trismegistos.org/archive/151"</w:instrText>
      </w:r>
      <w:r>
        <w:rPr>
          <w:rStyle w:val="Link"/>
        </w:rPr>
        <w:fldChar w:fldCharType="separate" w:fldLock="0"/>
      </w:r>
      <w:r>
        <w:rPr>
          <w:rStyle w:val="Link"/>
          <w:rtl w:val="0"/>
        </w:rPr>
        <w:t>TM Archive 151</w:t>
      </w:r>
      <w:r>
        <w:rPr/>
        <w:fldChar w:fldCharType="end" w:fldLock="0"/>
      </w:r>
      <w:r>
        <w:rPr>
          <w:rtl w:val="0"/>
          <w:lang w:val="en-US"/>
        </w:rPr>
        <w:t>.</w:t>
      </w:r>
    </w:p>
  </w:footnote>
  <w:footnote w:id="121">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"https://papyri.info/hgv/9899"</w:instrText>
      </w:r>
      <w:r>
        <w:rPr>
          <w:rStyle w:val="Hyperlink.0"/>
          <w:lang w:val="en-US"/>
        </w:rPr>
        <w:fldChar w:fldCharType="separate" w:fldLock="0"/>
      </w:r>
      <w:r>
        <w:rPr>
          <w:rStyle w:val="Hyperlink.0"/>
          <w:rtl w:val="0"/>
          <w:lang w:val="en-US"/>
        </w:rPr>
        <w:t>CPR 15 1</w:t>
      </w:r>
      <w:r>
        <w:rPr>
          <w:lang w:val="en-US"/>
        </w:rPr>
        <w:fldChar w:fldCharType="end" w:fldLock="0"/>
      </w:r>
      <w:r>
        <w:rPr>
          <w:rtl w:val="0"/>
          <w:lang w:val="en-US"/>
        </w:rPr>
        <w:t>-</w:t>
      </w:r>
      <w:r>
        <w:rPr>
          <w:rStyle w:val="Hyperlink.0"/>
          <w:lang w:val="en-US"/>
        </w:rPr>
        <w:fldChar w:fldCharType="begin" w:fldLock="0"/>
      </w:r>
      <w:r>
        <w:rPr>
          <w:rStyle w:val="Hyperlink.0"/>
          <w:lang w:val="en-US"/>
        </w:rPr>
        <w:instrText xml:space="preserve"> HYPERLINK "https://papyri.info/hgv/9912"</w:instrText>
      </w:r>
      <w:r>
        <w:rPr>
          <w:rStyle w:val="Hyperlink.0"/>
          <w:lang w:val="en-US"/>
        </w:rPr>
        <w:fldChar w:fldCharType="separate" w:fldLock="0"/>
      </w:r>
      <w:r>
        <w:rPr>
          <w:rStyle w:val="Hyperlink.0"/>
          <w:rtl w:val="0"/>
          <w:lang w:val="en-US"/>
        </w:rPr>
        <w:t>4</w:t>
      </w:r>
      <w:r>
        <w:rPr>
          <w:lang w:val="en-US"/>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"https://papyri.info/hgv/13979"</w:instrText>
      </w:r>
      <w:r>
        <w:rPr>
          <w:rStyle w:val="Hyperlink.0"/>
          <w:lang w:val="en-US"/>
        </w:rPr>
        <w:fldChar w:fldCharType="separate" w:fldLock="0"/>
      </w:r>
      <w:r>
        <w:rPr>
          <w:rStyle w:val="Hyperlink.0"/>
          <w:rtl w:val="0"/>
          <w:lang w:val="en-US"/>
        </w:rPr>
        <w:t>SB 1 5231</w:t>
      </w:r>
      <w:r>
        <w:rPr>
          <w:lang w:val="en-US"/>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"https://papyri.info/hgv/13990"</w:instrText>
      </w:r>
      <w:r>
        <w:rPr>
          <w:rStyle w:val="Hyperlink.0"/>
          <w:lang w:val="en-US"/>
        </w:rPr>
        <w:fldChar w:fldCharType="separate" w:fldLock="0"/>
      </w:r>
      <w:r>
        <w:rPr>
          <w:rStyle w:val="Hyperlink.0"/>
          <w:rtl w:val="0"/>
          <w:lang w:val="en-US"/>
        </w:rPr>
        <w:t>5247</w:t>
      </w:r>
      <w:r>
        <w:rPr>
          <w:lang w:val="en-US"/>
        </w:rPr>
        <w:fldChar w:fldCharType="end" w:fldLock="0"/>
      </w:r>
      <w:r>
        <w:rPr>
          <w:rtl w:val="0"/>
          <w:lang w:val="en-US"/>
        </w:rPr>
        <w:t xml:space="preserve">, </w:t>
      </w:r>
      <w:r>
        <w:rPr>
          <w:rStyle w:val="Hyperlink.0"/>
          <w:lang w:val="en-US"/>
        </w:rPr>
        <w:fldChar w:fldCharType="begin" w:fldLock="0"/>
      </w:r>
      <w:r>
        <w:rPr>
          <w:rStyle w:val="Hyperlink.0"/>
          <w:lang w:val="en-US"/>
        </w:rPr>
        <w:instrText xml:space="preserve"> HYPERLINK "https://papyri.info/hgv/13994"</w:instrText>
      </w:r>
      <w:r>
        <w:rPr>
          <w:rStyle w:val="Hyperlink.0"/>
          <w:lang w:val="en-US"/>
        </w:rPr>
        <w:fldChar w:fldCharType="separate" w:fldLock="0"/>
      </w:r>
      <w:r>
        <w:rPr>
          <w:rStyle w:val="Hyperlink.0"/>
          <w:rtl w:val="0"/>
          <w:lang w:val="en-US"/>
        </w:rPr>
        <w:t>5275</w:t>
      </w:r>
      <w:r>
        <w:rPr>
          <w:lang w:val="en-US"/>
        </w:rPr>
        <w:fldChar w:fldCharType="end" w:fldLock="0"/>
      </w:r>
      <w:r>
        <w:rPr>
          <w:rtl w:val="0"/>
          <w:lang w:val="en-US"/>
        </w:rPr>
        <w:t xml:space="preserve">; P.Vindob. inv. G 31933 (= </w:t>
      </w:r>
      <w:r>
        <w:rPr>
          <w:rStyle w:val="Hyperlink.0"/>
          <w:lang w:val="en-US"/>
        </w:rPr>
        <w:fldChar w:fldCharType="begin" w:fldLock="0"/>
      </w:r>
      <w:r>
        <w:rPr>
          <w:rStyle w:val="Hyperlink.0"/>
          <w:lang w:val="en-US"/>
        </w:rPr>
        <w:instrText xml:space="preserve"> HYPERLINK "https://papyri.info/biblio/75095"</w:instrText>
      </w:r>
      <w:r>
        <w:rPr>
          <w:rStyle w:val="Hyperlink.0"/>
          <w:lang w:val="en-US"/>
        </w:rPr>
        <w:fldChar w:fldCharType="separate" w:fldLock="0"/>
      </w:r>
      <w:r>
        <w:rPr>
          <w:rStyle w:val="Hyperlink.0"/>
          <w:rtl w:val="0"/>
          <w:lang w:val="en-US"/>
        </w:rPr>
        <w:t>Hoogendijk 2006</w:t>
      </w:r>
      <w:r>
        <w:rPr>
          <w:lang w:val="en-US"/>
        </w:rPr>
        <w:fldChar w:fldCharType="end" w:fldLock="0"/>
      </w:r>
      <w:r>
        <w:rPr>
          <w:rtl w:val="0"/>
          <w:lang w:val="en-US"/>
        </w:rPr>
        <w:t>).</w:t>
      </w:r>
    </w:p>
  </w:footnote>
  <w:footnote w:id="122">
    <w:p>
      <w:pPr>
        <w:pStyle w:val="footnote text"/>
      </w:pPr>
      <w:r>
        <w:rPr>
          <w:vertAlign w:val="superscript"/>
        </w:rPr>
        <w:footnoteRef/>
      </w:r>
      <w:r>
        <w:rPr>
          <w:rtl w:val="0"/>
          <w:lang w:val="en-US"/>
        </w:rPr>
        <w:t xml:space="preserve"> Translation: e.g. </w:t>
      </w:r>
      <w:r>
        <w:rPr>
          <w:rStyle w:val="Hyperlink.0"/>
          <w:lang w:val="en-US"/>
        </w:rPr>
        <w:fldChar w:fldCharType="begin" w:fldLock="0"/>
      </w:r>
      <w:r>
        <w:rPr>
          <w:rStyle w:val="Hyperlink.0"/>
          <w:lang w:val="en-US"/>
        </w:rPr>
        <w:instrText xml:space="preserve"> HYPERLINK "https://papyri.info/hgv/13979"</w:instrText>
      </w:r>
      <w:r>
        <w:rPr>
          <w:rStyle w:val="Hyperlink.0"/>
          <w:lang w:val="en-US"/>
        </w:rPr>
        <w:fldChar w:fldCharType="separate" w:fldLock="0"/>
      </w:r>
      <w:r>
        <w:rPr>
          <w:rStyle w:val="Hyperlink.0"/>
          <w:rtl w:val="0"/>
          <w:lang w:val="en-US"/>
        </w:rPr>
        <w:t>SB 1 5231</w:t>
      </w:r>
      <w:r>
        <w:rPr/>
        <w:fldChar w:fldCharType="end" w:fldLock="0"/>
      </w:r>
      <w:r>
        <w:rPr>
          <w:rtl w:val="0"/>
          <w:lang w:val="en-US"/>
        </w:rPr>
        <w:t>.1 (11 CE, Psinachis [Arsinoite nome]): [</w:t>
      </w:r>
      <w:r>
        <w:rPr>
          <w:rtl w:val="0"/>
          <w:lang w:val="fr-FR"/>
        </w:rPr>
        <w:t>ἀν</w:t>
      </w:r>
      <w:r>
        <w:rPr>
          <w:rtl w:val="0"/>
          <w:lang w:val="en-US"/>
        </w:rPr>
        <w:t>]</w:t>
      </w:r>
      <w:r>
        <w:rPr>
          <w:rtl w:val="0"/>
          <w:lang w:val="fr-FR"/>
        </w:rPr>
        <w:t>τί</w:t>
      </w:r>
      <w:r>
        <w:rPr>
          <w:rtl w:val="0"/>
          <w:lang w:val="en-US"/>
        </w:rPr>
        <w:t>[</w:t>
      </w:r>
      <w:r>
        <w:rPr>
          <w:rtl w:val="0"/>
          <w:lang w:val="fr-FR"/>
        </w:rPr>
        <w:t>γ</w:t>
      </w:r>
      <w:r>
        <w:rPr>
          <w:rtl w:val="0"/>
          <w:lang w:val="en-US"/>
        </w:rPr>
        <w:t>]</w:t>
      </w:r>
      <w:r>
        <w:rPr>
          <w:rtl w:val="0"/>
          <w:lang w:val="fr-FR"/>
        </w:rPr>
        <w:t>ρ</w:t>
      </w:r>
      <w:r>
        <w:rPr>
          <w:rtl w:val="0"/>
          <w:lang w:val="en-US"/>
        </w:rPr>
        <w:t>[</w:t>
      </w:r>
      <w:r>
        <w:rPr>
          <w:rtl w:val="0"/>
          <w:lang w:val="fr-FR"/>
        </w:rPr>
        <w:t>αφ</w:t>
      </w:r>
      <w:r>
        <w:rPr>
          <w:rtl w:val="0"/>
          <w:lang w:val="en-US"/>
        </w:rPr>
        <w:t>]</w:t>
      </w:r>
      <w:r>
        <w:rPr>
          <w:rtl w:val="0"/>
          <w:lang w:val="fr-FR"/>
        </w:rPr>
        <w:t>ον</w:t>
      </w:r>
      <w:r>
        <w:rPr>
          <w:rtl w:val="0"/>
          <w:lang w:val="en-US"/>
        </w:rPr>
        <w:t xml:space="preserve"> </w:t>
      </w:r>
      <w:r>
        <w:rPr>
          <w:rtl w:val="0"/>
          <w:lang w:val="fr-FR"/>
        </w:rPr>
        <w:t>Αἰγυπτίας</w:t>
      </w:r>
      <w:r>
        <w:rPr>
          <w:rtl w:val="0"/>
          <w:lang w:val="en-US"/>
        </w:rPr>
        <w:t xml:space="preserve"> </w:t>
      </w:r>
      <w:r>
        <w:rPr>
          <w:rtl w:val="0"/>
          <w:lang w:val="fr-FR"/>
        </w:rPr>
        <w:t>π</w:t>
      </w:r>
      <w:r>
        <w:rPr>
          <w:rtl w:val="0"/>
          <w:lang w:val="en-US"/>
        </w:rPr>
        <w:t>[</w:t>
      </w:r>
      <w:r>
        <w:rPr>
          <w:rtl w:val="0"/>
          <w:lang w:val="fr-FR"/>
        </w:rPr>
        <w:t>ρά</w:t>
      </w:r>
      <w:r>
        <w:rPr>
          <w:rtl w:val="0"/>
          <w:lang w:val="en-US"/>
        </w:rPr>
        <w:t>]</w:t>
      </w:r>
      <w:r>
        <w:rPr>
          <w:rtl w:val="0"/>
          <w:lang w:val="fr-FR"/>
        </w:rPr>
        <w:t>σ</w:t>
      </w:r>
      <w:r>
        <w:rPr>
          <w:rtl w:val="0"/>
          <w:lang w:val="en-US"/>
        </w:rPr>
        <w:t>̣</w:t>
      </w:r>
      <w:r>
        <w:rPr>
          <w:rtl w:val="0"/>
          <w:lang w:val="fr-FR"/>
        </w:rPr>
        <w:t>ε</w:t>
      </w:r>
      <w:r>
        <w:rPr>
          <w:rtl w:val="0"/>
          <w:lang w:val="en-US"/>
        </w:rPr>
        <w:t>̣</w:t>
      </w:r>
      <w:r>
        <w:rPr>
          <w:rtl w:val="0"/>
          <w:lang w:val="fr-FR"/>
        </w:rPr>
        <w:t>ως</w:t>
      </w:r>
      <w:r>
        <w:rPr>
          <w:rtl w:val="0"/>
          <w:lang w:val="en-US"/>
        </w:rPr>
        <w:t xml:space="preserve"> </w:t>
      </w:r>
      <w:r>
        <w:rPr>
          <w:rtl w:val="0"/>
          <w:lang w:val="fr-FR"/>
        </w:rPr>
        <w:t>Ἑ</w:t>
      </w:r>
      <w:r>
        <w:rPr>
          <w:rtl w:val="0"/>
          <w:lang w:val="en-US"/>
        </w:rPr>
        <w:t>[</w:t>
      </w:r>
      <w:r>
        <w:rPr>
          <w:rtl w:val="0"/>
          <w:lang w:val="fr-FR"/>
        </w:rPr>
        <w:t>λ</w:t>
      </w:r>
      <w:r>
        <w:rPr>
          <w:rtl w:val="0"/>
          <w:lang w:val="en-US"/>
        </w:rPr>
        <w:t>]</w:t>
      </w:r>
      <w:r>
        <w:rPr>
          <w:rtl w:val="0"/>
          <w:lang w:val="fr-FR"/>
        </w:rPr>
        <w:t>ληνιστὶ</w:t>
      </w:r>
      <w:r>
        <w:rPr>
          <w:rtl w:val="0"/>
          <w:lang w:val="en-US"/>
        </w:rPr>
        <w:t xml:space="preserve"> </w:t>
      </w:r>
      <w:r>
        <w:rPr>
          <w:rtl w:val="0"/>
          <w:lang w:val="fr-FR"/>
        </w:rPr>
        <w:t>με</w:t>
      </w:r>
      <w:r>
        <w:rPr>
          <w:rtl w:val="0"/>
          <w:lang w:val="en-US"/>
        </w:rPr>
        <w:t>̣</w:t>
      </w:r>
      <w:r>
        <w:rPr>
          <w:rtl w:val="0"/>
          <w:lang w:val="fr-FR"/>
        </w:rPr>
        <w:t>θ</w:t>
      </w:r>
      <w:r>
        <w:rPr>
          <w:rtl w:val="0"/>
          <w:lang w:val="en-US"/>
        </w:rPr>
        <w:t>̣</w:t>
      </w:r>
      <w:r>
        <w:rPr>
          <w:rtl w:val="0"/>
          <w:lang w:val="fr-FR"/>
        </w:rPr>
        <w:t>ηρμηνε</w:t>
      </w:r>
      <w:r>
        <w:rPr>
          <w:rtl w:val="0"/>
          <w:lang w:val="en-US"/>
        </w:rPr>
        <w:t>[</w:t>
      </w:r>
      <w:r>
        <w:rPr>
          <w:rtl w:val="0"/>
          <w:lang w:val="fr-FR"/>
        </w:rPr>
        <w:t>υ</w:t>
      </w:r>
      <w:r>
        <w:rPr>
          <w:rtl w:val="0"/>
          <w:lang w:val="en-US"/>
        </w:rPr>
        <w:t>]</w:t>
      </w:r>
      <w:r>
        <w:rPr>
          <w:rtl w:val="0"/>
          <w:lang w:val="fr-FR"/>
        </w:rPr>
        <w:t>μένης</w:t>
      </w:r>
      <w:r>
        <w:rPr>
          <w:rtl w:val="0"/>
          <w:lang w:val="en-US"/>
        </w:rPr>
        <w:t xml:space="preserve"> [</w:t>
      </w:r>
      <w:r>
        <w:rPr>
          <w:rtl w:val="0"/>
          <w:lang w:val="fr-FR"/>
        </w:rPr>
        <w:t>κα</w:t>
      </w:r>
      <w:r>
        <w:rPr>
          <w:rtl w:val="0"/>
          <w:lang w:val="en-US"/>
        </w:rPr>
        <w:t>]</w:t>
      </w:r>
      <w:r>
        <w:rPr>
          <w:rtl w:val="0"/>
          <w:lang w:val="fr-FR"/>
        </w:rPr>
        <w:t>τὰ</w:t>
      </w:r>
      <w:r>
        <w:rPr>
          <w:rtl w:val="0"/>
          <w:lang w:val="en-US"/>
        </w:rPr>
        <w:t xml:space="preserve"> [</w:t>
      </w:r>
      <w:r>
        <w:rPr>
          <w:rtl w:val="0"/>
          <w:lang w:val="fr-FR"/>
        </w:rPr>
        <w:t>τὸ</w:t>
      </w:r>
      <w:r>
        <w:rPr>
          <w:rtl w:val="0"/>
          <w:lang w:val="en-US"/>
        </w:rPr>
        <w:t xml:space="preserve"> </w:t>
      </w:r>
      <w:r>
        <w:rPr>
          <w:rtl w:val="0"/>
          <w:lang w:val="fr-FR"/>
        </w:rPr>
        <w:t>δ</w:t>
      </w:r>
      <w:r>
        <w:rPr>
          <w:rtl w:val="0"/>
          <w:lang w:val="en-US"/>
        </w:rPr>
        <w:t>]</w:t>
      </w:r>
      <w:r>
        <w:rPr>
          <w:rtl w:val="0"/>
          <w:lang w:val="fr-FR"/>
        </w:rPr>
        <w:t>υνατόν</w:t>
      </w:r>
      <w:r>
        <w:rPr>
          <w:rtl w:val="0"/>
          <w:lang w:val="en-US"/>
        </w:rPr>
        <w:t xml:space="preserve"> “</w:t>
      </w:r>
      <w:r>
        <w:rPr>
          <w:rtl w:val="0"/>
          <w:lang w:val="en-US"/>
        </w:rPr>
        <w:t>copy of an Egyptian contract translated into Greek as much as possible</w:t>
      </w:r>
      <w:r>
        <w:rPr>
          <w:rtl w:val="0"/>
          <w:lang w:val="en-US"/>
        </w:rPr>
        <w:t>”</w:t>
      </w:r>
      <w:r>
        <w:rPr>
          <w:rtl w:val="0"/>
          <w:lang w:val="en-US"/>
        </w:rPr>
        <w:t xml:space="preserve">. Demotic Egyptian alongside Greek in </w:t>
      </w:r>
      <w:r>
        <w:rPr>
          <w:rStyle w:val="Hyperlink.0"/>
          <w:lang w:val="en-US"/>
        </w:rPr>
        <w:fldChar w:fldCharType="begin" w:fldLock="0"/>
      </w:r>
      <w:r>
        <w:rPr>
          <w:rStyle w:val="Hyperlink.0"/>
          <w:lang w:val="en-US"/>
        </w:rPr>
        <w:instrText xml:space="preserve"> HYPERLINK "https://papyri.info/hgv/44702"</w:instrText>
      </w:r>
      <w:r>
        <w:rPr>
          <w:rStyle w:val="Hyperlink.0"/>
          <w:lang w:val="en-US"/>
        </w:rPr>
        <w:fldChar w:fldCharType="separate" w:fldLock="0"/>
      </w:r>
      <w:r>
        <w:rPr>
          <w:rStyle w:val="Hyperlink.0"/>
          <w:rtl w:val="0"/>
          <w:lang w:val="en-US"/>
        </w:rPr>
        <w:t>P.Dime 3 5</w:t>
      </w:r>
      <w:r>
        <w:rPr/>
        <w:fldChar w:fldCharType="end" w:fldLock="0"/>
      </w:r>
      <w:r>
        <w:rPr>
          <w:rtl w:val="0"/>
          <w:lang w:val="en-US"/>
        </w:rPr>
        <w:t xml:space="preserve"> (= P.Lond. 2.262 [p. 176] = M.</w:t>
      </w:r>
      <w:r>
        <w:rPr>
          <w:i w:val="1"/>
          <w:iCs w:val="1"/>
          <w:rtl w:val="0"/>
          <w:lang w:val="en-US"/>
        </w:rPr>
        <w:t>Chr.</w:t>
      </w:r>
      <w:r>
        <w:rPr>
          <w:rtl w:val="0"/>
          <w:lang w:val="en-US"/>
        </w:rPr>
        <w:t xml:space="preserve"> 181; 11 CE, Soknopaiou Nesos), plate available in </w:t>
      </w:r>
      <w:r>
        <w:rPr>
          <w:rStyle w:val="Link"/>
        </w:rPr>
        <w:fldChar w:fldCharType="begin" w:fldLock="0"/>
      </w:r>
      <w:r>
        <w:rPr>
          <w:rStyle w:val="Link"/>
        </w:rPr>
        <w:instrText xml:space="preserve"> HYPERLINK "https://papyri.info/biblio/97502"</w:instrText>
      </w:r>
      <w:r>
        <w:rPr>
          <w:rStyle w:val="Link"/>
        </w:rPr>
        <w:fldChar w:fldCharType="separate" w:fldLock="0"/>
      </w:r>
      <w:r>
        <w:rPr>
          <w:rStyle w:val="Link"/>
          <w:rtl w:val="0"/>
          <w:lang w:val="en-US"/>
        </w:rPr>
        <w:t>Wessely 1900</w:t>
      </w:r>
      <w:r>
        <w:rPr/>
        <w:fldChar w:fldCharType="end" w:fldLock="0"/>
      </w:r>
      <w:r>
        <w:rPr>
          <w:rtl w:val="0"/>
          <w:lang w:val="en-US"/>
        </w:rPr>
        <w:t>: Tab. 1a and 1b.</w:t>
      </w:r>
    </w:p>
  </w:footnote>
  <w:footnote w:id="123">
    <w:p>
      <w:pPr>
        <w:pStyle w:val="footnote text"/>
      </w:pPr>
      <w:r>
        <w:rPr>
          <w:vertAlign w:val="superscript"/>
          <w:lang w:val="en-US"/>
        </w:rPr>
        <w:footnoteRef/>
      </w:r>
      <w:r>
        <w:rPr>
          <w:rtl w:val="0"/>
          <w:lang w:val="en-US"/>
        </w:rPr>
        <w:t xml:space="preserve"> </w:t>
      </w:r>
      <w:r>
        <w:rPr>
          <w:rtl w:val="0"/>
          <w:lang w:val="en-US"/>
        </w:rPr>
        <w:t xml:space="preserve">The dimensions of </w:t>
      </w:r>
      <w:r>
        <w:rPr>
          <w:rtl w:val="0"/>
          <w:lang w:val="en-US"/>
        </w:rPr>
        <w:t xml:space="preserve">P.Vindob. inv. G 31933 (50 CE) are comparable. </w:t>
      </w:r>
      <w:r>
        <w:rPr>
          <w:rStyle w:val="Hyperlink.0"/>
          <w:lang w:val="en-US"/>
        </w:rPr>
        <w:fldChar w:fldCharType="begin" w:fldLock="0"/>
      </w:r>
      <w:r>
        <w:rPr>
          <w:rStyle w:val="Hyperlink.0"/>
          <w:lang w:val="en-US"/>
        </w:rPr>
        <w:instrText xml:space="preserve"> HYPERLINK "https://papyri.info/biblio/75095"</w:instrText>
      </w:r>
      <w:r>
        <w:rPr>
          <w:rStyle w:val="Hyperlink.0"/>
          <w:lang w:val="en-US"/>
        </w:rPr>
        <w:fldChar w:fldCharType="separate" w:fldLock="0"/>
      </w:r>
      <w:r>
        <w:rPr>
          <w:rStyle w:val="Hyperlink.0"/>
          <w:rtl w:val="0"/>
          <w:lang w:val="en-US"/>
        </w:rPr>
        <w:t>Hoogendijk 2006</w:t>
      </w:r>
      <w:r>
        <w:rPr/>
        <w:fldChar w:fldCharType="end" w:fldLock="0"/>
      </w:r>
      <w:r>
        <w:rPr>
          <w:rtl w:val="0"/>
          <w:lang w:val="en-US"/>
        </w:rPr>
        <w:t>: 207: H 25.2 cm x W 54.7 cm.</w:t>
      </w:r>
    </w:p>
  </w:footnote>
  <w:footnote w:id="124">
    <w:p>
      <w:pPr>
        <w:pStyle w:val="footnote text"/>
      </w:pPr>
      <w:r>
        <w:rPr>
          <w:vertAlign w:val="superscript"/>
          <w:lang w:val="en-US"/>
        </w:rPr>
        <w:footnoteRef/>
      </w:r>
      <w:r>
        <w:rPr>
          <w:rtl w:val="0"/>
          <w:lang w:val="en-US"/>
        </w:rPr>
        <w:t xml:space="preserve"> E.g. </w:t>
      </w:r>
      <w:r>
        <w:rPr>
          <w:rStyle w:val="Hyperlink.0"/>
          <w:lang w:val="en-US"/>
        </w:rPr>
        <w:fldChar w:fldCharType="begin" w:fldLock="0"/>
      </w:r>
      <w:r>
        <w:rPr>
          <w:rStyle w:val="Hyperlink.0"/>
          <w:lang w:val="en-US"/>
        </w:rPr>
        <w:instrText xml:space="preserve"> HYPERLINK "https://papyri.info/hgv/242"</w:instrText>
      </w:r>
      <w:r>
        <w:rPr>
          <w:rStyle w:val="Hyperlink.0"/>
          <w:lang w:val="en-US"/>
        </w:rPr>
        <w:fldChar w:fldCharType="separate" w:fldLock="0"/>
      </w:r>
      <w:r>
        <w:rPr>
          <w:rStyle w:val="Hyperlink.0"/>
          <w:rtl w:val="0"/>
          <w:lang w:val="en-US"/>
        </w:rPr>
        <w:t>BGU 3 997</w:t>
      </w:r>
      <w:r>
        <w:rPr>
          <w:lang w:val="en-US"/>
        </w:rPr>
        <w:fldChar w:fldCharType="end" w:fldLock="0"/>
      </w:r>
      <w:r>
        <w:rPr>
          <w:rtl w:val="0"/>
          <w:lang w:val="en-US"/>
        </w:rPr>
        <w:t xml:space="preserve"> (103 BCE; H 16 cm x W 37.5 cm); </w:t>
      </w:r>
      <w:r>
        <w:rPr>
          <w:rStyle w:val="Hyperlink.0"/>
          <w:lang w:val="en-US"/>
        </w:rPr>
        <w:fldChar w:fldCharType="begin" w:fldLock="0"/>
      </w:r>
      <w:r>
        <w:rPr>
          <w:rStyle w:val="Hyperlink.0"/>
          <w:lang w:val="en-US"/>
        </w:rPr>
        <w:instrText xml:space="preserve"> HYPERLINK "https://papyri.info/hgv/79"</w:instrText>
      </w:r>
      <w:r>
        <w:rPr>
          <w:rStyle w:val="Hyperlink.0"/>
          <w:lang w:val="en-US"/>
        </w:rPr>
        <w:fldChar w:fldCharType="separate" w:fldLock="0"/>
      </w:r>
      <w:r>
        <w:rPr>
          <w:rStyle w:val="Hyperlink.0"/>
          <w:rtl w:val="0"/>
          <w:lang w:val="en-US"/>
        </w:rPr>
        <w:t>P.K</w:t>
      </w:r>
      <w:r>
        <w:rPr>
          <w:rStyle w:val="Hyperlink.0"/>
          <w:rtl w:val="0"/>
          <w:lang w:val="en-US"/>
        </w:rPr>
        <w:t>ö</w:t>
      </w:r>
      <w:r>
        <w:rPr>
          <w:rStyle w:val="Hyperlink.0"/>
          <w:rtl w:val="0"/>
          <w:lang w:val="en-US"/>
        </w:rPr>
        <w:t>ln 1 51</w:t>
      </w:r>
      <w:r>
        <w:rPr>
          <w:lang w:val="en-US"/>
        </w:rPr>
        <w:fldChar w:fldCharType="end" w:fldLock="0"/>
      </w:r>
      <w:r>
        <w:rPr>
          <w:rtl w:val="0"/>
          <w:lang w:val="en-US"/>
        </w:rPr>
        <w:t xml:space="preserve"> (99 BCE; H 15 cm x W 41 cm); </w:t>
      </w:r>
      <w:r>
        <w:rPr>
          <w:rStyle w:val="Hyperlink.0"/>
          <w:lang w:val="en-US"/>
        </w:rPr>
        <w:fldChar w:fldCharType="begin" w:fldLock="0"/>
      </w:r>
      <w:r>
        <w:rPr>
          <w:rStyle w:val="Hyperlink.0"/>
          <w:lang w:val="en-US"/>
        </w:rPr>
        <w:instrText xml:space="preserve"> HYPERLINK "https://papyri.info/hgv/95"</w:instrText>
      </w:r>
      <w:r>
        <w:rPr>
          <w:rStyle w:val="Hyperlink.0"/>
          <w:lang w:val="en-US"/>
        </w:rPr>
        <w:fldChar w:fldCharType="separate" w:fldLock="0"/>
      </w:r>
      <w:r>
        <w:rPr>
          <w:rStyle w:val="Hyperlink.0"/>
          <w:rtl w:val="0"/>
          <w:lang w:val="en-US"/>
        </w:rPr>
        <w:t>P.Lond. 3 1209</w:t>
      </w:r>
      <w:r>
        <w:rPr>
          <w:lang w:val="en-US"/>
        </w:rPr>
        <w:fldChar w:fldCharType="end" w:fldLock="0"/>
      </w:r>
      <w:r>
        <w:rPr>
          <w:rtl w:val="0"/>
          <w:lang w:val="en-US"/>
        </w:rPr>
        <w:t xml:space="preserve"> (p. 20; 89 BCE; H 15.2 cm x W 58.4 cm). On the linguistic aspects of the bilingual contracts in Pathyris, </w:t>
      </w:r>
      <w:r>
        <w:rPr>
          <w:rStyle w:val="Hyperlink.0"/>
          <w:lang w:val="en-US"/>
        </w:rPr>
        <w:fldChar w:fldCharType="begin" w:fldLock="0"/>
      </w:r>
      <w:r>
        <w:rPr>
          <w:rStyle w:val="Hyperlink.0"/>
          <w:lang w:val="en-US"/>
        </w:rPr>
        <w:instrText xml:space="preserve"> HYPERLINK "https://papyri.info/biblio/81067"</w:instrText>
      </w:r>
      <w:r>
        <w:rPr>
          <w:rStyle w:val="Hyperlink.0"/>
          <w:lang w:val="en-US"/>
        </w:rPr>
        <w:fldChar w:fldCharType="separate" w:fldLock="0"/>
      </w:r>
      <w:r>
        <w:rPr>
          <w:rStyle w:val="Hyperlink.0"/>
          <w:rtl w:val="0"/>
          <w:lang w:val="en-US"/>
        </w:rPr>
        <w:t>Vierros 2012</w:t>
      </w:r>
      <w:r>
        <w:rPr>
          <w:lang w:val="en-US"/>
        </w:rPr>
        <w:fldChar w:fldCharType="end" w:fldLock="0"/>
      </w:r>
      <w:r>
        <w:rPr>
          <w:rtl w:val="0"/>
          <w:lang w:val="en-US"/>
        </w:rPr>
        <w:t>.</w:t>
      </w:r>
    </w:p>
  </w:footnote>
  <w:footnote w:id="125">
    <w:p>
      <w:pPr>
        <w:pStyle w:val="footnote text"/>
      </w:pPr>
      <w:r>
        <w:rPr>
          <w:vertAlign w:val="superscript"/>
          <w:lang w:val="de-DE"/>
        </w:rPr>
        <w:footnoteRef/>
      </w:r>
      <w:r>
        <w:rPr>
          <w:rtl w:val="0"/>
          <w:lang w:val="de-DE"/>
        </w:rPr>
        <w:t xml:space="preserve"> Wilcken 1899.</w:t>
      </w:r>
    </w:p>
  </w:footnote>
  <w:footnote w:id="126">
    <w:p>
      <w:pPr>
        <w:pStyle w:val="footnote text"/>
      </w:pPr>
      <w:r>
        <w:rPr>
          <w:vertAlign w:val="superscript"/>
          <w:lang w:val="de-DE"/>
        </w:rPr>
        <w:footnoteRef/>
      </w:r>
      <w:r>
        <w:rPr>
          <w:rtl w:val="0"/>
          <w:lang w:val="de-DE"/>
        </w:rPr>
        <w:t xml:space="preserve"> Wilcken 1899: 11.</w:t>
      </w:r>
    </w:p>
  </w:footnote>
  <w:footnote w:id="127">
    <w:p>
      <w:pPr>
        <w:pStyle w:val="footnote text"/>
      </w:pPr>
      <w:r>
        <w:rPr>
          <w:vertAlign w:val="superscript"/>
        </w:rPr>
        <w:footnoteRef/>
      </w:r>
      <w:r>
        <w:rPr>
          <w:rtl w:val="0"/>
          <w:lang w:val="de-DE"/>
        </w:rPr>
        <w:t xml:space="preserve"> Wilcken 1899: 13: </w:t>
      </w:r>
      <w:r>
        <w:rPr>
          <w:rtl w:val="0"/>
          <w:lang w:val="de-DE"/>
        </w:rPr>
        <w:t>“</w:t>
      </w:r>
      <w:r>
        <w:rPr>
          <w:rtl w:val="0"/>
          <w:lang w:val="de-DE"/>
        </w:rPr>
        <w:t>Vielleicht ist auch dies eine der zahlreichen Neuerungen der neuen Zeit, dass es dem nunmehr mit der Steuerhebung betreuten Beamtenpersonal (in der Regel) untersagt war, sich der Ostraka zum Quittiren zu bedienen.</w:t>
      </w:r>
      <w:r>
        <w:rPr>
          <w:rtl w:val="0"/>
          <w:lang w:val="de-DE"/>
        </w:rPr>
        <w:t xml:space="preserve">” </w:t>
      </w:r>
      <w:r>
        <w:rPr>
          <w:rtl w:val="0"/>
          <w:lang w:val="en-US"/>
        </w:rPr>
        <w:t xml:space="preserve">Note the </w:t>
      </w:r>
      <w:r>
        <w:rPr>
          <w:rtl w:val="0"/>
          <w:lang w:val="en-US"/>
        </w:rPr>
        <w:t>‘</w:t>
      </w:r>
      <w:r>
        <w:rPr>
          <w:rtl w:val="0"/>
          <w:lang w:val="en-US"/>
        </w:rPr>
        <w:t>Beamtenpersonal</w:t>
      </w:r>
      <w:r>
        <w:rPr>
          <w:rtl w:val="0"/>
          <w:lang w:val="en-US"/>
        </w:rPr>
        <w:t>’</w:t>
      </w:r>
      <w:r>
        <w:rPr>
          <w:rtl w:val="0"/>
          <w:lang w:val="en-US"/>
        </w:rPr>
        <w:t>, which applies specifically to civil servants, not liturgists.</w:t>
      </w:r>
    </w:p>
  </w:footnote>
  <w:footnote w:id="128">
    <w:p>
      <w:pPr>
        <w:pStyle w:val="footnote text"/>
      </w:pPr>
      <w:r>
        <w:rPr>
          <w:vertAlign w:val="superscript"/>
        </w:rPr>
        <w:footnoteRef/>
      </w:r>
      <w:r>
        <w:rPr>
          <w:rtl w:val="0"/>
          <w:lang w:val="en-US"/>
        </w:rPr>
        <w:t xml:space="preserve"> Wilcken 1899: 118.</w:t>
      </w:r>
    </w:p>
  </w:footnote>
  <w:footnote w:id="129">
    <w:p>
      <w:pPr>
        <w:pStyle w:val="footnote text"/>
      </w:pPr>
      <w:r>
        <w:rPr>
          <w:vertAlign w:val="superscript"/>
        </w:rPr>
        <w:footnoteRef/>
      </w:r>
      <w:r>
        <w:rPr>
          <w:rtl w:val="0"/>
          <w:lang w:val="en-US"/>
        </w:rPr>
        <w:t xml:space="preserve"> These ostraca were purchased in Cairo in 1932, probably from the well-known dealer Maurice Nahman; </w:t>
      </w:r>
      <w:r>
        <w:rPr>
          <w:rStyle w:val="Link"/>
        </w:rPr>
        <w:fldChar w:fldCharType="begin" w:fldLock="0"/>
      </w:r>
      <w:r>
        <w:rPr>
          <w:rStyle w:val="Link"/>
        </w:rPr>
        <w:instrText xml:space="preserve"> HYPERLINK "https://papyri.info/biblio/97134"</w:instrText>
      </w:r>
      <w:r>
        <w:rPr>
          <w:rStyle w:val="Link"/>
        </w:rPr>
        <w:fldChar w:fldCharType="separate" w:fldLock="0"/>
      </w:r>
      <w:r>
        <w:rPr>
          <w:rStyle w:val="Link"/>
          <w:rtl w:val="0"/>
        </w:rPr>
        <w:t>Baetens et al. 2022</w:t>
      </w:r>
      <w:r>
        <w:rPr/>
        <w:fldChar w:fldCharType="end" w:fldLock="0"/>
      </w:r>
      <w:r>
        <w:rPr>
          <w:rtl w:val="0"/>
          <w:lang w:val="en-US"/>
        </w:rPr>
        <w:t>: 2 (= O.NYU).</w:t>
      </w:r>
    </w:p>
  </w:footnote>
  <w:footnote w:id="130">
    <w:p>
      <w:pPr>
        <w:pStyle w:val="footnote text"/>
      </w:pPr>
      <w:r>
        <w:rPr>
          <w:vertAlign w:val="superscript"/>
        </w:rPr>
        <w:footnoteRef/>
      </w:r>
      <w:r>
        <w:rPr>
          <w:rtl w:val="0"/>
          <w:lang w:val="en-US"/>
        </w:rPr>
        <w:t xml:space="preserve"> </w:t>
      </w:r>
      <w:r>
        <w:rPr>
          <w:rStyle w:val="Link"/>
        </w:rPr>
        <w:fldChar w:fldCharType="begin" w:fldLock="0"/>
      </w:r>
      <w:r>
        <w:rPr>
          <w:rStyle w:val="Link"/>
        </w:rPr>
        <w:instrText xml:space="preserve"> HYPERLINK "https://papyri.info/hgv/869410"</w:instrText>
      </w:r>
      <w:r>
        <w:rPr>
          <w:rStyle w:val="Link"/>
        </w:rPr>
        <w:fldChar w:fldCharType="separate" w:fldLock="0"/>
      </w:r>
      <w:r>
        <w:rPr>
          <w:rStyle w:val="Link"/>
          <w:rtl w:val="0"/>
        </w:rPr>
        <w:t>O.NYU 7</w:t>
      </w:r>
      <w:r>
        <w:rPr/>
        <w:fldChar w:fldCharType="end" w:fldLock="0"/>
      </w:r>
      <w:r>
        <w:rPr>
          <w:rtl w:val="0"/>
          <w:lang w:val="en-US"/>
        </w:rPr>
        <w:t xml:space="preserve"> and </w:t>
      </w:r>
      <w:r>
        <w:rPr>
          <w:rStyle w:val="Link"/>
        </w:rPr>
        <w:fldChar w:fldCharType="begin" w:fldLock="0"/>
      </w:r>
      <w:r>
        <w:rPr>
          <w:rStyle w:val="Link"/>
        </w:rPr>
        <w:instrText xml:space="preserve"> HYPERLINK "https://papyri.info/hgv/869411"</w:instrText>
      </w:r>
      <w:r>
        <w:rPr>
          <w:rStyle w:val="Link"/>
        </w:rPr>
        <w:fldChar w:fldCharType="separate" w:fldLock="0"/>
      </w:r>
      <w:r>
        <w:rPr>
          <w:rStyle w:val="Link"/>
          <w:rtl w:val="0"/>
        </w:rPr>
        <w:t>8</w:t>
      </w:r>
      <w:r>
        <w:rPr/>
        <w:fldChar w:fldCharType="end" w:fldLock="0"/>
      </w:r>
      <w:r>
        <w:rPr>
          <w:rtl w:val="0"/>
          <w:lang w:val="en-US"/>
        </w:rPr>
        <w:t xml:space="preserve"> (26 or 18 BCE?),</w:t>
      </w:r>
    </w:p>
  </w:footnote>
  <w:footnote w:id="131">
    <w:p>
      <w:pPr>
        <w:pStyle w:val="footnote text"/>
      </w:pPr>
      <w:r>
        <w:rPr>
          <w:vertAlign w:val="superscript"/>
          <w:lang w:val="fr-FR"/>
        </w:rPr>
        <w:footnoteRef/>
      </w:r>
      <w:r>
        <w:rPr>
          <w:rtl w:val="0"/>
          <w:lang w:val="fr-FR"/>
        </w:rPr>
        <w:t xml:space="preserve"> E.g. </w:t>
      </w:r>
      <w:r>
        <w:rPr>
          <w:rStyle w:val="Hyperlink.7"/>
          <w:lang w:val="fr-FR"/>
        </w:rPr>
        <w:fldChar w:fldCharType="begin" w:fldLock="0"/>
      </w:r>
      <w:r>
        <w:rPr>
          <w:rStyle w:val="Hyperlink.7"/>
          <w:lang w:val="fr-FR"/>
        </w:rPr>
        <w:instrText xml:space="preserve"> HYPERLINK "https://papyri.info/hgv/869413"</w:instrText>
      </w:r>
      <w:r>
        <w:rPr>
          <w:rStyle w:val="Hyperlink.7"/>
          <w:lang w:val="fr-FR"/>
        </w:rPr>
        <w:fldChar w:fldCharType="separate" w:fldLock="0"/>
      </w:r>
      <w:r>
        <w:rPr>
          <w:rStyle w:val="Hyperlink.7"/>
          <w:rtl w:val="0"/>
          <w:lang w:val="fr-FR"/>
        </w:rPr>
        <w:t>O.NYU 45</w:t>
      </w:r>
      <w:r>
        <w:rPr>
          <w:lang w:val="fr-FR"/>
        </w:rPr>
        <w:fldChar w:fldCharType="end" w:fldLock="0"/>
      </w:r>
      <w:r>
        <w:rPr>
          <w:rtl w:val="0"/>
          <w:lang w:val="fr-FR"/>
        </w:rPr>
        <w:t xml:space="preserve"> (8 CE); </w:t>
      </w:r>
      <w:r>
        <w:rPr>
          <w:rStyle w:val="Hyperlink.7"/>
          <w:lang w:val="fr-FR"/>
        </w:rPr>
        <w:fldChar w:fldCharType="begin" w:fldLock="0"/>
      </w:r>
      <w:r>
        <w:rPr>
          <w:rStyle w:val="Hyperlink.7"/>
          <w:lang w:val="fr-FR"/>
        </w:rPr>
        <w:instrText xml:space="preserve"> HYPERLINK "https://papyri.info/hgv/869452"</w:instrText>
      </w:r>
      <w:r>
        <w:rPr>
          <w:rStyle w:val="Hyperlink.7"/>
          <w:lang w:val="fr-FR"/>
        </w:rPr>
        <w:fldChar w:fldCharType="separate" w:fldLock="0"/>
      </w:r>
      <w:r>
        <w:rPr>
          <w:rStyle w:val="Hyperlink.7"/>
          <w:rtl w:val="0"/>
          <w:lang w:val="fr-FR"/>
        </w:rPr>
        <w:t>O.NYU 49</w:t>
      </w:r>
      <w:r>
        <w:rPr>
          <w:lang w:val="fr-FR"/>
        </w:rPr>
        <w:fldChar w:fldCharType="end" w:fldLock="0"/>
      </w:r>
      <w:r>
        <w:rPr>
          <w:rtl w:val="0"/>
          <w:lang w:val="fr-FR"/>
        </w:rPr>
        <w:t xml:space="preserve"> (9 CE).</w:t>
      </w:r>
    </w:p>
  </w:footnote>
  <w:footnote w:id="132">
    <w:p>
      <w:pPr>
        <w:pStyle w:val="footnote text"/>
      </w:pPr>
      <w:r>
        <w:rPr>
          <w:vertAlign w:val="superscript"/>
          <w:lang w:val="fr-FR"/>
        </w:rPr>
        <w:footnoteRef/>
      </w:r>
      <w:r>
        <w:rPr>
          <w:rtl w:val="0"/>
          <w:lang w:val="fr-FR"/>
        </w:rPr>
        <w:t xml:space="preserve"> </w:t>
      </w:r>
      <w:r>
        <w:rPr>
          <w:rStyle w:val="Hyperlink.7"/>
          <w:lang w:val="fr-FR"/>
        </w:rPr>
        <w:fldChar w:fldCharType="begin" w:fldLock="0"/>
      </w:r>
      <w:r>
        <w:rPr>
          <w:rStyle w:val="Hyperlink.7"/>
          <w:lang w:val="fr-FR"/>
        </w:rPr>
        <w:instrText xml:space="preserve"> HYPERLINK "https://papyri.info/biblio/51128"</w:instrText>
      </w:r>
      <w:r>
        <w:rPr>
          <w:rStyle w:val="Hyperlink.7"/>
          <w:lang w:val="fr-FR"/>
        </w:rPr>
        <w:fldChar w:fldCharType="separate" w:fldLock="0"/>
      </w:r>
      <w:r>
        <w:rPr>
          <w:rStyle w:val="Hyperlink.7"/>
          <w:rtl w:val="0"/>
          <w:lang w:val="fr-FR"/>
        </w:rPr>
        <w:t>Wolff 1975</w:t>
      </w:r>
      <w:r>
        <w:rPr>
          <w:lang w:val="fr-FR"/>
        </w:rPr>
        <w:fldChar w:fldCharType="end" w:fldLock="0"/>
      </w:r>
      <w:r>
        <w:rPr>
          <w:rtl w:val="0"/>
          <w:lang w:val="fr-FR"/>
        </w:rPr>
        <w:t xml:space="preserve">: 349; </w:t>
      </w:r>
      <w:r>
        <w:rPr>
          <w:rStyle w:val="Hyperlink.7"/>
          <w:lang w:val="fr-FR"/>
        </w:rPr>
        <w:fldChar w:fldCharType="begin" w:fldLock="0"/>
      </w:r>
      <w:r>
        <w:rPr>
          <w:rStyle w:val="Hyperlink.7"/>
          <w:lang w:val="fr-FR"/>
        </w:rPr>
        <w:instrText xml:space="preserve"> HYPERLINK "https://papyri.info/biblio/9194"</w:instrText>
      </w:r>
      <w:r>
        <w:rPr>
          <w:rStyle w:val="Hyperlink.7"/>
          <w:lang w:val="fr-FR"/>
        </w:rPr>
        <w:fldChar w:fldCharType="separate" w:fldLock="0"/>
      </w:r>
      <w:r>
        <w:rPr>
          <w:rStyle w:val="Hyperlink.7"/>
          <w:rtl w:val="0"/>
          <w:lang w:val="fr-FR"/>
        </w:rPr>
        <w:t>Wolff 1978</w:t>
      </w:r>
      <w:r>
        <w:rPr>
          <w:lang w:val="fr-FR"/>
        </w:rPr>
        <w:fldChar w:fldCharType="end" w:fldLock="0"/>
      </w:r>
      <w:r>
        <w:rPr>
          <w:rtl w:val="0"/>
          <w:lang w:val="fr-FR"/>
        </w:rPr>
        <w:t>: 87 and 107.</w:t>
      </w:r>
    </w:p>
  </w:footnote>
  <w:footnote w:id="133">
    <w:p>
      <w:pPr>
        <w:pStyle w:val="footnote text"/>
      </w:pPr>
      <w:r>
        <w:rPr>
          <w:vertAlign w:val="superscript"/>
          <w:lang w:val="fr-FR"/>
        </w:rPr>
        <w:footnoteRef/>
      </w:r>
      <w:r>
        <w:rPr>
          <w:rtl w:val="0"/>
          <w:lang w:val="fr-FR"/>
        </w:rPr>
        <w:t xml:space="preserve"> E.g. Elephantine: </w:t>
      </w:r>
      <w:r>
        <w:rPr>
          <w:rStyle w:val="Hyperlink.7"/>
          <w:lang w:val="fr-FR"/>
        </w:rPr>
        <w:fldChar w:fldCharType="begin" w:fldLock="0"/>
      </w:r>
      <w:r>
        <w:rPr>
          <w:rStyle w:val="Hyperlink.7"/>
          <w:lang w:val="fr-FR"/>
        </w:rPr>
        <w:instrText xml:space="preserve"> HYPERLINK "https://papyri.info/hgv/73448"</w:instrText>
      </w:r>
      <w:r>
        <w:rPr>
          <w:rStyle w:val="Hyperlink.7"/>
          <w:lang w:val="fr-FR"/>
        </w:rPr>
        <w:fldChar w:fldCharType="separate" w:fldLock="0"/>
      </w:r>
      <w:r>
        <w:rPr>
          <w:rStyle w:val="Hyperlink.7"/>
          <w:rtl w:val="0"/>
          <w:lang w:val="fr-FR"/>
        </w:rPr>
        <w:t>O.Cair. GPW 100</w:t>
      </w:r>
      <w:r>
        <w:rPr>
          <w:lang w:val="fr-FR"/>
        </w:rPr>
        <w:fldChar w:fldCharType="end" w:fldLock="0"/>
      </w:r>
      <w:r>
        <w:rPr>
          <w:rtl w:val="0"/>
          <w:lang w:val="fr-FR"/>
        </w:rPr>
        <w:t xml:space="preserve"> (18 BCE); Apollonopolis: </w:t>
      </w:r>
      <w:r>
        <w:rPr>
          <w:rStyle w:val="Hyperlink.7"/>
          <w:lang w:val="fr-FR"/>
        </w:rPr>
        <w:fldChar w:fldCharType="begin" w:fldLock="0"/>
      </w:r>
      <w:r>
        <w:rPr>
          <w:rStyle w:val="Hyperlink.7"/>
          <w:lang w:val="fr-FR"/>
        </w:rPr>
        <w:instrText xml:space="preserve"> HYPERLINK "https://papyri.info/hgv/47573"</w:instrText>
      </w:r>
      <w:r>
        <w:rPr>
          <w:rStyle w:val="Hyperlink.7"/>
          <w:lang w:val="fr-FR"/>
        </w:rPr>
        <w:fldChar w:fldCharType="separate" w:fldLock="0"/>
      </w:r>
      <w:r>
        <w:rPr>
          <w:rStyle w:val="Hyperlink.7"/>
          <w:rtl w:val="0"/>
          <w:lang w:val="fr-FR"/>
        </w:rPr>
        <w:t>SB 20 14438</w:t>
      </w:r>
      <w:r>
        <w:rPr>
          <w:lang w:val="fr-FR"/>
        </w:rPr>
        <w:fldChar w:fldCharType="end" w:fldLock="0"/>
      </w:r>
      <w:r>
        <w:rPr>
          <w:rtl w:val="0"/>
          <w:lang w:val="fr-FR"/>
        </w:rPr>
        <w:t xml:space="preserve"> (2 BCE); Thebes: </w:t>
      </w:r>
      <w:r>
        <w:rPr>
          <w:rStyle w:val="Hyperlink.7"/>
          <w:lang w:val="fr-FR"/>
        </w:rPr>
        <w:fldChar w:fldCharType="begin" w:fldLock="0"/>
      </w:r>
      <w:r>
        <w:rPr>
          <w:rStyle w:val="Hyperlink.7"/>
          <w:lang w:val="fr-FR"/>
        </w:rPr>
        <w:instrText xml:space="preserve"> HYPERLINK "https://papyri.info/hgv/5233"</w:instrText>
      </w:r>
      <w:r>
        <w:rPr>
          <w:rStyle w:val="Hyperlink.7"/>
          <w:lang w:val="fr-FR"/>
        </w:rPr>
        <w:fldChar w:fldCharType="separate" w:fldLock="0"/>
      </w:r>
      <w:r>
        <w:rPr>
          <w:rStyle w:val="Hyperlink.7"/>
          <w:rtl w:val="0"/>
          <w:lang w:val="fr-FR"/>
        </w:rPr>
        <w:t>P.Lugd. Bat. 19 25</w:t>
      </w:r>
      <w:r>
        <w:rPr>
          <w:lang w:val="fr-FR"/>
        </w:rPr>
        <w:fldChar w:fldCharType="end" w:fldLock="0"/>
      </w:r>
      <w:r>
        <w:rPr>
          <w:rtl w:val="0"/>
          <w:lang w:val="fr-FR"/>
        </w:rPr>
        <w:t xml:space="preserve"> (46 BCE); Koptos: </w:t>
      </w:r>
      <w:r>
        <w:rPr>
          <w:rStyle w:val="Hyperlink.7"/>
          <w:lang w:val="fr-FR"/>
        </w:rPr>
        <w:fldChar w:fldCharType="begin" w:fldLock="0"/>
      </w:r>
      <w:r>
        <w:rPr>
          <w:rStyle w:val="Hyperlink.7"/>
          <w:lang w:val="fr-FR"/>
        </w:rPr>
        <w:instrText xml:space="preserve"> HYPERLINK "https://papyri.info/hgv/75905"</w:instrText>
      </w:r>
      <w:r>
        <w:rPr>
          <w:rStyle w:val="Hyperlink.7"/>
          <w:lang w:val="fr-FR"/>
        </w:rPr>
        <w:fldChar w:fldCharType="separate" w:fldLock="0"/>
      </w:r>
      <w:r>
        <w:rPr>
          <w:rStyle w:val="Hyperlink.7"/>
          <w:rtl w:val="0"/>
          <w:lang w:val="fr-FR"/>
        </w:rPr>
        <w:t>O.Strasb. 1 313</w:t>
      </w:r>
      <w:r>
        <w:rPr>
          <w:lang w:val="fr-FR"/>
        </w:rPr>
        <w:fldChar w:fldCharType="end" w:fldLock="0"/>
      </w:r>
      <w:r>
        <w:rPr>
          <w:rtl w:val="0"/>
          <w:lang w:val="fr-FR"/>
        </w:rPr>
        <w:t xml:space="preserve"> (14 BCE).</w:t>
      </w:r>
    </w:p>
  </w:footnote>
  <w:footnote w:id="134">
    <w:p>
      <w:pPr>
        <w:pStyle w:val="footnote text"/>
      </w:pPr>
      <w:r>
        <w:rPr>
          <w:vertAlign w:val="superscript"/>
        </w:rPr>
        <w:footnoteRef/>
      </w:r>
      <w:r>
        <w:rPr>
          <w:rtl w:val="0"/>
          <w:lang w:val="en-US"/>
        </w:rPr>
        <w:t xml:space="preserve"> Payment orders: </w:t>
      </w:r>
      <w:r>
        <w:rPr>
          <w:rStyle w:val="Link"/>
        </w:rPr>
        <w:fldChar w:fldCharType="begin" w:fldLock="0"/>
      </w:r>
      <w:r>
        <w:rPr>
          <w:rStyle w:val="Link"/>
        </w:rPr>
        <w:instrText xml:space="preserve"> HYPERLINK "https://papyri.info/hgv/40856"</w:instrText>
      </w:r>
      <w:r>
        <w:rPr>
          <w:rStyle w:val="Link"/>
        </w:rPr>
        <w:fldChar w:fldCharType="separate" w:fldLock="0"/>
      </w:r>
      <w:r>
        <w:rPr>
          <w:rStyle w:val="Link"/>
          <w:rtl w:val="0"/>
        </w:rPr>
        <w:t>O.Fay. 11</w:t>
      </w:r>
      <w:r>
        <w:rPr/>
        <w:fldChar w:fldCharType="end" w:fldLock="0"/>
      </w:r>
      <w:r>
        <w:rPr>
          <w:rtl w:val="0"/>
          <w:lang w:val="en-US"/>
        </w:rPr>
        <w:t xml:space="preserve"> (25 BCE) and </w:t>
      </w:r>
      <w:r>
        <w:rPr>
          <w:rStyle w:val="Link"/>
        </w:rPr>
        <w:fldChar w:fldCharType="begin" w:fldLock="0"/>
      </w:r>
      <w:r>
        <w:rPr>
          <w:rStyle w:val="Link"/>
        </w:rPr>
        <w:instrText xml:space="preserve"> HYPERLINK "https://papyri.info/hgv/40857"</w:instrText>
      </w:r>
      <w:r>
        <w:rPr>
          <w:rStyle w:val="Link"/>
        </w:rPr>
        <w:fldChar w:fldCharType="separate" w:fldLock="0"/>
      </w:r>
      <w:r>
        <w:rPr>
          <w:rStyle w:val="Link"/>
          <w:rtl w:val="0"/>
        </w:rPr>
        <w:t>12</w:t>
      </w:r>
      <w:r>
        <w:rPr/>
        <w:fldChar w:fldCharType="end" w:fldLock="0"/>
      </w:r>
      <w:r>
        <w:rPr>
          <w:rtl w:val="0"/>
          <w:lang w:val="en-US"/>
        </w:rPr>
        <w:t xml:space="preserve"> (6 BCE); </w:t>
      </w:r>
      <w:r>
        <w:rPr>
          <w:rStyle w:val="Link"/>
        </w:rPr>
        <w:fldChar w:fldCharType="begin" w:fldLock="0"/>
      </w:r>
      <w:r>
        <w:rPr>
          <w:rStyle w:val="Link"/>
        </w:rPr>
        <w:instrText xml:space="preserve"> HYPERLINK "https://papyri.info/hgv/41928"</w:instrText>
      </w:r>
      <w:r>
        <w:rPr>
          <w:rStyle w:val="Link"/>
        </w:rPr>
        <w:fldChar w:fldCharType="separate" w:fldLock="0"/>
      </w:r>
      <w:r>
        <w:rPr>
          <w:rStyle w:val="Link"/>
          <w:rtl w:val="0"/>
        </w:rPr>
        <w:t>O.Mich. 1 17</w:t>
      </w:r>
      <w:r>
        <w:rPr/>
        <w:fldChar w:fldCharType="end" w:fldLock="0"/>
      </w:r>
      <w:r>
        <w:rPr>
          <w:rtl w:val="0"/>
          <w:lang w:val="en-US"/>
        </w:rPr>
        <w:t xml:space="preserve"> (4 BCE), all three from the Arsinoite nome.</w:t>
      </w:r>
    </w:p>
  </w:footnote>
  <w:footnote w:id="135">
    <w:p>
      <w:pPr>
        <w:pStyle w:val="footnote text"/>
      </w:pPr>
      <w:r>
        <w:rPr>
          <w:vertAlign w:val="superscript"/>
        </w:rPr>
        <w:footnoteRef/>
      </w:r>
      <w:r>
        <w:rPr>
          <w:rtl w:val="0"/>
          <w:lang w:val="en-US"/>
        </w:rPr>
        <w:t xml:space="preserve"> E.g. </w:t>
      </w:r>
      <w:r>
        <w:rPr>
          <w:rStyle w:val="Link"/>
        </w:rPr>
        <w:fldChar w:fldCharType="begin" w:fldLock="0"/>
      </w:r>
      <w:r>
        <w:rPr>
          <w:rStyle w:val="Link"/>
        </w:rPr>
        <w:instrText xml:space="preserve"> HYPERLINK "https://papyri.info/hgv/4743"</w:instrText>
      </w:r>
      <w:r>
        <w:rPr>
          <w:rStyle w:val="Link"/>
        </w:rPr>
        <w:fldChar w:fldCharType="separate" w:fldLock="0"/>
      </w:r>
      <w:r>
        <w:rPr>
          <w:rStyle w:val="Link"/>
          <w:rtl w:val="0"/>
        </w:rPr>
        <w:t>BGU 6 1459</w:t>
      </w:r>
      <w:r>
        <w:rPr/>
        <w:fldChar w:fldCharType="end" w:fldLock="0"/>
      </w:r>
      <w:r>
        <w:rPr>
          <w:rtl w:val="0"/>
          <w:lang w:val="en-US"/>
        </w:rPr>
        <w:t xml:space="preserve"> (69 or 40 BCE, Elephantine); </w:t>
      </w:r>
      <w:r>
        <w:rPr>
          <w:rStyle w:val="Link"/>
        </w:rPr>
        <w:fldChar w:fldCharType="begin" w:fldLock="0"/>
      </w:r>
      <w:r>
        <w:rPr>
          <w:rStyle w:val="Link"/>
        </w:rPr>
        <w:instrText xml:space="preserve"> HYPERLINK "https://papyri.info/hgv/73530"</w:instrText>
      </w:r>
      <w:r>
        <w:rPr>
          <w:rStyle w:val="Link"/>
        </w:rPr>
        <w:fldChar w:fldCharType="separate" w:fldLock="0"/>
      </w:r>
      <w:r>
        <w:rPr>
          <w:rStyle w:val="Link"/>
          <w:rtl w:val="0"/>
        </w:rPr>
        <w:t>O.Camb. 51</w:t>
      </w:r>
      <w:r>
        <w:rPr/>
        <w:fldChar w:fldCharType="end" w:fldLock="0"/>
      </w:r>
      <w:r>
        <w:rPr>
          <w:rtl w:val="0"/>
          <w:lang w:val="en-US"/>
        </w:rPr>
        <w:t xml:space="preserve"> (8 CE, Hermonthis [?]); </w:t>
      </w:r>
      <w:r>
        <w:rPr>
          <w:rStyle w:val="Link"/>
        </w:rPr>
        <w:fldChar w:fldCharType="begin" w:fldLock="0"/>
      </w:r>
      <w:r>
        <w:rPr>
          <w:rStyle w:val="Link"/>
        </w:rPr>
        <w:instrText xml:space="preserve"> HYPERLINK "https://papyri.info/hgv/77485"</w:instrText>
      </w:r>
      <w:r>
        <w:rPr>
          <w:rStyle w:val="Link"/>
        </w:rPr>
        <w:fldChar w:fldCharType="separate" w:fldLock="0"/>
      </w:r>
      <w:r>
        <w:rPr>
          <w:rStyle w:val="Link"/>
          <w:rtl w:val="0"/>
        </w:rPr>
        <w:t>O.Wilck. 1009</w:t>
      </w:r>
      <w:r>
        <w:rPr/>
        <w:fldChar w:fldCharType="end" w:fldLock="0"/>
      </w:r>
      <w:r>
        <w:rPr>
          <w:rtl w:val="0"/>
          <w:lang w:val="en-US"/>
        </w:rPr>
        <w:t xml:space="preserve"> (19 [?] BCE, Thebes); </w:t>
      </w:r>
      <w:r>
        <w:rPr>
          <w:rStyle w:val="Link"/>
        </w:rPr>
        <w:fldChar w:fldCharType="begin" w:fldLock="0"/>
      </w:r>
      <w:r>
        <w:rPr>
          <w:rStyle w:val="Link"/>
        </w:rPr>
        <w:instrText xml:space="preserve"> HYPERLINK "https://papyri.info/hgv/44963"</w:instrText>
      </w:r>
      <w:r>
        <w:rPr>
          <w:rStyle w:val="Link"/>
        </w:rPr>
        <w:fldChar w:fldCharType="separate" w:fldLock="0"/>
      </w:r>
      <w:r>
        <w:rPr>
          <w:rStyle w:val="Link"/>
          <w:rtl w:val="0"/>
        </w:rPr>
        <w:t>O.Petr. Mus. 114</w:t>
      </w:r>
      <w:r>
        <w:rPr/>
        <w:fldChar w:fldCharType="end" w:fldLock="0"/>
      </w:r>
      <w:r>
        <w:rPr>
          <w:rtl w:val="0"/>
          <w:lang w:val="en-US"/>
        </w:rPr>
        <w:t xml:space="preserve"> (6 CE, Myos Hormos); </w:t>
      </w:r>
      <w:r>
        <w:rPr>
          <w:rStyle w:val="Link"/>
        </w:rPr>
        <w:fldChar w:fldCharType="begin" w:fldLock="0"/>
      </w:r>
      <w:r>
        <w:rPr>
          <w:rStyle w:val="Link"/>
        </w:rPr>
        <w:instrText xml:space="preserve"> HYPERLINK "https://papyri.info/hgv/41928"</w:instrText>
      </w:r>
      <w:r>
        <w:rPr>
          <w:rStyle w:val="Link"/>
        </w:rPr>
        <w:fldChar w:fldCharType="separate" w:fldLock="0"/>
      </w:r>
      <w:r>
        <w:rPr>
          <w:rStyle w:val="Link"/>
          <w:rtl w:val="0"/>
        </w:rPr>
        <w:t>O.Mich. 1 17</w:t>
      </w:r>
      <w:r>
        <w:rPr/>
        <w:fldChar w:fldCharType="end" w:fldLock="0"/>
      </w:r>
      <w:r>
        <w:rPr>
          <w:rtl w:val="0"/>
          <w:lang w:val="en-US"/>
        </w:rPr>
        <w:t xml:space="preserve"> (4 BCE, Arsinoite nome).</w:t>
      </w:r>
    </w:p>
  </w:footnote>
  <w:footnote w:id="136">
    <w:p>
      <w:pPr>
        <w:pStyle w:val="footnote text"/>
      </w:pPr>
      <w:r>
        <w:rPr>
          <w:rFonts w:ascii="IFAO-Grec Unicode" w:cs="IFAO-Grec Unicode" w:hAnsi="IFAO-Grec Unicode" w:eastAsia="IFAO-Grec Unicode"/>
          <w:vertAlign w:val="superscript"/>
        </w:rPr>
        <w:footnoteRef/>
      </w:r>
      <w:r>
        <w:rPr>
          <w:rtl w:val="0"/>
          <w:lang w:val="en-US"/>
        </w:rPr>
        <w:t xml:space="preserve"> </w:t>
      </w:r>
      <w:r>
        <w:rPr>
          <w:rtl w:val="0"/>
          <w:lang w:val="en-US"/>
        </w:rPr>
        <w:t>Wilcken 1899: 82.</w:t>
      </w:r>
    </w:p>
  </w:footnote>
  <w:footnote w:id="137">
    <w:p>
      <w:pPr>
        <w:pStyle w:val="footnote text"/>
      </w:pPr>
      <w:r>
        <w:rPr>
          <w:rFonts w:ascii="IFAO-Grec Unicode" w:cs="IFAO-Grec Unicode" w:hAnsi="IFAO-Grec Unicode" w:eastAsia="IFAO-Grec Unicode"/>
          <w:vertAlign w:val="superscript"/>
        </w:rPr>
        <w:footnoteRef/>
      </w:r>
      <w:r>
        <w:rPr>
          <w:rtl w:val="0"/>
          <w:lang w:val="en-US"/>
        </w:rPr>
        <w:t xml:space="preserve"> </w:t>
      </w:r>
      <w:r>
        <w:rPr>
          <w:rtl w:val="0"/>
          <w:lang w:val="en-US"/>
        </w:rPr>
        <w:t xml:space="preserve">Wilcken 1899: 112, referring to </w:t>
      </w:r>
      <w:r>
        <w:rPr>
          <w:rStyle w:val="Hyperlink.0"/>
          <w:lang w:val="en-US"/>
        </w:rPr>
        <w:fldChar w:fldCharType="begin" w:fldLock="0"/>
      </w:r>
      <w:r>
        <w:rPr>
          <w:rStyle w:val="Hyperlink.0"/>
          <w:lang w:val="en-US"/>
        </w:rPr>
        <w:instrText xml:space="preserve"> HYPERLINK "https://papyri.info/hgv/50783"</w:instrText>
      </w:r>
      <w:r>
        <w:rPr>
          <w:rStyle w:val="Hyperlink.0"/>
          <w:lang w:val="en-US"/>
        </w:rPr>
        <w:fldChar w:fldCharType="separate" w:fldLock="0"/>
      </w:r>
      <w:r>
        <w:rPr>
          <w:rStyle w:val="Hyperlink.0"/>
          <w:rtl w:val="0"/>
          <w:lang w:val="en-US"/>
        </w:rPr>
        <w:t>O.Wilck. 766</w:t>
      </w:r>
      <w:r>
        <w:rPr/>
        <w:fldChar w:fldCharType="end" w:fldLock="0"/>
      </w:r>
      <w:r>
        <w:rPr>
          <w:rtl w:val="0"/>
          <w:lang w:val="en-US"/>
        </w:rPr>
        <w:t xml:space="preserve"> (3 BCE, Thebes).</w:t>
      </w:r>
    </w:p>
  </w:footnote>
  <w:footnote w:id="138">
    <w:p>
      <w:pPr>
        <w:pStyle w:val="footnote text"/>
      </w:pPr>
      <w:r>
        <w:rPr>
          <w:rFonts w:ascii="IFAO-Grec Unicode" w:cs="IFAO-Grec Unicode" w:hAnsi="IFAO-Grec Unicode" w:eastAsia="IFAO-Grec Unicode"/>
          <w:vertAlign w:val="superscript"/>
        </w:rPr>
        <w:footnoteRef/>
      </w:r>
      <w:r>
        <w:rPr>
          <w:rtl w:val="0"/>
          <w:lang w:val="en-US"/>
        </w:rPr>
        <w:t xml:space="preserve"> </w:t>
      </w:r>
      <w:r>
        <w:rPr>
          <w:rStyle w:val="Link"/>
        </w:rPr>
        <w:fldChar w:fldCharType="begin" w:fldLock="0"/>
      </w:r>
      <w:r>
        <w:rPr>
          <w:rStyle w:val="Link"/>
        </w:rPr>
        <w:instrText xml:space="preserve"> HYPERLINK "https://papyri.info/hgv/71852"</w:instrText>
      </w:r>
      <w:r>
        <w:rPr>
          <w:rStyle w:val="Link"/>
        </w:rPr>
        <w:fldChar w:fldCharType="separate" w:fldLock="0"/>
      </w:r>
      <w:r>
        <w:rPr>
          <w:rStyle w:val="Link"/>
          <w:rtl w:val="0"/>
        </w:rPr>
        <w:t>O.Bodl. 2 1168</w:t>
      </w:r>
      <w:r>
        <w:rPr/>
        <w:fldChar w:fldCharType="end" w:fldLock="0"/>
      </w:r>
      <w:r>
        <w:rPr>
          <w:rtl w:val="0"/>
          <w:lang w:val="en-US"/>
        </w:rPr>
        <w:t xml:space="preserve">.6-8 (15 BCE, Thebes); </w:t>
      </w:r>
      <w:r>
        <w:rPr>
          <w:rStyle w:val="Link"/>
        </w:rPr>
        <w:fldChar w:fldCharType="begin" w:fldLock="0"/>
      </w:r>
      <w:r>
        <w:rPr>
          <w:rStyle w:val="Link"/>
        </w:rPr>
        <w:instrText xml:space="preserve"> HYPERLINK "https://papyri.info/hgv/4743"</w:instrText>
      </w:r>
      <w:r>
        <w:rPr>
          <w:rStyle w:val="Link"/>
        </w:rPr>
        <w:fldChar w:fldCharType="separate" w:fldLock="0"/>
      </w:r>
      <w:r>
        <w:rPr>
          <w:rStyle w:val="Link"/>
          <w:rtl w:val="0"/>
        </w:rPr>
        <w:t>BGU 6 1459</w:t>
      </w:r>
      <w:r>
        <w:rPr/>
        <w:fldChar w:fldCharType="end" w:fldLock="0"/>
      </w:r>
      <w:r>
        <w:rPr>
          <w:rtl w:val="0"/>
          <w:lang w:val="en-US"/>
        </w:rPr>
        <w:t>.9 (69 or 40 BCE, Elephantine).</w:t>
      </w:r>
    </w:p>
  </w:footnote>
  <w:footnote w:id="139">
    <w:p>
      <w:pPr>
        <w:pStyle w:val="footnote text"/>
      </w:pPr>
      <w:r>
        <w:rPr>
          <w:rFonts w:ascii="IFAO-Grec Unicode" w:cs="IFAO-Grec Unicode" w:hAnsi="IFAO-Grec Unicode" w:eastAsia="IFAO-Grec Unicode"/>
          <w:vertAlign w:val="superscript"/>
          <w:lang w:val="en-US"/>
        </w:rPr>
        <w:footnoteRef/>
      </w:r>
      <w:r>
        <w:rPr>
          <w:rtl w:val="0"/>
          <w:lang w:val="en-US"/>
        </w:rPr>
        <w:t xml:space="preserve"> Wilcken 1899: 62.</w:t>
      </w:r>
    </w:p>
  </w:footnote>
  <w:footnote w:id="140">
    <w:p>
      <w:pPr>
        <w:pStyle w:val="footnote text"/>
      </w:pPr>
      <w:r>
        <w:rPr>
          <w:rFonts w:ascii="IFAO-Grec Unicode" w:cs="IFAO-Grec Unicode" w:hAnsi="IFAO-Grec Unicode" w:eastAsia="IFAO-Grec Unicode"/>
          <w:vertAlign w:val="superscript"/>
          <w:lang w:val="en-US"/>
        </w:rPr>
        <w:footnoteRef/>
      </w:r>
      <w:r>
        <w:rPr>
          <w:rtl w:val="0"/>
          <w:lang w:val="en-US"/>
        </w:rPr>
        <w:t xml:space="preserve"> Wilcken 1899: 111.</w:t>
      </w:r>
    </w:p>
  </w:footnote>
  <w:footnote w:id="141">
    <w:p>
      <w:pPr>
        <w:pStyle w:val="footnote text"/>
      </w:pPr>
      <w:r>
        <w:rPr>
          <w:rFonts w:ascii="IFAO-Grec Unicode" w:cs="IFAO-Grec Unicode" w:hAnsi="IFAO-Grec Unicode" w:eastAsia="IFAO-Grec Unicode"/>
          <w:vertAlign w:val="superscript"/>
          <w:lang w:val="en-US"/>
        </w:rPr>
        <w:footnoteRef/>
      </w:r>
      <w:r>
        <w:rPr>
          <w:rtl w:val="0"/>
          <w:lang w:val="en-US"/>
        </w:rPr>
        <w:t xml:space="preserve"> Wilcken 1899: 97 and 103.</w:t>
      </w:r>
    </w:p>
  </w:footnote>
  <w:footnote w:id="142">
    <w:p>
      <w:pPr>
        <w:pStyle w:val="footnote text"/>
      </w:pPr>
      <w:r>
        <w:rPr>
          <w:vertAlign w:val="superscript"/>
          <w:lang w:val="en-US"/>
        </w:rPr>
        <w:footnoteRef/>
      </w:r>
      <w:r>
        <w:rPr>
          <w:rtl w:val="0"/>
          <w:lang w:val="en-US"/>
        </w:rPr>
        <w:t xml:space="preserve"> </w:t>
      </w:r>
      <w:r>
        <w:rPr>
          <w:rStyle w:val="Hyperlink.0"/>
          <w:lang w:val="en-US"/>
        </w:rPr>
        <w:fldChar w:fldCharType="begin" w:fldLock="0"/>
      </w:r>
      <w:r>
        <w:rPr>
          <w:rStyle w:val="Hyperlink.0"/>
          <w:lang w:val="en-US"/>
        </w:rPr>
        <w:instrText xml:space="preserve"> HYPERLINK "https://papyri.info/biblio/97504"</w:instrText>
      </w:r>
      <w:r>
        <w:rPr>
          <w:rStyle w:val="Hyperlink.0"/>
          <w:lang w:val="en-US"/>
        </w:rPr>
        <w:fldChar w:fldCharType="separate" w:fldLock="0"/>
      </w:r>
      <w:r>
        <w:rPr>
          <w:rStyle w:val="Hyperlink.0"/>
          <w:rtl w:val="0"/>
          <w:lang w:val="en-US"/>
        </w:rPr>
        <w:t>Ferretti 2024</w:t>
      </w:r>
      <w:r>
        <w:rPr>
          <w:lang w:val="en-US"/>
        </w:rPr>
        <w:fldChar w:fldCharType="end" w:fldLock="0"/>
      </w:r>
      <w:r>
        <w:rPr>
          <w:rtl w:val="0"/>
          <w:lang w:val="en-US"/>
        </w:rPr>
        <w:t>: 196.</w:t>
      </w:r>
    </w:p>
  </w:footnote>
  <w:footnote w:id="143">
    <w:p>
      <w:pPr>
        <w:pStyle w:val="footnote text"/>
      </w:pPr>
      <w:r>
        <w:rPr>
          <w:vertAlign w:val="superscript"/>
          <w:lang w:val="en-US"/>
        </w:rPr>
        <w:footnoteRef/>
      </w:r>
      <w:r>
        <w:rPr>
          <w:rtl w:val="0"/>
          <w:lang w:val="en-US"/>
        </w:rPr>
        <w:t xml:space="preserve"> Creation of the registries of property: </w:t>
      </w:r>
      <w:r>
        <w:rPr>
          <w:rStyle w:val="Hyperlink.0"/>
          <w:lang w:val="en-US"/>
        </w:rPr>
        <w:fldChar w:fldCharType="begin" w:fldLock="0"/>
      </w:r>
      <w:r>
        <w:rPr>
          <w:rStyle w:val="Hyperlink.0"/>
          <w:lang w:val="en-US"/>
        </w:rPr>
        <w:instrText xml:space="preserve"> HYPERLINK "https://papyri.info/biblio/96189"</w:instrText>
      </w:r>
      <w:r>
        <w:rPr>
          <w:rStyle w:val="Hyperlink.0"/>
          <w:lang w:val="en-US"/>
        </w:rPr>
        <w:fldChar w:fldCharType="separate" w:fldLock="0"/>
      </w:r>
      <w:r>
        <w:rPr>
          <w:rStyle w:val="Hyperlink.0"/>
          <w:rtl w:val="0"/>
          <w:lang w:val="en-US"/>
        </w:rPr>
        <w:t>Schubert 2019</w:t>
      </w:r>
      <w:r>
        <w:rPr>
          <w:lang w:val="en-US"/>
        </w:rPr>
        <w:fldChar w:fldCharType="end" w:fldLock="0"/>
      </w:r>
      <w:r>
        <w:rPr>
          <w:rtl w:val="0"/>
          <w:lang w:val="en-US"/>
        </w:rPr>
        <w:t xml:space="preserve">: 287-289. Gymnasia and </w:t>
      </w:r>
      <w:r>
        <w:rPr>
          <w:i w:val="1"/>
          <w:iCs w:val="1"/>
          <w:rtl w:val="0"/>
          <w:lang w:val="en-US"/>
        </w:rPr>
        <w:t>epikrisis</w:t>
      </w:r>
      <w:r>
        <w:rPr>
          <w:rtl w:val="0"/>
          <w:lang w:val="en-US"/>
        </w:rPr>
        <w:t xml:space="preserve">: </w:t>
      </w:r>
      <w:r>
        <w:rPr>
          <w:rStyle w:val="Hyperlink.0"/>
          <w:lang w:val="en-US"/>
        </w:rPr>
        <w:fldChar w:fldCharType="begin" w:fldLock="0"/>
      </w:r>
      <w:r>
        <w:rPr>
          <w:rStyle w:val="Hyperlink.0"/>
          <w:lang w:val="en-US"/>
        </w:rPr>
        <w:instrText xml:space="preserve"> HYPERLINK "https://papyri.info/biblio/86322"</w:instrText>
      </w:r>
      <w:r>
        <w:rPr>
          <w:rStyle w:val="Hyperlink.0"/>
          <w:lang w:val="en-US"/>
        </w:rPr>
        <w:fldChar w:fldCharType="separate" w:fldLock="0"/>
      </w:r>
      <w:r>
        <w:rPr>
          <w:rStyle w:val="Hyperlink.0"/>
          <w:rtl w:val="0"/>
          <w:lang w:val="en-US"/>
        </w:rPr>
        <w:t>Broux 2013</w:t>
      </w:r>
      <w:r>
        <w:rPr>
          <w:lang w:val="en-US"/>
        </w:rPr>
        <w:fldChar w:fldCharType="end" w:fldLock="0"/>
      </w:r>
      <w:r>
        <w:rPr>
          <w:rtl w:val="0"/>
          <w:lang w:val="en-US"/>
        </w:rPr>
        <w:t>.</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lowerLetter"/>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536"/>
        <w:tab w:val="right" w:pos="9072"/>
      </w:tabs>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itle A">
    <w:name w:val="Title A"/>
    <w:next w:val="Body"/>
    <w:pPr>
      <w:keepNext w:val="0"/>
      <w:keepLines w:val="0"/>
      <w:pageBreakBefore w:val="0"/>
      <w:widowControl w:val="1"/>
      <w:shd w:val="clear" w:color="auto" w:fill="auto"/>
      <w:suppressAutoHyphens w:val="0"/>
      <w:bidi w:val="0"/>
      <w:spacing w:before="0" w:after="80" w:line="240"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000000"/>
      <w:spacing w:val="-10"/>
      <w:kern w:val="28"/>
      <w:position w:val="0"/>
      <w:sz w:val="48"/>
      <w:szCs w:val="4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Outline>
        <w14:noFill/>
      </w14:textOutline>
      <w14:textFill>
        <w14:solidFill>
          <w14:srgbClr w14:val="000000"/>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Link">
    <w:name w:val="Link"/>
    <w:rPr>
      <w:outline w:val="0"/>
      <w:color w:val="467886"/>
      <w:u w:val="single" w:color="467886"/>
      <w14:textFill>
        <w14:solidFill>
          <w14:srgbClr w14:val="467886"/>
        </w14:solidFill>
      </w14:textFill>
    </w:rPr>
  </w:style>
  <w:style w:type="character" w:styleId="Hyperlink.0">
    <w:name w:val="Hyperlink.0"/>
    <w:basedOn w:val="Link"/>
    <w:next w:val="Hyperlink.0"/>
    <w:rPr>
      <w:lang w:val="en-US"/>
    </w:rPr>
  </w:style>
  <w:style w:type="character" w:styleId="Hyperlink.1">
    <w:name w:val="Hyperlink.1"/>
    <w:basedOn w:val="Link"/>
    <w:next w:val="Hyperlink.1"/>
    <w:rPr>
      <w:i w:val="1"/>
      <w:iCs w:val="1"/>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Hyperlink.2">
    <w:name w:val="Hyperlink.2"/>
    <w:basedOn w:val="Link"/>
    <w:next w:val="Hyperlink.2"/>
    <w:rPr>
      <w:lang w:val="en-US"/>
    </w:rPr>
  </w:style>
  <w:style w:type="character" w:styleId="Hyperlink.3">
    <w:name w:val="Hyperlink.3"/>
    <w:basedOn w:val="Link"/>
    <w:next w:val="Hyperlink.3"/>
    <w:rPr>
      <w:lang w:val="de-DE"/>
    </w:rPr>
  </w:style>
  <w:style w:type="character" w:styleId="Hyperlink.4">
    <w:name w:val="Hyperlink.4"/>
    <w:basedOn w:val="Link"/>
    <w:next w:val="Hyperlink.4"/>
    <w:rPr>
      <w:rFonts w:ascii="Times New Roman" w:cs="Times New Roman" w:hAnsi="Times New Roman" w:eastAsia="Times New Roman"/>
      <w:sz w:val="20"/>
      <w:szCs w:val="20"/>
      <w:shd w:val="nil" w:color="auto" w:fill="auto"/>
      <w:lang w:val="en-US"/>
    </w:rPr>
  </w:style>
  <w:style w:type="character" w:styleId="Hyperlink.5">
    <w:name w:val="Hyperlink.5"/>
    <w:basedOn w:val="Link"/>
    <w:next w:val="Hyperlink.5"/>
    <w:rPr>
      <w:rFonts w:ascii="Times New Roman" w:cs="Times New Roman" w:hAnsi="Times New Roman" w:eastAsia="Times New Roman"/>
      <w:shd w:val="nil" w:color="auto" w:fill="auto"/>
      <w:lang w:val="en-US"/>
    </w:rPr>
  </w:style>
  <w:style w:type="character" w:styleId="Hyperlink.6">
    <w:name w:val="Hyperlink.6"/>
    <w:basedOn w:val="Link"/>
    <w:next w:val="Hyperlink.6"/>
    <w:rPr>
      <w:rFonts w:ascii="Times New Roman" w:cs="Times New Roman" w:hAnsi="Times New Roman" w:eastAsia="Times New Roman"/>
      <w:shd w:val="nil" w:color="auto" w:fill="auto"/>
      <w:lang w:val="en-US"/>
    </w:rPr>
  </w:style>
  <w:style w:type="character" w:styleId="Hyperlink.7">
    <w:name w:val="Hyperlink.7"/>
    <w:basedOn w:val="Link"/>
    <w:next w:val="Hyperlink.7"/>
    <w:rPr>
      <w:lang w:val="fr-FR"/>
    </w:rPr>
  </w:style>
  <w:style w:type="character" w:styleId="Hyperlink.8">
    <w:name w:val="Hyperlink.8"/>
    <w:basedOn w:val="Link"/>
    <w:next w:val="Hyperlink.8"/>
    <w:rPr>
      <w:sz w:val="20"/>
      <w:szCs w:val="20"/>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hème Office">
  <a:themeElements>
    <a:clrScheme name="Thèm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hème Office">
      <a:majorFont>
        <a:latin typeface="Helvetica Neue"/>
        <a:ea typeface="Helvetica Neue"/>
        <a:cs typeface="Helvetica Neue"/>
      </a:majorFont>
      <a:minorFont>
        <a:latin typeface="Helvetica Neue"/>
        <a:ea typeface="Helvetica Neue"/>
        <a:cs typeface="Helvetica Neue"/>
      </a:minorFont>
    </a:fontScheme>
    <a:fmtScheme name="Thèm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