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lang w:val="en-US"/>
        </w:rPr>
        <w:t>#articleTitle</w:t>
      </w:r>
    </w:p>
    <w:p>
      <w:pPr>
        <w:pStyle w:val="Body"/>
      </w:pPr>
      <w:r>
        <w:rPr>
          <w:rtl w:val="0"/>
          <w:lang w:val="en-US"/>
        </w:rPr>
        <w:t>Oath of an Estate Farmer</w:t>
      </w:r>
    </w:p>
    <w:p>
      <w:pPr>
        <w:pStyle w:val="Body"/>
      </w:pPr>
    </w:p>
    <w:p>
      <w:pPr>
        <w:pStyle w:val="Body"/>
      </w:pPr>
      <w:r>
        <w:rPr>
          <w:rtl w:val="0"/>
          <w:lang w:val="en-US"/>
        </w:rPr>
        <w:t>#author</w:t>
      </w:r>
    </w:p>
    <w:p>
      <w:pPr>
        <w:pStyle w:val="Body"/>
      </w:pPr>
      <w:r>
        <w:rPr>
          <w:rtl w:val="0"/>
        </w:rPr>
        <w:t>Claytor, W. Graham</w:t>
      </w:r>
    </w:p>
    <w:p>
      <w:pPr>
        <w:pStyle w:val="Body"/>
      </w:pPr>
    </w:p>
    <w:p>
      <w:pPr>
        <w:pStyle w:val="Body"/>
      </w:pPr>
      <w:r>
        <w:rPr>
          <w:rtl w:val="0"/>
          <w:lang w:val="fr-FR"/>
        </w:rPr>
        <w:t>#affiliation</w:t>
      </w:r>
    </w:p>
    <w:p>
      <w:pPr>
        <w:pStyle w:val="Body"/>
      </w:pPr>
      <w:r>
        <w:rPr>
          <w:rtl w:val="0"/>
          <w:lang w:val="en-US"/>
        </w:rPr>
        <w:t>University of Warsaw</w:t>
      </w:r>
    </w:p>
    <w:p>
      <w:pPr>
        <w:pStyle w:val="Body"/>
      </w:pPr>
    </w:p>
    <w:p>
      <w:pPr>
        <w:pStyle w:val="Body"/>
      </w:pPr>
      <w:r>
        <w:rPr>
          <w:rtl w:val="0"/>
          <w:lang w:val="en-US"/>
        </w:rPr>
        <w:t>#email</w:t>
      </w:r>
    </w:p>
    <w:p>
      <w:pPr>
        <w:pStyle w:val="Body"/>
      </w:pPr>
      <w:r>
        <w:rPr>
          <w:rtl w:val="0"/>
        </w:rPr>
        <w:t>w.claytor-vi@uw.edu.pl</w:t>
      </w:r>
    </w:p>
    <w:p>
      <w:pPr>
        <w:pStyle w:val="Body"/>
      </w:pPr>
    </w:p>
    <w:p>
      <w:pPr>
        <w:pStyle w:val="Body"/>
      </w:pPr>
      <w:r>
        <w:rPr>
          <w:rtl w:val="0"/>
        </w:rPr>
        <w:tab/>
        <w:t xml:space="preserve">The main interest of this oath is the earliest mention of the estate of Dionysodoros, the longtime Arsinoite </w:t>
      </w:r>
      <w:r>
        <w:rPr>
          <w:rtl w:val="0"/>
          <w:lang w:val="es-ES_tradnl"/>
        </w:rPr>
        <w:t xml:space="preserve">strategos </w:t>
      </w:r>
      <w:r>
        <w:rPr>
          <w:rtl w:val="0"/>
          <w:lang w:val="en-US"/>
        </w:rPr>
        <w:t>under Tiberius and a major local landowner.</w:t>
      </w:r>
      <w:r>
        <w:rPr>
          <w:rFonts w:ascii="IFAO-Grec Unicode" w:cs="IFAO-Grec Unicode" w:hAnsi="IFAO-Grec Unicode" w:eastAsia="IFAO-Grec Unicode"/>
          <w:b w:val="0"/>
          <w:bCs w:val="0"/>
          <w:i w:val="0"/>
          <w:iCs w:val="0"/>
          <w:vertAlign w:val="superscript"/>
        </w:rPr>
        <w:footnoteReference w:id="1"/>
      </w:r>
      <w:r>
        <w:rPr>
          <w:rtl w:val="0"/>
          <w:lang w:val="en-US"/>
        </w:rPr>
        <w:t xml:space="preserve"> Both his lengthy tenure in office and landholdings mark him out as a unique figure in the administration and economic development of the early Roman Fayum.</w:t>
      </w:r>
      <w:r>
        <w:rPr>
          <w:rFonts w:ascii="IFAO-Grec Unicode" w:cs="IFAO-Grec Unicode" w:hAnsi="IFAO-Grec Unicode" w:eastAsia="IFAO-Grec Unicode"/>
          <w:b w:val="0"/>
          <w:bCs w:val="0"/>
          <w:i w:val="0"/>
          <w:iCs w:val="0"/>
          <w:vertAlign w:val="superscript"/>
        </w:rPr>
        <w:footnoteReference w:id="2"/>
      </w:r>
      <w:r>
        <w:rPr>
          <w:rtl w:val="0"/>
          <w:lang w:val="en-US"/>
        </w:rPr>
        <w:t xml:space="preserve"> We learn here that his property was in imperial hands by 40 CE at the latest. The manager of this newly-acquired imperial estate was a </w:t>
      </w:r>
      <w:r>
        <w:rPr>
          <w:rtl w:val="0"/>
        </w:rPr>
        <w:t>servus vicarius</w:t>
      </w:r>
      <w:r>
        <w:rPr>
          <w:rtl w:val="0"/>
          <w:lang w:val="en-US"/>
        </w:rPr>
        <w:t xml:space="preserve"> named Probus, who is also addressed in a petition from an estate farmer the previous year (</w:t>
      </w:r>
      <w:r>
        <w:rPr>
          <w:rStyle w:val="Hyperlink.0"/>
        </w:rPr>
        <w:fldChar w:fldCharType="begin" w:fldLock="0"/>
      </w:r>
      <w:r>
        <w:rPr>
          <w:rStyle w:val="Hyperlink.0"/>
        </w:rPr>
        <w:instrText xml:space="preserve"> HYPERLINK "https://papyri.info/ddbdp/p.athen%3B%3B32"</w:instrText>
      </w:r>
      <w:r>
        <w:rPr>
          <w:rStyle w:val="Hyperlink.0"/>
        </w:rPr>
        <w:fldChar w:fldCharType="separate" w:fldLock="0"/>
      </w:r>
      <w:r>
        <w:rPr>
          <w:rStyle w:val="Hyperlink.0"/>
          <w:rtl w:val="0"/>
        </w:rPr>
        <w:t>P.Athen.</w:t>
      </w:r>
      <w:r>
        <w:rPr>
          <w:rStyle w:val="Hyperlink.1"/>
          <w:rtl w:val="0"/>
        </w:rPr>
        <w:t xml:space="preserve"> </w:t>
      </w:r>
      <w:r>
        <w:rPr>
          <w:rStyle w:val="Hyperlink.0"/>
          <w:rtl w:val="0"/>
        </w:rPr>
        <w:t>32</w:t>
      </w:r>
      <w:r>
        <w:rPr/>
        <w:fldChar w:fldCharType="end" w:fldLock="0"/>
      </w:r>
      <w:r>
        <w:rPr>
          <w:rtl w:val="0"/>
        </w:rPr>
        <w:t xml:space="preserve">, Karanis, 39). </w:t>
      </w:r>
    </w:p>
    <w:p>
      <w:pPr>
        <w:pStyle w:val="Body"/>
      </w:pPr>
      <w:r>
        <w:rPr>
          <w:rtl w:val="0"/>
        </w:rPr>
        <w:tab/>
        <w:t xml:space="preserve">The oath was prompted by the assumption of a new leasehold comprising three arouras around the village of Herakleia. For oaths of this type, common to both imperial and public land, cf. </w:t>
      </w:r>
      <w:r>
        <w:rPr>
          <w:rStyle w:val="Hyperlink.0"/>
        </w:rPr>
        <w:fldChar w:fldCharType="begin" w:fldLock="0"/>
      </w:r>
      <w:r>
        <w:rPr>
          <w:rStyle w:val="Hyperlink.0"/>
        </w:rPr>
        <w:instrText xml:space="preserve"> HYPERLINK "https://papyri.info/ddbdp/bgu%3B13%3B2245"</w:instrText>
      </w:r>
      <w:r>
        <w:rPr>
          <w:rStyle w:val="Hyperlink.0"/>
        </w:rPr>
        <w:fldChar w:fldCharType="separate" w:fldLock="0"/>
      </w:r>
      <w:r>
        <w:rPr>
          <w:rStyle w:val="Hyperlink.0"/>
          <w:rtl w:val="0"/>
          <w:lang w:val="de-DE"/>
        </w:rPr>
        <w:t>BGU</w:t>
      </w:r>
      <w:r>
        <w:rPr>
          <w:rStyle w:val="Hyperlink.1"/>
          <w:rtl w:val="0"/>
        </w:rPr>
        <w:t xml:space="preserve"> </w:t>
      </w:r>
      <w:r>
        <w:rPr>
          <w:rStyle w:val="Hyperlink.0"/>
          <w:rtl w:val="0"/>
        </w:rPr>
        <w:t>13 2245</w:t>
      </w:r>
      <w:r>
        <w:rPr/>
        <w:fldChar w:fldCharType="end" w:fldLock="0"/>
      </w:r>
      <w:r>
        <w:rPr>
          <w:rFonts w:ascii="IFAO-Grec Unicode" w:cs="IFAO-Grec Unicode" w:hAnsi="IFAO-Grec Unicode" w:eastAsia="IFAO-Grec Unicode"/>
          <w:b w:val="0"/>
          <w:bCs w:val="0"/>
          <w:i w:val="0"/>
          <w:iCs w:val="0"/>
          <w:vertAlign w:val="superscript"/>
        </w:rPr>
        <w:footnoteReference w:id="3"/>
      </w:r>
      <w:r>
        <w:rPr>
          <w:rtl w:val="0"/>
          <w:lang w:val="pt-PT"/>
        </w:rPr>
        <w:t xml:space="preserve"> (Soknopaiou Nesos, 14</w:t>
      </w:r>
      <w:r>
        <w:rPr>
          <w:rtl w:val="0"/>
        </w:rPr>
        <w:t>–</w:t>
      </w:r>
      <w:r>
        <w:rPr>
          <w:rtl w:val="0"/>
        </w:rPr>
        <w:t xml:space="preserve">37), </w:t>
      </w:r>
      <w:r>
        <w:rPr>
          <w:rStyle w:val="Hyperlink.0"/>
        </w:rPr>
        <w:fldChar w:fldCharType="begin" w:fldLock="0"/>
      </w:r>
      <w:r>
        <w:rPr>
          <w:rStyle w:val="Hyperlink.0"/>
        </w:rPr>
        <w:instrText xml:space="preserve"> HYPERLINK "https://papyri.info/ddbdp/sb%3B30%3B17666"</w:instrText>
      </w:r>
      <w:r>
        <w:rPr>
          <w:rStyle w:val="Hyperlink.0"/>
        </w:rPr>
        <w:fldChar w:fldCharType="separate" w:fldLock="0"/>
      </w:r>
      <w:r>
        <w:rPr>
          <w:rStyle w:val="Hyperlink.0"/>
          <w:rtl w:val="0"/>
        </w:rPr>
        <w:t>SB 30 17666</w:t>
      </w:r>
      <w:r>
        <w:rPr/>
        <w:fldChar w:fldCharType="end" w:fldLock="0"/>
      </w:r>
      <w:r>
        <w:rPr>
          <w:rtl w:val="0"/>
          <w:lang w:val="pt-PT"/>
        </w:rPr>
        <w:t xml:space="preserve"> (Ptolemais Melissourgon, 54), and </w:t>
      </w:r>
      <w:r>
        <w:rPr>
          <w:rStyle w:val="Hyperlink.0"/>
        </w:rPr>
        <w:fldChar w:fldCharType="begin" w:fldLock="0"/>
      </w:r>
      <w:r>
        <w:rPr>
          <w:rStyle w:val="Hyperlink.0"/>
        </w:rPr>
        <w:instrText xml:space="preserve"> HYPERLINK "https://papyri.info/ddbdp/p.mich%3B9%3B545"</w:instrText>
      </w:r>
      <w:r>
        <w:rPr>
          <w:rStyle w:val="Hyperlink.0"/>
        </w:rPr>
        <w:fldChar w:fldCharType="separate" w:fldLock="0"/>
      </w:r>
      <w:r>
        <w:rPr>
          <w:rStyle w:val="Hyperlink.0"/>
          <w:rtl w:val="0"/>
        </w:rPr>
        <w:t>P.Mich.</w:t>
      </w:r>
      <w:r>
        <w:rPr>
          <w:rStyle w:val="Hyperlink.1"/>
          <w:rtl w:val="0"/>
        </w:rPr>
        <w:t xml:space="preserve"> </w:t>
      </w:r>
      <w:r>
        <w:rPr>
          <w:rStyle w:val="Hyperlink.0"/>
          <w:rtl w:val="0"/>
        </w:rPr>
        <w:t>9 545</w:t>
      </w:r>
      <w:r>
        <w:rPr/>
        <w:fldChar w:fldCharType="end" w:fldLock="0"/>
      </w:r>
      <w:r>
        <w:rPr>
          <w:rtl w:val="0"/>
        </w:rPr>
        <w:t xml:space="preserve"> (Karanis, 88/89).</w:t>
      </w:r>
      <w:r>
        <w:rPr>
          <w:rFonts w:ascii="IFAO-Grec Unicode" w:cs="IFAO-Grec Unicode" w:hAnsi="IFAO-Grec Unicode" w:eastAsia="IFAO-Grec Unicode"/>
          <w:b w:val="0"/>
          <w:bCs w:val="0"/>
          <w:i w:val="0"/>
          <w:iCs w:val="0"/>
          <w:vertAlign w:val="superscript"/>
        </w:rPr>
        <w:footnoteReference w:id="4"/>
      </w:r>
      <w:r>
        <w:rPr>
          <w:rtl w:val="0"/>
          <w:lang w:val="en-US"/>
        </w:rPr>
        <w:t xml:space="preserve"> As usual, the oath was written by the local notary. </w:t>
      </w:r>
    </w:p>
    <w:p>
      <w:pPr>
        <w:pStyle w:val="Body"/>
        <w:ind w:firstLine="720"/>
      </w:pPr>
      <w:r>
        <w:rPr>
          <w:rtl w:val="0"/>
          <w:lang w:val="en-US"/>
        </w:rPr>
        <w:t>The papyrus was presumably fo</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0</wp:posOffset>
                </wp:positionH>
                <wp:positionV relativeFrom="page">
                  <wp:posOffset>0</wp:posOffset>
                </wp:positionV>
                <wp:extent cx="1982471" cy="203200"/>
                <wp:effectExtent l="0" t="0" r="0" b="0"/>
                <wp:wrapSquare wrapText="bothSides" distL="152400" distR="152400" distT="152400" distB="152400"/>
                <wp:docPr id="1073741825" name="officeArt object"/>
                <wp:cNvGraphicFramePr/>
                <a:graphic xmlns:a="http://schemas.openxmlformats.org/drawingml/2006/main">
                  <a:graphicData uri="http://schemas.microsoft.com/office/word/2010/wordprocessingShape">
                    <wps:wsp>
                      <wps:cNvSpPr/>
                      <wps:spPr>
                        <a:xfrm>
                          <a:off x="0" y="0"/>
                          <a:ext cx="1982471" cy="203200"/>
                        </a:xfrm>
                        <a:prstGeom prst="rect">
                          <a:avLst/>
                        </a:prstGeom>
                      </wps:spPr>
                      <wps:txbx>
                        <w:txbxContent>
                          <w:tbl>
                            <w:tblPr>
                              <w:tblW w:w="3122" w:type="dxa"/>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22"/>
                            </w:tblGrid>
                            <w:tr>
                              <w:tblPrEx>
                                <w:shd w:val="clear" w:color="auto" w:fill="cdd4e9"/>
                              </w:tblPrEx>
                              <w:trPr>
                                <w:trHeight w:val="212" w:hRule="atLeast"/>
                              </w:trPr>
                              <w:tc>
                                <w:tcPr>
                                  <w:tcW w:type="dxa" w:w="3122"/>
                                  <w:tcBorders>
                                    <w:top w:val="nil"/>
                                    <w:left w:val="nil"/>
                                    <w:bottom w:val="nil"/>
                                    <w:right w:val="nil"/>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P.Lond. 2</w:t>
                                  </w:r>
                                  <w:r>
                                    <w:rPr>
                                      <w:sz w:val="20"/>
                                      <w:szCs w:val="20"/>
                                      <w:shd w:val="nil" w:color="auto" w:fill="auto"/>
                                      <w:rtl w:val="0"/>
                                      <w:lang w:val="en-US"/>
                                    </w:rPr>
                                    <w:t> </w:t>
                                  </w:r>
                                  <w:r>
                                    <w:rPr>
                                      <w:sz w:val="20"/>
                                      <w:szCs w:val="20"/>
                                      <w:shd w:val="nil" w:color="auto" w:fill="auto"/>
                                      <w:rtl w:val="0"/>
                                      <w:lang w:val="en-US"/>
                                    </w:rPr>
                                    <w:t>278 descr.</w:t>
                                  </w:r>
                                </w:p>
                              </w:tc>
                            </w:tr>
                          </w:tbl>
                        </w:txbxContent>
                      </wps:txbx>
                      <wps:bodyPr lIns="0" tIns="0" rIns="0" bIns="0">
                        <a:spAutoFit/>
                      </wps:bodyPr>
                    </wps:wsp>
                  </a:graphicData>
                </a:graphic>
              </wp:anchor>
            </w:drawing>
          </mc:Choice>
          <mc:Fallback>
            <w:pict>
              <v:shape id="_x0000_s1026" type="#_x0000_t202" style="visibility:visible;position:absolute;margin-left:0.0pt;margin-top:0.0pt;width:156.1pt;height:16.0pt;z-index:25165926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3122" w:type="dxa"/>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22"/>
                      </w:tblGrid>
                      <w:tr>
                        <w:tblPrEx>
                          <w:shd w:val="clear" w:color="auto" w:fill="cdd4e9"/>
                        </w:tblPrEx>
                        <w:trPr>
                          <w:trHeight w:val="212" w:hRule="atLeast"/>
                        </w:trPr>
                        <w:tc>
                          <w:tcPr>
                            <w:tcW w:type="dxa" w:w="3122"/>
                            <w:tcBorders>
                              <w:top w:val="nil"/>
                              <w:left w:val="nil"/>
                              <w:bottom w:val="nil"/>
                              <w:right w:val="nil"/>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P.Lond. 2</w:t>
                            </w:r>
                            <w:r>
                              <w:rPr>
                                <w:sz w:val="20"/>
                                <w:szCs w:val="20"/>
                                <w:shd w:val="nil" w:color="auto" w:fill="auto"/>
                                <w:rtl w:val="0"/>
                                <w:lang w:val="en-US"/>
                              </w:rPr>
                              <w:t> </w:t>
                            </w:r>
                            <w:r>
                              <w:rPr>
                                <w:sz w:val="20"/>
                                <w:szCs w:val="20"/>
                                <w:shd w:val="nil" w:color="auto" w:fill="auto"/>
                                <w:rtl w:val="0"/>
                                <w:lang w:val="en-US"/>
                              </w:rPr>
                              <w:t>278 descr.</w:t>
                            </w:r>
                          </w:p>
                        </w:tc>
                      </w:tr>
                    </w:tbl>
                  </w:txbxContent>
                </v:textbox>
                <w10:wrap type="square" side="bothSides" anchorx="page" anchory="page"/>
              </v:shape>
            </w:pict>
          </mc:Fallback>
        </mc:AlternateContent>
      </w:r>
      <w:r>
        <w:rPr>
          <w:rtl w:val="0"/>
          <w:lang w:val="en-US"/>
        </w:rPr>
        <w:t>und in Soknopaiou Nesos, the origin of most documents related to Herakleia and of many papyri that came to London (and elsewhere) in the 1890s.</w:t>
      </w:r>
    </w:p>
    <w:p>
      <w:pPr>
        <w:pStyle w:val="Body"/>
      </w:pP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#editionDDB</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de-DE"/>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Place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Herakleia (Arsinoite nome)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19977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19977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pylon.8.10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Pylon;8;10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tl w:val="0"/>
                <w:lang w:val="en-US"/>
              </w:rPr>
              <w:t>Oath of an Estate Farmer</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Fonts w:ascii="Times New Roman" w:hAnsi="Times New Roman"/>
                <w:rtl w:val="0"/>
                <w:lang w:val="en-US"/>
              </w:rPr>
              <w:t xml:space="preserve">26 Feb. </w:t>
            </w:r>
            <w:r>
              <w:rPr>
                <w:rFonts w:ascii="Times New Roman" w:hAnsi="Times New Roman" w:hint="default"/>
                <w:rtl w:val="0"/>
                <w:lang w:val="en-US"/>
              </w:rPr>
              <w:t xml:space="preserve">– </w:t>
            </w:r>
            <w:r>
              <w:rPr>
                <w:rFonts w:ascii="Times New Roman" w:hAnsi="Times New Roman"/>
                <w:rtl w:val="0"/>
                <w:lang w:val="en-US"/>
              </w:rPr>
              <w:t xml:space="preserve">26 March, 40 CE </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P.Lond. Pap 278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Times New Roman" w:cs="Times New Roman" w:hAnsi="Times New Roman" w:eastAsia="Times New Roman"/>
                <w14:textOutline w14:w="12700" w14:cap="flat">
                  <w14:noFill/>
                  <w14:miter w14:lim="400000"/>
                </w14:textOutline>
              </w:rPr>
              <w:fldChar w:fldCharType="begin" w:fldLock="0"/>
            </w:r>
            <w:r>
              <w:rPr>
                <w:rStyle w:val="Hyperlink.0"/>
                <w:rFonts w:ascii="Times New Roman" w:cs="Times New Roman" w:hAnsi="Times New Roman" w:eastAsia="Times New Roman"/>
                <w14:textOutline w14:w="12700" w14:cap="flat">
                  <w14:noFill/>
                  <w14:miter w14:lim="400000"/>
                </w14:textOutline>
              </w:rPr>
              <w:instrText xml:space="preserve"> HYPERLINK "https://digi.ub.uni-heidelberg.de/diglit/p_g_263"</w:instrText>
            </w:r>
            <w:r>
              <w:rPr>
                <w:rStyle w:val="Hyperlink.0"/>
                <w:rFonts w:ascii="Times New Roman" w:cs="Times New Roman" w:hAnsi="Times New Roman" w:eastAsia="Times New Roman"/>
                <w14:textOutline w14:w="12700" w14:cap="flat">
                  <w14:noFill/>
                  <w14:miter w14:lim="400000"/>
                </w14:textOutline>
              </w:rPr>
              <w:fldChar w:fldCharType="separate" w:fldLock="0"/>
            </w:r>
            <w:r>
              <w:rPr>
                <w:rStyle w:val="Hyperlink.0"/>
                <w:rFonts w:ascii="Times New Roman" w:hAnsi="Times New Roman"/>
                <w:rtl w:val="0"/>
                <w:lang w:val="de-DE"/>
                <w14:textOutline w14:w="12700" w14:cap="flat">
                  <w14:noFill/>
                  <w14:miter w14:lim="400000"/>
                </w14:textOutline>
              </w:rPr>
              <w:t>https://digi.ub.uni-heidelberg.de/diglit/p_g_263</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Eid, Land, Arbeiten, Abgaben</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spacing w:after="160" w:line="259" w:lineRule="auto"/>
        <w:rPr>
          <w:rFonts w:ascii="Times New Roman" w:cs="Times New Roman" w:hAnsi="Times New Roman" w:eastAsia="Times New Roman"/>
          <w:kern w:val="2"/>
          <w:sz w:val="22"/>
          <w:szCs w:val="22"/>
        </w:rPr>
      </w:pPr>
    </w:p>
    <w:p>
      <w:pPr>
        <w:pStyle w:val="Default"/>
        <w:bidi w:val="0"/>
        <w:spacing w:before="0" w:line="240" w:lineRule="auto"/>
        <w:ind w:left="0" w:right="0" w:firstLine="0"/>
        <w:jc w:val="left"/>
        <w:rPr>
          <w:rFonts w:ascii="Times New Roman" w:cs="Times New Roman" w:hAnsi="Times New Roman" w:eastAsia="Times New Roman"/>
          <w:rtl w:val="0"/>
        </w:rPr>
      </w:pPr>
    </w:p>
    <w:p>
      <w:pPr>
        <w:pStyle w:val="Default"/>
        <w:bidi w:val="0"/>
        <w:spacing w:before="0" w:line="240" w:lineRule="auto"/>
        <w:ind w:left="0" w:right="0" w:firstLine="0"/>
        <w:jc w:val="left"/>
        <w:rPr>
          <w:rFonts w:ascii="Times New Roman" w:cs="Times New Roman" w:hAnsi="Times New Roman" w:eastAsia="Times New Roman"/>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3"/>
        <w:gridCol w:w="3113"/>
        <w:gridCol w:w="3114"/>
      </w:tblGrid>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sz w:val="20"/>
                <w:szCs w:val="20"/>
                <w:rtl w:val="0"/>
                <w:lang w:val="en-US"/>
              </w:rPr>
              <w:t>P.Lond. 2</w:t>
            </w:r>
            <w:r>
              <w:rPr>
                <w:sz w:val="20"/>
                <w:szCs w:val="20"/>
                <w:rtl w:val="0"/>
                <w:lang w:val="en-US"/>
              </w:rPr>
              <w:t> </w:t>
            </w:r>
            <w:r>
              <w:rPr>
                <w:sz w:val="20"/>
                <w:szCs w:val="20"/>
                <w:rtl w:val="0"/>
                <w:lang w:val="en-US"/>
              </w:rPr>
              <w:t>278 descr.</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center"/>
            </w:pPr>
            <w:r>
              <w:rPr>
                <w:sz w:val="20"/>
                <w:szCs w:val="20"/>
                <w:shd w:val="nil" w:color="auto" w:fill="auto"/>
                <w:rtl w:val="0"/>
                <w:lang w:val="en-US"/>
              </w:rPr>
              <w:t xml:space="preserve">21 </w:t>
            </w:r>
            <w:r>
              <w:rPr>
                <w:sz w:val="20"/>
                <w:szCs w:val="20"/>
                <w:shd w:val="nil" w:color="auto" w:fill="auto"/>
                <w:rtl w:val="0"/>
                <w:lang w:val="en-US"/>
              </w:rPr>
              <w:t xml:space="preserve">× </w:t>
            </w:r>
            <w:r>
              <w:rPr>
                <w:sz w:val="20"/>
                <w:szCs w:val="20"/>
                <w:shd w:val="nil" w:color="auto" w:fill="auto"/>
                <w:rtl w:val="0"/>
                <w:lang w:val="en-US"/>
              </w:rPr>
              <w:t>11.5 cm</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right"/>
            </w:pPr>
            <w:r>
              <w:rPr>
                <w:rStyle w:val="Hyperlink.2"/>
                <w:sz w:val="20"/>
                <w:szCs w:val="20"/>
              </w:rPr>
              <w:fldChar w:fldCharType="begin" w:fldLock="0"/>
            </w:r>
            <w:r>
              <w:rPr>
                <w:rStyle w:val="Hyperlink.2"/>
                <w:sz w:val="20"/>
                <w:szCs w:val="20"/>
              </w:rPr>
              <w:instrText xml:space="preserve"> HYPERLINK "http://www.trismegistos.org/place/772"</w:instrText>
            </w:r>
            <w:r>
              <w:rPr>
                <w:rStyle w:val="Hyperlink.2"/>
                <w:sz w:val="20"/>
                <w:szCs w:val="20"/>
              </w:rPr>
              <w:fldChar w:fldCharType="separate" w:fldLock="0"/>
            </w:r>
            <w:r>
              <w:rPr>
                <w:rStyle w:val="Hyperlink.2"/>
                <w:sz w:val="20"/>
                <w:szCs w:val="20"/>
                <w:rtl w:val="0"/>
                <w:lang w:val="en-US"/>
              </w:rPr>
              <w:t>Herakleia</w:t>
            </w:r>
            <w:r>
              <w:rPr>
                <w:sz w:val="20"/>
                <w:szCs w:val="20"/>
              </w:rPr>
              <w:fldChar w:fldCharType="end" w:fldLock="0"/>
            </w:r>
            <w:r>
              <w:rPr>
                <w:sz w:val="20"/>
                <w:szCs w:val="20"/>
                <w:shd w:val="nil" w:color="auto" w:fill="auto"/>
                <w:rtl w:val="0"/>
                <w:lang w:val="en-US"/>
              </w:rPr>
              <w:t xml:space="preserve"> (Arsinoite Nome)</w:t>
            </w:r>
          </w:p>
        </w:tc>
      </w:tr>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sz w:val="20"/>
                <w:szCs w:val="20"/>
                <w:shd w:val="nil" w:color="auto" w:fill="auto"/>
                <w:rtl w:val="0"/>
                <w:lang w:val="en-US"/>
              </w:rPr>
              <w:t>Acquired in 1893</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jc w:val="right"/>
            </w:pPr>
            <w:r>
              <w:rPr>
                <w:sz w:val="20"/>
                <w:szCs w:val="20"/>
                <w:shd w:val="nil" w:color="auto" w:fill="auto"/>
                <w:rtl w:val="0"/>
                <w:lang w:val="en-US"/>
              </w:rPr>
              <w:t xml:space="preserve">26 Feb. </w:t>
            </w:r>
            <w:r>
              <w:rPr>
                <w:sz w:val="20"/>
                <w:szCs w:val="20"/>
                <w:shd w:val="nil" w:color="auto" w:fill="auto"/>
                <w:rtl w:val="0"/>
                <w:lang w:val="en-US"/>
              </w:rPr>
              <w:t xml:space="preserve">– </w:t>
            </w:r>
            <w:r>
              <w:rPr>
                <w:sz w:val="20"/>
                <w:szCs w:val="20"/>
                <w:shd w:val="nil" w:color="auto" w:fill="auto"/>
                <w:rtl w:val="0"/>
                <w:lang w:val="en-US"/>
              </w:rPr>
              <w:t xml:space="preserve">26 March, 40 CE </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Default"/>
        <w:bidi w:val="0"/>
        <w:spacing w:before="0" w:line="240" w:lineRule="auto"/>
        <w:ind w:left="0" w:right="0" w:firstLine="0"/>
        <w:jc w:val="left"/>
        <w:rPr>
          <w:rFonts w:ascii="Times New Roman" w:cs="Times New Roman" w:hAnsi="Times New Roman" w:eastAsia="Times New Roman"/>
          <w:rtl w:val="0"/>
        </w:rPr>
      </w:pPr>
    </w:p>
    <w:p>
      <w:pPr>
        <w:pStyle w:val="Body"/>
      </w:pPr>
    </w:p>
    <w:p>
      <w:pPr>
        <w:pStyle w:val="Body"/>
        <w:widowControl w:val="0"/>
      </w:pPr>
    </w:p>
    <w:p>
      <w:pPr>
        <w:pStyle w:val="Body"/>
        <w:widowControl w:val="0"/>
      </w:pPr>
    </w:p>
    <w:p>
      <w:pPr>
        <w:pStyle w:val="Body"/>
        <w:widowControl w:val="0"/>
      </w:pPr>
    </w:p>
    <w:p>
      <w:pPr>
        <w:pStyle w:val="Body"/>
      </w:pPr>
      <w:r>
        <w:rPr>
          <w:rtl w:val="0"/>
        </w:rPr>
        <w:tab/>
        <w:t>The sheet is nearly complete in its outer dimensions, missing only a presumed left margin. Margins remain at the top and bottom, while the preserved line ends usually reach the right edge with the help of extended final strokes or space fillers. The papyrus is framed on paper, so the back has not been seen. The document is written by the anonymous notary of Herakleia in a quick, professional hand with unexceptional orthography.</w:t>
      </w:r>
    </w:p>
    <w:p>
      <w:pPr>
        <w:pStyle w:val="Body"/>
      </w:pPr>
    </w:p>
    <w:p>
      <w:pPr>
        <w:pStyle w:val="Body"/>
      </w:pPr>
      <w:r>
        <w:rPr>
          <w:rtl w:val="0"/>
          <w:lang w:val="de-DE"/>
        </w:rPr>
        <w:t>#text</w:t>
      </w:r>
    </w:p>
    <w:p>
      <w:pPr>
        <w:pStyle w:val="Body"/>
      </w:pPr>
      <w:r>
        <w:rPr>
          <w:rtl w:val="0"/>
        </w:rPr>
        <w:t>&lt;S=.grc</w:t>
      </w:r>
    </w:p>
    <w:p>
      <w:pPr>
        <w:pStyle w:val="Body"/>
      </w:pPr>
      <w:r>
        <w:rPr>
          <w:rtl w:val="0"/>
        </w:rPr>
        <w:t>&lt;=</w:t>
      </w:r>
    </w:p>
    <w:p>
      <w:pPr>
        <w:pStyle w:val="Body"/>
      </w:pPr>
      <w:r>
        <w:rPr>
          <w:rtl w:val="0"/>
        </w:rPr>
        <w:t>1. .8</w:t>
      </w:r>
      <w:r>
        <w:rPr>
          <w:rtl w:val="0"/>
        </w:rPr>
        <w:t xml:space="preserve">ε̣ο̣ς ὡς </w:t>
      </w:r>
      <w:r>
        <w:rPr>
          <w:rtl w:val="0"/>
        </w:rPr>
        <w:t>((</w:t>
      </w:r>
      <w:r>
        <w:rPr>
          <w:rtl w:val="0"/>
        </w:rPr>
        <w:t>ἐτῶν</w:t>
      </w:r>
      <w:r>
        <w:rPr>
          <w:rtl w:val="0"/>
          <w:lang w:val="en-US"/>
        </w:rPr>
        <w:t>)) &lt;#</w:t>
      </w:r>
      <w:r>
        <w:rPr>
          <w:rtl w:val="0"/>
        </w:rPr>
        <w:t>ν</w:t>
      </w:r>
      <w:r>
        <w:rPr>
          <w:rtl w:val="0"/>
        </w:rPr>
        <w:t>=50#&gt; (</w:t>
      </w:r>
      <w:r>
        <w:rPr>
          <w:rtl w:val="0"/>
        </w:rPr>
        <w:t>ο̣ὐ</w:t>
      </w:r>
      <w:r>
        <w:rPr>
          <w:rtl w:val="0"/>
        </w:rPr>
        <w:t>(</w:t>
      </w:r>
      <w:r>
        <w:rPr>
          <w:rtl w:val="0"/>
        </w:rPr>
        <w:t>λὴ</w:t>
      </w:r>
      <w:r>
        <w:rPr>
          <w:rtl w:val="0"/>
        </w:rPr>
        <w:t>)) (</w:t>
      </w:r>
      <w:r>
        <w:rPr>
          <w:rtl w:val="0"/>
        </w:rPr>
        <w:t>ἀντικ</w:t>
      </w:r>
      <w:r>
        <w:rPr>
          <w:rtl w:val="0"/>
        </w:rPr>
        <w:t>(</w:t>
      </w:r>
      <w:r>
        <w:rPr>
          <w:rtl w:val="0"/>
        </w:rPr>
        <w:t>νημίῳ</w:t>
      </w:r>
      <w:r>
        <w:rPr>
          <w:rtl w:val="0"/>
        </w:rPr>
        <w:t xml:space="preserve">)) </w:t>
      </w:r>
      <w:r>
        <w:rPr>
          <w:rtl w:val="0"/>
        </w:rPr>
        <w:t>ἀριστ̣ε̣ρ̣ῷ</w:t>
      </w:r>
    </w:p>
    <w:p>
      <w:pPr>
        <w:pStyle w:val="Body"/>
      </w:pPr>
      <w:r>
        <w:rPr>
          <w:rtl w:val="0"/>
        </w:rPr>
        <w:t>1. vac.1lin</w:t>
      </w:r>
    </w:p>
    <w:p>
      <w:pPr>
        <w:pStyle w:val="Body"/>
      </w:pPr>
      <w:r>
        <w:rPr>
          <w:rtl w:val="0"/>
        </w:rPr>
        <w:t xml:space="preserve">2. </w:t>
      </w:r>
      <w:r>
        <w:rPr>
          <w:rtl w:val="0"/>
        </w:rPr>
        <w:t>Π̣αν̣εὺς̣ Π̣</w:t>
      </w:r>
      <w:r>
        <w:rPr>
          <w:rtl w:val="0"/>
        </w:rPr>
        <w:t>.2</w:t>
      </w:r>
      <w:r>
        <w:rPr>
          <w:rtl w:val="0"/>
        </w:rPr>
        <w:t>εος τῶν ἀπὸ Ἡρακλείας τοῖς̣ πα̣ρ̣ὰ</w:t>
      </w:r>
    </w:p>
    <w:p>
      <w:pPr>
        <w:pStyle w:val="Body"/>
      </w:pPr>
      <w:r>
        <w:rPr>
          <w:rtl w:val="0"/>
        </w:rPr>
        <w:t xml:space="preserve">3. </w:t>
      </w:r>
      <w:r>
        <w:rPr>
          <w:rtl w:val="0"/>
        </w:rPr>
        <w:t>Πρόβου Τυράννου Γαίου Καίσαρος Σεβαστοῦ Γερμ̣</w:t>
      </w:r>
      <w:r>
        <w:rPr>
          <w:rtl w:val="0"/>
          <w:lang w:val="pt-PT"/>
        </w:rPr>
        <w:t>[</w:t>
      </w:r>
      <w:r>
        <w:rPr>
          <w:rtl w:val="0"/>
        </w:rPr>
        <w:t>ανικοῦ·</w:t>
      </w:r>
      <w:r>
        <w:rPr>
          <w:rtl w:val="0"/>
          <w:lang w:val="pt-PT"/>
        </w:rPr>
        <w:t>]</w:t>
      </w:r>
    </w:p>
    <w:p>
      <w:pPr>
        <w:pStyle w:val="Body"/>
      </w:pPr>
      <w:r>
        <w:rPr>
          <w:rtl w:val="0"/>
        </w:rPr>
        <w:t xml:space="preserve">4. </w:t>
      </w:r>
      <w:r>
        <w:rPr>
          <w:rtl w:val="0"/>
        </w:rPr>
        <w:t>ὀμνύ̣</w:t>
      </w:r>
      <w:r>
        <w:rPr>
          <w:rtl w:val="0"/>
          <w:lang w:val="pt-PT"/>
        </w:rPr>
        <w:t>[</w:t>
      </w:r>
      <w:r>
        <w:rPr>
          <w:rtl w:val="0"/>
        </w:rPr>
        <w:t>ω</w:t>
      </w:r>
      <w:r>
        <w:rPr>
          <w:rtl w:val="0"/>
          <w:lang w:val="pt-PT"/>
        </w:rPr>
        <w:t xml:space="preserve">] </w:t>
      </w:r>
      <w:r>
        <w:rPr>
          <w:rtl w:val="0"/>
        </w:rPr>
        <w:t>Γ̣</w:t>
      </w:r>
      <w:r>
        <w:rPr>
          <w:rtl w:val="0"/>
          <w:lang w:val="pt-PT"/>
        </w:rPr>
        <w:t>[</w:t>
      </w:r>
      <w:r>
        <w:rPr>
          <w:rtl w:val="0"/>
        </w:rPr>
        <w:t>ά</w:t>
      </w:r>
      <w:r>
        <w:rPr>
          <w:rtl w:val="0"/>
          <w:lang w:val="pt-PT"/>
        </w:rPr>
        <w:t>]</w:t>
      </w:r>
      <w:r>
        <w:rPr>
          <w:rtl w:val="0"/>
        </w:rPr>
        <w:t>ι̣ον Καίσαρα Σεβαστὸν Γερμανικὸν εἶ μὴν</w:t>
      </w:r>
    </w:p>
    <w:p>
      <w:pPr>
        <w:pStyle w:val="Body"/>
      </w:pPr>
      <w:r>
        <w:rPr>
          <w:rtl w:val="0"/>
        </w:rPr>
        <w:t>5. &lt;:</w:t>
      </w:r>
      <w:r>
        <w:rPr>
          <w:rtl w:val="0"/>
        </w:rPr>
        <w:t>γεωργήσειν</w:t>
      </w:r>
      <w:r>
        <w:rPr>
          <w:rtl w:val="0"/>
        </w:rPr>
        <w:t>|reg|([</w:t>
      </w:r>
      <w:r>
        <w:rPr>
          <w:rtl w:val="0"/>
        </w:rPr>
        <w:t>γεωρ</w:t>
      </w:r>
      <w:r>
        <w:rPr>
          <w:rtl w:val="0"/>
          <w:lang w:val="pt-PT"/>
        </w:rPr>
        <w:t>]</w:t>
      </w:r>
      <w:r>
        <w:rPr>
          <w:rtl w:val="0"/>
        </w:rPr>
        <w:t>γ̣ήσι</w:t>
      </w:r>
      <w:r>
        <w:rPr>
          <w:rtl w:val="0"/>
        </w:rPr>
        <w:t>(</w:t>
      </w:r>
      <w:r>
        <w:rPr>
          <w:rtl w:val="0"/>
        </w:rPr>
        <w:t>ν</w:t>
      </w:r>
      <w:r>
        <w:rPr>
          <w:rtl w:val="0"/>
          <w:lang w:val="en-US"/>
        </w:rPr>
        <w:t xml:space="preserve">)):&gt; </w:t>
      </w:r>
      <w:r>
        <w:rPr>
          <w:rtl w:val="0"/>
        </w:rPr>
        <w:t>ἀπὸ τοῦ ἐνεστῶ̣</w:t>
      </w:r>
      <w:r>
        <w:rPr>
          <w:rtl w:val="0"/>
          <w:lang w:val="pt-PT"/>
        </w:rPr>
        <w:t>[</w:t>
      </w:r>
      <w:r>
        <w:rPr>
          <w:rtl w:val="0"/>
        </w:rPr>
        <w:t>τος</w:t>
      </w:r>
      <w:r>
        <w:rPr>
          <w:rtl w:val="0"/>
          <w:lang w:val="pt-PT"/>
        </w:rPr>
        <w:t xml:space="preserve">] </w:t>
      </w:r>
      <w:r>
        <w:rPr>
          <w:rtl w:val="0"/>
        </w:rPr>
        <w:t>τετάρτου ἔ</w:t>
      </w:r>
      <w:r>
        <w:rPr>
          <w:rtl w:val="0"/>
          <w:lang w:val="pt-PT"/>
        </w:rPr>
        <w:t>[</w:t>
      </w:r>
      <w:r>
        <w:rPr>
          <w:rtl w:val="0"/>
        </w:rPr>
        <w:t>τ</w:t>
      </w:r>
      <w:r>
        <w:rPr>
          <w:rtl w:val="0"/>
          <w:lang w:val="pt-PT"/>
        </w:rPr>
        <w:t>]</w:t>
      </w:r>
      <w:r>
        <w:rPr>
          <w:rtl w:val="0"/>
        </w:rPr>
        <w:t>ους Γαίου</w:t>
      </w:r>
    </w:p>
    <w:p>
      <w:pPr>
        <w:pStyle w:val="Body"/>
      </w:pPr>
      <w:r>
        <w:rPr>
          <w:rtl w:val="0"/>
        </w:rPr>
        <w:t xml:space="preserve">6. </w:t>
      </w:r>
      <w:r>
        <w:rPr>
          <w:rtl w:val="0"/>
        </w:rPr>
        <w:t>Καίσαρο</w:t>
      </w:r>
      <w:r>
        <w:rPr>
          <w:rtl w:val="0"/>
          <w:lang w:val="pt-PT"/>
        </w:rPr>
        <w:t>[</w:t>
      </w:r>
      <w:r>
        <w:rPr>
          <w:rtl w:val="0"/>
        </w:rPr>
        <w:t>ς</w:t>
      </w:r>
      <w:r>
        <w:rPr>
          <w:rtl w:val="0"/>
          <w:lang w:val="pt-PT"/>
        </w:rPr>
        <w:t xml:space="preserve">] </w:t>
      </w:r>
      <w:r>
        <w:rPr>
          <w:rtl w:val="0"/>
        </w:rPr>
        <w:t>Σ</w:t>
      </w:r>
      <w:r>
        <w:rPr>
          <w:rtl w:val="0"/>
          <w:lang w:val="pt-PT"/>
        </w:rPr>
        <w:t>[</w:t>
      </w:r>
      <w:r>
        <w:rPr>
          <w:rtl w:val="0"/>
        </w:rPr>
        <w:t>εβ</w:t>
      </w:r>
      <w:r>
        <w:rPr>
          <w:rtl w:val="0"/>
          <w:lang w:val="pt-PT"/>
        </w:rPr>
        <w:t>]</w:t>
      </w:r>
      <w:r>
        <w:rPr>
          <w:rtl w:val="0"/>
        </w:rPr>
        <w:t>αστοῦ Γερμανικοῦ ἀπὸ τῶν περὶ τὴν</w:t>
      </w:r>
    </w:p>
    <w:p>
      <w:pPr>
        <w:pStyle w:val="Body"/>
      </w:pPr>
      <w:r>
        <w:rPr>
          <w:rtl w:val="0"/>
        </w:rPr>
        <w:t xml:space="preserve">7. </w:t>
      </w:r>
      <w:r>
        <w:rPr>
          <w:rtl w:val="0"/>
        </w:rPr>
        <w:t>π̣ρογεγρα</w:t>
      </w:r>
      <w:r>
        <w:rPr>
          <w:rtl w:val="0"/>
          <w:lang w:val="pt-PT"/>
        </w:rPr>
        <w:t>[</w:t>
      </w:r>
      <w:r>
        <w:rPr>
          <w:rtl w:val="0"/>
        </w:rPr>
        <w:t>μ</w:t>
      </w:r>
      <w:r>
        <w:rPr>
          <w:rtl w:val="0"/>
          <w:lang w:val="pt-PT"/>
        </w:rPr>
        <w:t>]</w:t>
      </w:r>
      <w:r>
        <w:rPr>
          <w:rtl w:val="0"/>
        </w:rPr>
        <w:t>μέν̣η̣ν κώμην τῆς Γαίου Καίσαρος Σεβαστοῦ</w:t>
      </w:r>
    </w:p>
    <w:p>
      <w:pPr>
        <w:pStyle w:val="Body"/>
      </w:pPr>
      <w:r>
        <w:rPr>
          <w:rtl w:val="0"/>
        </w:rPr>
        <w:t xml:space="preserve">8. </w:t>
      </w:r>
      <w:r>
        <w:rPr>
          <w:rtl w:val="0"/>
        </w:rPr>
        <w:t>Γ̣ε̣ρμ̣α̣νικ̣ο̣ῦ̣ οὐ̣σ̣ί̣ας πρότερον Διονυσοδώρου ἐδαφῶν</w:t>
      </w:r>
    </w:p>
    <w:p>
      <w:pPr>
        <w:pStyle w:val="Body"/>
      </w:pPr>
      <w:r>
        <w:rPr>
          <w:rtl w:val="0"/>
        </w:rPr>
        <w:t xml:space="preserve">9. </w:t>
      </w:r>
      <w:r>
        <w:rPr>
          <w:rtl w:val="0"/>
        </w:rPr>
        <w:t>ἀ̣ρ̣ο̣ύ̣ρας̣ τ̣ρεῖς ὑπὲρ ὧν̣ ποιήσομαι τὰ κα̣θ̣ήκοντα</w:t>
      </w:r>
    </w:p>
    <w:p>
      <w:pPr>
        <w:pStyle w:val="Body"/>
      </w:pPr>
      <w:r>
        <w:rPr>
          <w:rtl w:val="0"/>
        </w:rPr>
        <w:t xml:space="preserve">10. </w:t>
      </w:r>
      <w:r>
        <w:rPr>
          <w:rtl w:val="0"/>
        </w:rPr>
        <w:t xml:space="preserve">γ̣ε̣ωργικὰ ἔργα πάντα ἐκ τοῦ ἰδίου </w:t>
      </w:r>
      <w:r>
        <w:rPr>
          <w:rtl w:val="0"/>
        </w:rPr>
        <w:t>(</w:t>
      </w:r>
      <w:r>
        <w:rPr>
          <w:rtl w:val="0"/>
        </w:rPr>
        <w:t>κα</w:t>
      </w:r>
      <w:r>
        <w:rPr>
          <w:rtl w:val="0"/>
        </w:rPr>
        <w:t>(</w:t>
      </w:r>
      <w:r>
        <w:rPr>
          <w:rtl w:val="0"/>
        </w:rPr>
        <w:t>ὶ</w:t>
      </w:r>
      <w:r>
        <w:rPr>
          <w:rtl w:val="0"/>
        </w:rPr>
        <w:t xml:space="preserve">)) </w:t>
      </w:r>
      <w:r>
        <w:rPr>
          <w:rtl w:val="0"/>
        </w:rPr>
        <w:t>λήμψομαι τὰ ὑ</w:t>
      </w:r>
    </w:p>
    <w:p>
      <w:pPr>
        <w:pStyle w:val="Body"/>
      </w:pPr>
      <w:r>
        <w:rPr>
          <w:rtl w:val="0"/>
        </w:rPr>
        <w:t xml:space="preserve">11.- </w:t>
      </w:r>
      <w:r>
        <w:rPr>
          <w:rtl w:val="0"/>
        </w:rPr>
        <w:t xml:space="preserve">π̣ὲ̣ρ αὐτῶ̣ν σπέρματα καὶ </w:t>
      </w:r>
      <w:r>
        <w:rPr>
          <w:rtl w:val="0"/>
        </w:rPr>
        <w:t>&lt;:</w:t>
      </w:r>
      <w:r>
        <w:rPr>
          <w:rtl w:val="0"/>
        </w:rPr>
        <w:t>μετρήσω</w:t>
      </w:r>
      <w:r>
        <w:rPr>
          <w:rtl w:val="0"/>
        </w:rPr>
        <w:t>|reg|</w:t>
      </w:r>
      <w:r>
        <w:rPr>
          <w:rtl w:val="0"/>
        </w:rPr>
        <w:t>μετρήσωι</w:t>
      </w:r>
      <w:r>
        <w:rPr>
          <w:rtl w:val="0"/>
          <w:lang w:val="en-US"/>
        </w:rPr>
        <w:t xml:space="preserve">:&gt; </w:t>
      </w:r>
      <w:r>
        <w:rPr>
          <w:rtl w:val="0"/>
        </w:rPr>
        <w:t xml:space="preserve">τὰ </w:t>
      </w:r>
      <w:r>
        <w:rPr>
          <w:rtl w:val="0"/>
        </w:rPr>
        <w:t>&lt;:</w:t>
      </w:r>
      <w:r>
        <w:rPr>
          <w:rtl w:val="0"/>
        </w:rPr>
        <w:t>εἰθισμένα</w:t>
      </w:r>
      <w:r>
        <w:rPr>
          <w:rtl w:val="0"/>
        </w:rPr>
        <w:t>|reg|</w:t>
      </w:r>
      <w:r>
        <w:rPr>
          <w:rtl w:val="0"/>
        </w:rPr>
        <w:t>ἠθισμένα</w:t>
      </w:r>
      <w:r>
        <w:rPr>
          <w:rtl w:val="0"/>
          <w:lang w:val="en-US"/>
        </w:rPr>
        <w:t>:&gt;</w:t>
      </w:r>
    </w:p>
    <w:p>
      <w:pPr>
        <w:pStyle w:val="Body"/>
      </w:pPr>
      <w:r>
        <w:rPr>
          <w:rtl w:val="0"/>
        </w:rPr>
        <w:t xml:space="preserve">12. </w:t>
      </w:r>
      <w:r>
        <w:rPr>
          <w:rtl w:val="0"/>
        </w:rPr>
        <w:t>ὑ̣π̣ὲ̣ρ̣ α̣ὐ̣τ̣ῶ̣</w:t>
      </w:r>
      <w:r>
        <w:rPr>
          <w:rtl w:val="0"/>
          <w:lang w:val="pt-PT"/>
        </w:rPr>
        <w:t>[</w:t>
      </w:r>
      <w:r>
        <w:rPr>
          <w:rtl w:val="0"/>
        </w:rPr>
        <w:t>ν</w:t>
      </w:r>
      <w:r>
        <w:rPr>
          <w:rtl w:val="0"/>
          <w:lang w:val="pt-PT"/>
        </w:rPr>
        <w:t xml:space="preserve">] </w:t>
      </w:r>
      <w:r>
        <w:rPr>
          <w:rtl w:val="0"/>
        </w:rPr>
        <w:t>ἐ̣κφόρια καὶ προσμετρούμενα κα</w:t>
      </w:r>
      <w:r>
        <w:rPr>
          <w:rtl w:val="0"/>
          <w:lang w:val="pt-PT"/>
        </w:rPr>
        <w:t>.1[ca.5]</w:t>
      </w:r>
    </w:p>
    <w:p>
      <w:pPr>
        <w:pStyle w:val="Body"/>
      </w:pPr>
      <w:r>
        <w:rPr>
          <w:rtl w:val="0"/>
          <w:lang w:val="pt-PT"/>
        </w:rPr>
        <w:t xml:space="preserve">13. [.1].5[.3] </w:t>
      </w:r>
      <w:r>
        <w:rPr>
          <w:rtl w:val="0"/>
        </w:rPr>
        <w:t xml:space="preserve">τ̣ὴ̣ν̣ </w:t>
      </w:r>
      <w:r>
        <w:rPr>
          <w:rtl w:val="0"/>
        </w:rPr>
        <w:t>&lt;:</w:t>
      </w:r>
      <w:r>
        <w:rPr>
          <w:rtl w:val="0"/>
        </w:rPr>
        <w:t>γεωργίαν</w:t>
      </w:r>
      <w:r>
        <w:rPr>
          <w:rtl w:val="0"/>
        </w:rPr>
        <w:t>|reg|</w:t>
      </w:r>
      <w:r>
        <w:rPr>
          <w:rtl w:val="0"/>
        </w:rPr>
        <w:t>γεωργείαν</w:t>
      </w:r>
      <w:r>
        <w:rPr>
          <w:rtl w:val="0"/>
          <w:lang w:val="en-US"/>
        </w:rPr>
        <w:t xml:space="preserve">:&gt;. </w:t>
      </w:r>
      <w:r>
        <w:rPr>
          <w:rtl w:val="0"/>
        </w:rPr>
        <w:t>εὐορκοῦ̣ν̣τ̣</w:t>
      </w:r>
      <w:r>
        <w:rPr>
          <w:rtl w:val="0"/>
          <w:lang w:val="pt-PT"/>
        </w:rPr>
        <w:t>[</w:t>
      </w:r>
      <w:r>
        <w:rPr>
          <w:rtl w:val="0"/>
        </w:rPr>
        <w:t>ι μέν μοι</w:t>
      </w:r>
      <w:r>
        <w:rPr>
          <w:rtl w:val="0"/>
          <w:lang w:val="pt-PT"/>
        </w:rPr>
        <w:t xml:space="preserve">] </w:t>
      </w:r>
    </w:p>
    <w:p>
      <w:pPr>
        <w:pStyle w:val="Body"/>
      </w:pPr>
      <w:r>
        <w:rPr>
          <w:rtl w:val="0"/>
        </w:rPr>
        <w:t xml:space="preserve">14. </w:t>
      </w:r>
      <w:r>
        <w:rPr>
          <w:rtl w:val="0"/>
        </w:rPr>
        <w:t>ε̣ὖ̣ ε̣ἴ̣η̣</w:t>
      </w:r>
      <w:r>
        <w:rPr>
          <w:rtl w:val="0"/>
        </w:rPr>
        <w:t xml:space="preserve">, </w:t>
      </w:r>
      <w:r>
        <w:rPr>
          <w:rtl w:val="0"/>
        </w:rPr>
        <w:t>ἐ̣φ̣ι̣ορκοῦντι δὲ τὰ ἐναντία</w:t>
      </w:r>
      <w:r>
        <w:rPr>
          <w:rtl w:val="0"/>
        </w:rPr>
        <w:t xml:space="preserve">. </w:t>
      </w:r>
      <w:r>
        <w:rPr>
          <w:rtl w:val="0"/>
        </w:rPr>
        <w:t xml:space="preserve">ἔγραψε </w:t>
      </w:r>
      <w:r>
        <w:rPr>
          <w:rtl w:val="0"/>
          <w:lang w:val="pt-PT"/>
        </w:rPr>
        <w:t>[</w:t>
      </w:r>
      <w:r>
        <w:rPr>
          <w:rtl w:val="0"/>
        </w:rPr>
        <w:t>ὑπὲρ αὐτοῦ</w:t>
      </w:r>
      <w:r>
        <w:rPr>
          <w:rtl w:val="0"/>
          <w:lang w:val="pt-PT"/>
        </w:rPr>
        <w:t>]</w:t>
      </w:r>
    </w:p>
    <w:p>
      <w:pPr>
        <w:pStyle w:val="Body"/>
      </w:pPr>
      <w:r>
        <w:rPr>
          <w:rtl w:val="0"/>
        </w:rPr>
        <w:t xml:space="preserve">15. </w:t>
      </w:r>
      <w:r>
        <w:rPr>
          <w:rtl w:val="0"/>
        </w:rPr>
        <w:t xml:space="preserve">ὁ </w:t>
      </w:r>
      <w:r>
        <w:rPr>
          <w:rtl w:val="0"/>
          <w:lang w:val="pt-PT"/>
        </w:rPr>
        <w:t>[</w:t>
      </w:r>
      <w:r>
        <w:rPr>
          <w:rtl w:val="0"/>
        </w:rPr>
        <w:t>τῆ</w:t>
      </w:r>
      <w:r>
        <w:rPr>
          <w:rtl w:val="0"/>
          <w:lang w:val="pt-PT"/>
        </w:rPr>
        <w:t>]</w:t>
      </w:r>
      <w:r>
        <w:rPr>
          <w:rtl w:val="0"/>
        </w:rPr>
        <w:t xml:space="preserve">ς̣ Ἡρακλ̣είας νο̣μ̣ο̣γ̣ρ̣ά̣φ̣ο̣ς </w:t>
      </w:r>
      <w:r>
        <w:rPr>
          <w:rtl w:val="0"/>
          <w:lang w:val="pt-PT"/>
        </w:rPr>
        <w:t>[</w:t>
      </w:r>
      <w:r>
        <w:rPr>
          <w:rtl w:val="0"/>
        </w:rPr>
        <w:t>διὰ</w:t>
      </w:r>
      <w:r>
        <w:rPr>
          <w:rtl w:val="0"/>
          <w:lang w:val="pt-PT"/>
        </w:rPr>
        <w:t xml:space="preserve">] </w:t>
      </w:r>
      <w:r>
        <w:rPr>
          <w:rtl w:val="0"/>
        </w:rPr>
        <w:t xml:space="preserve">τ̣ὸ̣ </w:t>
      </w:r>
      <w:r>
        <w:rPr>
          <w:rtl w:val="0"/>
          <w:lang w:val="pt-PT"/>
        </w:rPr>
        <w:t>[</w:t>
      </w:r>
      <w:r>
        <w:rPr>
          <w:rtl w:val="0"/>
        </w:rPr>
        <w:t>μὴ εἰδέναι</w:t>
      </w:r>
      <w:r>
        <w:rPr>
          <w:rtl w:val="0"/>
          <w:lang w:val="pt-PT"/>
        </w:rPr>
        <w:t>]</w:t>
      </w:r>
    </w:p>
    <w:p>
      <w:pPr>
        <w:pStyle w:val="Body"/>
      </w:pPr>
      <w:r>
        <w:rPr>
          <w:rtl w:val="0"/>
        </w:rPr>
        <w:t xml:space="preserve">16. </w:t>
      </w:r>
      <w:r>
        <w:rPr>
          <w:rtl w:val="0"/>
        </w:rPr>
        <w:t>α̣ὐ̣τὸν γράμματα</w:t>
      </w:r>
      <w:r>
        <w:rPr>
          <w:rtl w:val="0"/>
        </w:rPr>
        <w:t>. ((</w:t>
      </w:r>
      <w:r>
        <w:rPr>
          <w:rtl w:val="0"/>
        </w:rPr>
        <w:t>ἔτους</w:t>
      </w:r>
      <w:r>
        <w:rPr>
          <w:rtl w:val="0"/>
        </w:rPr>
        <w:t xml:space="preserve">)) </w:t>
      </w:r>
      <w:r>
        <w:rPr>
          <w:rtl w:val="0"/>
        </w:rPr>
        <w:t>δ Γαίου Καίσαρο</w:t>
      </w:r>
      <w:r>
        <w:rPr>
          <w:rtl w:val="0"/>
          <w:lang w:val="pt-PT"/>
        </w:rPr>
        <w:t>[</w:t>
      </w:r>
      <w:r>
        <w:rPr>
          <w:rtl w:val="0"/>
        </w:rPr>
        <w:t>ς Σεβαστοῦ</w:t>
      </w:r>
      <w:r>
        <w:rPr>
          <w:rtl w:val="0"/>
          <w:lang w:val="pt-PT"/>
        </w:rPr>
        <w:t>]</w:t>
      </w:r>
    </w:p>
    <w:p>
      <w:pPr>
        <w:pStyle w:val="Body"/>
      </w:pPr>
      <w:r>
        <w:rPr>
          <w:rtl w:val="0"/>
          <w:lang w:val="pt-PT"/>
        </w:rPr>
        <w:t>17. [</w:t>
      </w:r>
      <w:r>
        <w:rPr>
          <w:rtl w:val="0"/>
        </w:rPr>
        <w:t>Γερμανικοῦ</w:t>
      </w:r>
      <w:r>
        <w:rPr>
          <w:rtl w:val="0"/>
          <w:lang w:val="pt-PT"/>
        </w:rPr>
        <w:t>] (</w:t>
      </w:r>
      <w:r>
        <w:rPr>
          <w:rtl w:val="0"/>
        </w:rPr>
        <w:t>μηνὸ</w:t>
      </w:r>
      <w:r>
        <w:rPr>
          <w:rtl w:val="0"/>
        </w:rPr>
        <w:t>(</w:t>
      </w:r>
      <w:r>
        <w:rPr>
          <w:rtl w:val="0"/>
        </w:rPr>
        <w:t>ς</w:t>
      </w:r>
      <w:r>
        <w:rPr>
          <w:rtl w:val="0"/>
        </w:rPr>
        <w:t xml:space="preserve">)) </w:t>
      </w:r>
      <w:r>
        <w:rPr>
          <w:rtl w:val="0"/>
        </w:rPr>
        <w:t xml:space="preserve">Γ̣α̣ί̣ο̣υ Σ̣ε̣β̣αστοῦ </w:t>
      </w:r>
      <w:r>
        <w:rPr>
          <w:rtl w:val="0"/>
          <w:lang w:val="pt-PT"/>
        </w:rPr>
        <w:t>[.2.]</w:t>
      </w:r>
    </w:p>
    <w:p>
      <w:pPr>
        <w:pStyle w:val="Body"/>
      </w:pPr>
      <w:r>
        <w:rPr>
          <w:rtl w:val="0"/>
          <w:lang w:val="en-US"/>
        </w:rPr>
        <w:t>=&gt;</w:t>
      </w:r>
    </w:p>
    <w:p>
      <w:pPr>
        <w:pStyle w:val="Body"/>
      </w:pPr>
    </w:p>
    <w:p>
      <w:pPr>
        <w:pStyle w:val="Body"/>
        <w:rPr>
          <w:sz w:val="20"/>
          <w:szCs w:val="20"/>
        </w:rPr>
      </w:pPr>
      <w:r>
        <w:rPr>
          <w:rtl w:val="0"/>
          <w:lang w:val="de-DE"/>
        </w:rPr>
        <w:t>#translation</w:t>
      </w:r>
    </w:p>
    <w:p>
      <w:pPr>
        <w:pStyle w:val="Body"/>
        <w:rPr>
          <w:rFonts w:ascii="Times New Roman" w:cs="Times New Roman" w:hAnsi="Times New Roman" w:eastAsia="Times New Roman"/>
        </w:rPr>
      </w:pPr>
      <w:r>
        <w:rPr>
          <w:rFonts w:ascii="Times New Roman" w:hAnsi="Times New Roman"/>
          <w:rtl w:val="0"/>
        </w:rPr>
        <w:t>&lt;T=.en</w:t>
      </w:r>
    </w:p>
    <w:p>
      <w:pPr>
        <w:pStyle w:val="Body"/>
        <w:rPr>
          <w:rFonts w:ascii="Times New Roman" w:cs="Times New Roman" w:hAnsi="Times New Roman" w:eastAsia="Times New Roman"/>
        </w:rPr>
      </w:pPr>
      <w:r>
        <w:rPr>
          <w:rFonts w:ascii="Times New Roman" w:hAnsi="Times New Roman"/>
          <w:rtl w:val="0"/>
        </w:rPr>
        <w:t>&lt;=</w:t>
      </w:r>
    </w:p>
    <w:p>
      <w:pPr>
        <w:pStyle w:val="Body"/>
      </w:pPr>
      <w:r>
        <w:rPr>
          <w:rtl w:val="0"/>
        </w:rPr>
        <w:t xml:space="preserve">“ … </w:t>
      </w:r>
      <w:r>
        <w:rPr>
          <w:rtl w:val="0"/>
          <w:lang w:val="en-US"/>
        </w:rPr>
        <w:t>about 50 years old, mark on his left shin.</w:t>
      </w:r>
    </w:p>
    <w:p>
      <w:pPr>
        <w:pStyle w:val="Body"/>
      </w:pPr>
      <w:r>
        <w:rPr>
          <w:rtl w:val="0"/>
          <w:lang w:val="en-US"/>
        </w:rPr>
        <w:t xml:space="preserve">Paneus son of </w:t>
      </w:r>
      <w:r>
        <w:rPr>
          <w:rtl w:val="0"/>
        </w:rPr>
        <w:t xml:space="preserve">… </w:t>
      </w:r>
      <w:r>
        <w:rPr>
          <w:rtl w:val="0"/>
          <w:lang w:val="en-US"/>
        </w:rPr>
        <w:t xml:space="preserve">from Herakleia to the agents of Probus, (slave) of Tyrannos, (slave) of Gaius Caesar Augustus Germanicus. I swear by Gaius Caesar Augustus Germanicus that I will farm from the present fourth year of Gaius Caesar Augustus Germanicus three arouras of the fields around the said village, which belong to the estate of Gaius Caesar Augustus Germanicus, previously belonging to Dionysodoros, on behalf of which I will perform all requisite agricultural tasks at my own expense and I will receive seed for the fields and I will measure out the customary rents on the fields with surcharges </w:t>
      </w:r>
      <w:r>
        <w:rPr>
          <w:rtl w:val="0"/>
        </w:rPr>
        <w:t xml:space="preserve">… </w:t>
      </w:r>
      <w:r>
        <w:rPr>
          <w:rtl w:val="0"/>
          <w:lang w:val="en-US"/>
        </w:rPr>
        <w:t xml:space="preserve">the leasehold. If [I] keep the oath, may it be to my benefit, but if I break the oath, the opposite. The notary of Herakleia wrote [for him because] he [does not know] letters. Year 4 of Gaius Caesar Augustus Germanicus, </w:t>
      </w:r>
      <w:r>
        <w:rPr>
          <w:rtl w:val="0"/>
        </w:rPr>
        <w:t>n</w:t>
      </w:r>
      <w:r>
        <w:rPr>
          <w:rtl w:val="0"/>
          <w:lang w:val="en-US"/>
        </w:rPr>
        <w:t>th of the month Gaius Augustus.</w:t>
      </w:r>
      <w:r>
        <w:rPr>
          <w:rtl w:val="0"/>
        </w:rPr>
        <w:t>”</w:t>
      </w:r>
    </w:p>
    <w:p>
      <w:pPr>
        <w:pStyle w:val="Body"/>
      </w:pPr>
      <w:r>
        <w:rPr>
          <w:rtl w:val="0"/>
          <w:lang w:val="en-US"/>
        </w:rPr>
        <w:t>=&gt;</w:t>
      </w:r>
    </w:p>
    <w:p>
      <w:pPr>
        <w:pStyle w:val="Body"/>
        <w:rPr>
          <w:rFonts w:ascii="Times New Roman" w:cs="Times New Roman" w:hAnsi="Times New Roman" w:eastAsia="Times New Roman"/>
        </w:rPr>
      </w:pPr>
      <w:r>
        <w:rPr>
          <w:rFonts w:ascii="Times New Roman" w:hAnsi="Times New Roman"/>
          <w:rtl w:val="0"/>
          <w:lang w:val="en-US"/>
        </w:rPr>
        <w:t>=T&gt;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de-DE"/>
        </w:rPr>
        <w:t>#commentary</w:t>
      </w:r>
    </w:p>
    <w:p>
      <w:pPr>
        <w:pStyle w:val="Body"/>
        <w:ind w:left="720" w:hanging="720"/>
      </w:pPr>
      <w:r>
        <w:rPr>
          <w:rtl w:val="0"/>
        </w:rPr>
        <w:t>1</w:t>
        <w:tab/>
        <w:t xml:space="preserve">The personal description of the oath-taker, with only traces remaining of his name. Personal descriptions are commonly found above oaths in this period: </w:t>
      </w: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tl w:val="0"/>
          <w:lang w:val="en-US"/>
        </w:rPr>
        <w:t>Borrelli and Claytor 2024</w:t>
      </w:r>
      <w:r>
        <w:rPr/>
        <w:fldChar w:fldCharType="end" w:fldLock="0"/>
      </w:r>
      <w:r>
        <w:rPr>
          <w:rtl w:val="0"/>
        </w:rPr>
        <w:t>: 27.</w:t>
      </w:r>
    </w:p>
    <w:p>
      <w:pPr>
        <w:pStyle w:val="Body"/>
        <w:ind w:left="720" w:hanging="720"/>
      </w:pPr>
      <w:r>
        <w:rPr>
          <w:rtl w:val="0"/>
        </w:rPr>
        <w:t>2</w:t>
        <w:tab/>
      </w:r>
      <w:r>
        <w:rPr>
          <w:rtl w:val="0"/>
        </w:rPr>
        <w:t>Π̣αν̣εὺς̣ Π̣  ̣  ̣εος</w:t>
      </w:r>
      <w:r>
        <w:rPr>
          <w:rtl w:val="0"/>
          <w:lang w:val="en-US"/>
        </w:rPr>
        <w:t xml:space="preserve">. Possibly </w:t>
      </w:r>
      <w:r>
        <w:rPr>
          <w:rtl w:val="0"/>
        </w:rPr>
        <w:t>Π̣α̣ν̣έος</w:t>
      </w:r>
      <w:r>
        <w:rPr>
          <w:rtl w:val="0"/>
          <w:lang w:val="en-US"/>
        </w:rPr>
        <w:t xml:space="preserve">, though not an attested genitive of the name </w:t>
      </w:r>
      <w:r>
        <w:rPr>
          <w:rtl w:val="0"/>
        </w:rPr>
        <w:t xml:space="preserve">Πανεύς </w:t>
      </w:r>
      <w:r>
        <w:rPr>
          <w:rtl w:val="0"/>
        </w:rPr>
        <w:t>(</w:t>
      </w:r>
      <w:r>
        <w:rPr>
          <w:rStyle w:val="Hyperlink.0"/>
        </w:rPr>
        <w:fldChar w:fldCharType="begin" w:fldLock="0"/>
      </w:r>
      <w:r>
        <w:rPr>
          <w:rStyle w:val="Hyperlink.0"/>
        </w:rPr>
        <w:instrText xml:space="preserve"> HYPERLINK "http://www.trismegistos.org/namvar/12242"</w:instrText>
      </w:r>
      <w:r>
        <w:rPr>
          <w:rStyle w:val="Hyperlink.0"/>
        </w:rPr>
        <w:fldChar w:fldCharType="separate" w:fldLock="0"/>
      </w:r>
      <w:r>
        <w:rPr>
          <w:rStyle w:val="Hyperlink.0"/>
          <w:rtl w:val="0"/>
        </w:rPr>
        <w:t>TM NamVar 12242</w:t>
      </w:r>
      <w:r>
        <w:rPr/>
        <w:fldChar w:fldCharType="end" w:fldLock="0"/>
      </w:r>
      <w:r>
        <w:rPr>
          <w:rtl w:val="0"/>
        </w:rPr>
        <w:t>).</w:t>
      </w:r>
    </w:p>
    <w:p>
      <w:pPr>
        <w:pStyle w:val="Body"/>
        <w:ind w:left="720" w:hanging="720"/>
      </w:pPr>
      <w:r>
        <w:rPr>
          <w:rtl w:val="0"/>
        </w:rPr>
        <w:t>3</w:t>
        <w:tab/>
      </w:r>
      <w:r>
        <w:rPr>
          <w:rtl w:val="0"/>
        </w:rPr>
        <w:t>Πρόβου Τυράννου Γαίου Καίσαρος Σεβαστοῦ Γερμ̣</w:t>
      </w:r>
      <w:r>
        <w:rPr>
          <w:rtl w:val="0"/>
          <w:lang w:val="pt-PT"/>
        </w:rPr>
        <w:t>[</w:t>
      </w:r>
      <w:r>
        <w:rPr>
          <w:rtl w:val="0"/>
        </w:rPr>
        <w:t>ανικοῦ</w:t>
      </w:r>
      <w:r>
        <w:rPr>
          <w:rtl w:val="0"/>
          <w:lang w:val="en-US"/>
        </w:rPr>
        <w:t>]. On this identification pattern for slaves of slaves (known as</w:t>
      </w:r>
      <w:r>
        <w:rPr>
          <w:rtl w:val="0"/>
        </w:rPr>
        <w:t xml:space="preserve"> vicarii</w:t>
      </w:r>
      <w:r>
        <w:rPr>
          <w:rtl w:val="0"/>
          <w:lang w:val="en-US"/>
        </w:rPr>
        <w:t xml:space="preserve">), see </w:t>
      </w:r>
      <w:r>
        <w:rPr>
          <w:rStyle w:val="Hyperlink.0"/>
        </w:rPr>
        <w:fldChar w:fldCharType="begin" w:fldLock="0"/>
      </w:r>
      <w:r>
        <w:rPr>
          <w:rStyle w:val="Hyperlink.0"/>
        </w:rPr>
        <w:instrText xml:space="preserve"> HYPERLINK "https://papyri.info/biblio/52814"</w:instrText>
      </w:r>
      <w:r>
        <w:rPr>
          <w:rStyle w:val="Hyperlink.0"/>
        </w:rPr>
        <w:fldChar w:fldCharType="separate" w:fldLock="0"/>
      </w:r>
      <w:r>
        <w:rPr>
          <w:rStyle w:val="Hyperlink.0"/>
          <w:rtl w:val="0"/>
          <w:lang w:val="de-DE"/>
        </w:rPr>
        <w:t>Straus 1978</w:t>
      </w:r>
      <w:r>
        <w:rPr/>
        <w:fldChar w:fldCharType="end" w:fldLock="0"/>
      </w:r>
      <w:r>
        <w:rPr>
          <w:rtl w:val="0"/>
        </w:rPr>
        <w:t>: 259</w:t>
      </w:r>
      <w:r>
        <w:rPr>
          <w:rtl w:val="0"/>
        </w:rPr>
        <w:t>–</w:t>
      </w:r>
      <w:r>
        <w:rPr>
          <w:rtl w:val="0"/>
          <w:lang w:val="de-DE"/>
        </w:rPr>
        <w:t xml:space="preserve">260 and Mitthof, </w:t>
      </w:r>
      <w:r>
        <w:rPr>
          <w:rStyle w:val="Hyperlink.0"/>
        </w:rPr>
        <w:fldChar w:fldCharType="begin" w:fldLock="0"/>
      </w:r>
      <w:r>
        <w:rPr>
          <w:rStyle w:val="Hyperlink.0"/>
        </w:rPr>
        <w:instrText xml:space="preserve"> HYPERLINK "https://papyri.info/ddbdp/cpr%3B23%3B1"</w:instrText>
      </w:r>
      <w:r>
        <w:rPr>
          <w:rStyle w:val="Hyperlink.0"/>
        </w:rPr>
        <w:fldChar w:fldCharType="separate" w:fldLock="0"/>
      </w:r>
      <w:r>
        <w:rPr>
          <w:rStyle w:val="Hyperlink.0"/>
          <w:rtl w:val="0"/>
          <w:lang w:val="pt-PT"/>
        </w:rPr>
        <w:t>CPR</w:t>
      </w:r>
      <w:r>
        <w:rPr>
          <w:rStyle w:val="Hyperlink.1"/>
          <w:rtl w:val="0"/>
        </w:rPr>
        <w:t xml:space="preserve"> </w:t>
      </w:r>
      <w:r>
        <w:rPr>
          <w:rStyle w:val="Hyperlink.0"/>
          <w:rtl w:val="0"/>
        </w:rPr>
        <w:t>23 1</w:t>
      </w:r>
      <w:r>
        <w:rPr/>
        <w:fldChar w:fldCharType="end" w:fldLock="0"/>
      </w:r>
      <w:r>
        <w:rPr>
          <w:rtl w:val="0"/>
        </w:rPr>
        <w:t>.11</w:t>
      </w:r>
      <w:r>
        <w:rPr>
          <w:rtl w:val="0"/>
        </w:rPr>
        <w:t>–</w:t>
      </w:r>
      <w:r>
        <w:rPr>
          <w:rtl w:val="0"/>
          <w:lang w:val="en-US"/>
        </w:rPr>
        <w:t xml:space="preserve">13 n., including discussion of other relationships expressed by the bare genitive. As mentioned above, Probus is also addressed in </w:t>
      </w:r>
      <w:r>
        <w:rPr>
          <w:rStyle w:val="Hyperlink.1"/>
          <w:rtl w:val="0"/>
        </w:rPr>
        <w:t xml:space="preserve">P.Athen. </w:t>
      </w:r>
      <w:r>
        <w:rPr>
          <w:rStyle w:val="Hyperlink.0"/>
          <w:rtl w:val="0"/>
        </w:rPr>
        <w:t>32</w:t>
      </w:r>
      <w:r>
        <w:rPr>
          <w:rtl w:val="0"/>
          <w:lang w:val="en-US"/>
        </w:rPr>
        <w:t xml:space="preserve"> (Karanis, 39, with Mitthof, </w:t>
      </w:r>
      <w:r>
        <w:rPr>
          <w:rStyle w:val="Hyperlink.1"/>
        </w:rPr>
        <w:fldChar w:fldCharType="begin" w:fldLock="0"/>
      </w:r>
      <w:r>
        <w:rPr>
          <w:rStyle w:val="Hyperlink.1"/>
        </w:rPr>
        <w:instrText xml:space="preserve"> HYPERLINK "https://papyri.info/biblio/70873"</w:instrText>
      </w:r>
      <w:r>
        <w:rPr>
          <w:rStyle w:val="Hyperlink.1"/>
        </w:rPr>
        <w:fldChar w:fldCharType="separate" w:fldLock="0"/>
      </w:r>
      <w:r>
        <w:rPr>
          <w:rStyle w:val="Hyperlink.1"/>
          <w:rtl w:val="0"/>
          <w:lang w:val="de-DE"/>
        </w:rPr>
        <w:t xml:space="preserve">Korr.Tyche </w:t>
      </w:r>
      <w:r>
        <w:rPr>
          <w:rStyle w:val="Hyperlink.0"/>
          <w:rtl w:val="0"/>
        </w:rPr>
        <w:t>416</w:t>
      </w:r>
      <w:r>
        <w:rPr/>
        <w:fldChar w:fldCharType="end" w:fldLock="0"/>
      </w:r>
      <w:r>
        <w:rPr>
          <w:rtl w:val="0"/>
          <w:lang w:val="en-US"/>
        </w:rPr>
        <w:t xml:space="preserve"> for the correct understanding of his identification pattern).</w:t>
      </w:r>
    </w:p>
    <w:p>
      <w:pPr>
        <w:pStyle w:val="Body"/>
        <w:ind w:left="720" w:hanging="720"/>
      </w:pPr>
      <w:r>
        <w:rPr>
          <w:rtl w:val="0"/>
        </w:rPr>
        <w:t>7</w:t>
      </w:r>
      <w:r>
        <w:rPr>
          <w:rtl w:val="0"/>
        </w:rPr>
        <w:t>–</w:t>
      </w:r>
      <w:r>
        <w:rPr>
          <w:rtl w:val="0"/>
        </w:rPr>
        <w:t>8</w:t>
        <w:tab/>
        <w:t>Explicit reference to the estate of the emperor Caligula (</w:t>
      </w:r>
      <w:r>
        <w:rPr>
          <w:rStyle w:val="Hyperlink.0"/>
        </w:rPr>
        <w:fldChar w:fldCharType="begin" w:fldLock="0"/>
      </w:r>
      <w:r>
        <w:rPr>
          <w:rStyle w:val="Hyperlink.0"/>
        </w:rPr>
        <w:instrText xml:space="preserve"> HYPERLINK "http://www.trismegistos.org/ousia/17"</w:instrText>
      </w:r>
      <w:r>
        <w:rPr>
          <w:rStyle w:val="Hyperlink.0"/>
        </w:rPr>
        <w:fldChar w:fldCharType="separate" w:fldLock="0"/>
      </w:r>
      <w:r>
        <w:rPr>
          <w:rStyle w:val="Hyperlink.0"/>
          <w:rtl w:val="0"/>
        </w:rPr>
        <w:t>TM Ousia 17</w:t>
      </w:r>
      <w:r>
        <w:rPr/>
        <w:fldChar w:fldCharType="end" w:fldLock="0"/>
      </w:r>
      <w:r>
        <w:rPr>
          <w:rtl w:val="0"/>
          <w:lang w:val="en-US"/>
        </w:rPr>
        <w:t xml:space="preserve">) is found in two other texts, the aforementioned </w:t>
      </w:r>
      <w:r>
        <w:rPr>
          <w:rStyle w:val="Hyperlink.1"/>
          <w:rtl w:val="0"/>
        </w:rPr>
        <w:t xml:space="preserve">P.Athen. </w:t>
      </w:r>
      <w:r>
        <w:rPr>
          <w:rStyle w:val="Hyperlink.0"/>
          <w:rtl w:val="0"/>
        </w:rPr>
        <w:t>32</w:t>
      </w:r>
      <w:r>
        <w:rPr>
          <w:rtl w:val="0"/>
          <w:lang w:val="en-US"/>
        </w:rPr>
        <w:t xml:space="preserve"> (Karanis, 39) and </w:t>
      </w:r>
      <w:r>
        <w:rPr>
          <w:rStyle w:val="Hyperlink.0"/>
        </w:rPr>
        <w:fldChar w:fldCharType="begin" w:fldLock="0"/>
      </w:r>
      <w:r>
        <w:rPr>
          <w:rStyle w:val="Hyperlink.0"/>
        </w:rPr>
        <w:instrText xml:space="preserve"> HYPERLINK "https://papyri.info/ddbdp/p.ryl%3B2%3B148"</w:instrText>
      </w:r>
      <w:r>
        <w:rPr>
          <w:rStyle w:val="Hyperlink.0"/>
        </w:rPr>
        <w:fldChar w:fldCharType="separate" w:fldLock="0"/>
      </w:r>
      <w:r>
        <w:rPr>
          <w:rStyle w:val="Hyperlink.0"/>
          <w:rtl w:val="0"/>
        </w:rPr>
        <w:t>P.Ryl. 2 148</w:t>
      </w:r>
      <w:r>
        <w:rPr/>
        <w:fldChar w:fldCharType="end" w:fldLock="0"/>
      </w:r>
      <w:r>
        <w:rPr>
          <w:rtl w:val="0"/>
        </w:rPr>
        <w:t xml:space="preserve"> (40), a petition from a </w:t>
      </w:r>
      <w:r>
        <w:rPr>
          <w:rtl w:val="0"/>
        </w:rPr>
        <w:t xml:space="preserve">προεστώς </w:t>
      </w:r>
      <w:r>
        <w:rPr>
          <w:rtl w:val="0"/>
          <w:lang w:val="en-US"/>
        </w:rPr>
        <w:t xml:space="preserve">of the estate holdings around Euhemeria. He owned much more property in Egypt, of course, both as the heir of Tiberius, and from his earlier inheritance from his father Germanicus (TM Ousia </w:t>
      </w:r>
      <w:r>
        <w:rPr>
          <w:rStyle w:val="Hyperlink.0"/>
        </w:rPr>
        <w:fldChar w:fldCharType="begin" w:fldLock="0"/>
      </w:r>
      <w:r>
        <w:rPr>
          <w:rStyle w:val="Hyperlink.0"/>
        </w:rPr>
        <w:instrText xml:space="preserve"> HYPERLINK "http://www.trismegistos.org/ousia/145"</w:instrText>
      </w:r>
      <w:r>
        <w:rPr>
          <w:rStyle w:val="Hyperlink.0"/>
        </w:rPr>
        <w:fldChar w:fldCharType="separate" w:fldLock="0"/>
      </w:r>
      <w:r>
        <w:rPr>
          <w:rStyle w:val="Hyperlink.0"/>
          <w:rtl w:val="0"/>
        </w:rPr>
        <w:t>145</w:t>
      </w:r>
      <w:r>
        <w:rPr/>
        <w:fldChar w:fldCharType="end" w:fldLock="0"/>
      </w:r>
      <w:r>
        <w:rPr>
          <w:rtl w:val="0"/>
          <w:lang w:val="en-US"/>
        </w:rPr>
        <w:t xml:space="preserve"> and </w:t>
      </w:r>
      <w:r>
        <w:rPr>
          <w:rStyle w:val="Hyperlink.0"/>
        </w:rPr>
        <w:fldChar w:fldCharType="begin" w:fldLock="0"/>
      </w:r>
      <w:r>
        <w:rPr>
          <w:rStyle w:val="Hyperlink.0"/>
        </w:rPr>
        <w:instrText xml:space="preserve"> HYPERLINK "http://www.trismegistos.org/ousia/146"</w:instrText>
      </w:r>
      <w:r>
        <w:rPr>
          <w:rStyle w:val="Hyperlink.0"/>
        </w:rPr>
        <w:fldChar w:fldCharType="separate" w:fldLock="0"/>
      </w:r>
      <w:r>
        <w:rPr>
          <w:rStyle w:val="Hyperlink.0"/>
          <w:rtl w:val="0"/>
        </w:rPr>
        <w:t>146</w:t>
      </w:r>
      <w:r>
        <w:rPr/>
        <w:fldChar w:fldCharType="end" w:fldLock="0"/>
      </w:r>
      <w:r>
        <w:rPr>
          <w:rtl w:val="0"/>
        </w:rPr>
        <w:t>).</w:t>
      </w:r>
    </w:p>
    <w:p>
      <w:pPr>
        <w:pStyle w:val="Body"/>
        <w:ind w:left="720" w:hanging="720"/>
      </w:pPr>
      <w:r>
        <w:rPr>
          <w:rtl w:val="0"/>
        </w:rPr>
        <w:t>8</w:t>
        <w:tab/>
        <w:t xml:space="preserve">Dionysodoros served as </w:t>
      </w:r>
      <w:r>
        <w:rPr>
          <w:rtl w:val="0"/>
          <w:lang w:val="es-ES_tradnl"/>
        </w:rPr>
        <w:t xml:space="preserve">strategos </w:t>
      </w:r>
      <w:r>
        <w:rPr>
          <w:rtl w:val="0"/>
          <w:lang w:val="en-US"/>
        </w:rPr>
        <w:t>for about two decades, from the end of Augustus</w:t>
      </w:r>
      <w:r>
        <w:rPr>
          <w:rtl w:val="1"/>
        </w:rPr>
        <w:t xml:space="preserve">’ </w:t>
      </w:r>
      <w:r>
        <w:rPr>
          <w:rtl w:val="0"/>
          <w:lang w:val="en-US"/>
        </w:rPr>
        <w:t>reign well into Tiberius</w:t>
      </w:r>
      <w:r>
        <w:rPr>
          <w:rtl w:val="1"/>
        </w:rPr>
        <w:t xml:space="preserve">’ </w:t>
      </w:r>
      <w:r>
        <w:rPr>
          <w:rtl w:val="0"/>
        </w:rPr>
        <w:t>(14</w:t>
      </w:r>
      <w:r>
        <w:rPr>
          <w:rtl w:val="0"/>
        </w:rPr>
        <w:t>–</w:t>
      </w:r>
      <w:r>
        <w:rPr>
          <w:rtl w:val="0"/>
        </w:rPr>
        <w:t xml:space="preserve">33; cf. n. 1). </w:t>
      </w:r>
      <w:r>
        <w:rPr>
          <w:rStyle w:val="Hyperlink.0"/>
        </w:rPr>
        <w:fldChar w:fldCharType="begin" w:fldLock="0"/>
      </w:r>
      <w:r>
        <w:rPr>
          <w:rStyle w:val="Hyperlink.0"/>
        </w:rPr>
        <w:instrText xml:space="preserve"> HYPERLINK "https://papyri.info/biblio/9145"</w:instrText>
      </w:r>
      <w:r>
        <w:rPr>
          <w:rStyle w:val="Hyperlink.0"/>
        </w:rPr>
        <w:fldChar w:fldCharType="separate" w:fldLock="0"/>
      </w:r>
      <w:r>
        <w:rPr>
          <w:rStyle w:val="Hyperlink.0"/>
          <w:rtl w:val="0"/>
        </w:rPr>
        <w:t>Par</w:t>
      </w:r>
      <w:r>
        <w:rPr>
          <w:rStyle w:val="Hyperlink.0"/>
          <w:rtl w:val="0"/>
        </w:rPr>
        <w:t>á</w:t>
      </w:r>
      <w:r>
        <w:rPr>
          <w:rStyle w:val="Hyperlink.0"/>
          <w:rtl w:val="0"/>
          <w:lang w:val="it-IT"/>
        </w:rPr>
        <w:t>ssoglou 1978</w:t>
      </w:r>
      <w:r>
        <w:rPr/>
        <w:fldChar w:fldCharType="end" w:fldLock="0"/>
      </w:r>
      <w:r>
        <w:rPr>
          <w:rtl w:val="0"/>
          <w:lang w:val="en-US"/>
        </w:rPr>
        <w:t xml:space="preserve">: 19 convincingly identified him as the landowner behind the later </w:t>
      </w:r>
      <w:r>
        <w:rPr>
          <w:rtl w:val="0"/>
        </w:rPr>
        <w:t xml:space="preserve">Διονυσοδωριανὴ οὐσία </w:t>
      </w:r>
      <w:r>
        <w:rPr>
          <w:rtl w:val="0"/>
          <w:lang w:val="en-US"/>
        </w:rPr>
        <w:t>on the strength of his known landholdings in the nome (</w:t>
      </w:r>
      <w:r>
        <w:rPr>
          <w:rStyle w:val="Hyperlink.0"/>
        </w:rPr>
        <w:fldChar w:fldCharType="begin" w:fldLock="0"/>
      </w:r>
      <w:r>
        <w:rPr>
          <w:rStyle w:val="Hyperlink.0"/>
        </w:rPr>
        <w:instrText xml:space="preserve"> HYPERLINK "https://papyri.info/ddbdp/p.ryl%3B2%3B129"</w:instrText>
      </w:r>
      <w:r>
        <w:rPr>
          <w:rStyle w:val="Hyperlink.0"/>
        </w:rPr>
        <w:fldChar w:fldCharType="separate" w:fldLock="0"/>
      </w:r>
      <w:r>
        <w:rPr>
          <w:rStyle w:val="Hyperlink.0"/>
          <w:rtl w:val="0"/>
        </w:rPr>
        <w:t>P.Ryl.</w:t>
      </w:r>
      <w:r>
        <w:rPr>
          <w:rStyle w:val="Hyperlink.1"/>
          <w:rtl w:val="0"/>
        </w:rPr>
        <w:t xml:space="preserve"> </w:t>
      </w:r>
      <w:r>
        <w:rPr>
          <w:rStyle w:val="Hyperlink.0"/>
          <w:rtl w:val="0"/>
        </w:rPr>
        <w:t>2 129</w:t>
      </w:r>
      <w:r>
        <w:rPr/>
        <w:fldChar w:fldCharType="end" w:fldLock="0"/>
      </w:r>
      <w:r>
        <w:rPr>
          <w:rtl w:val="0"/>
          <w:lang w:val="en-US"/>
        </w:rPr>
        <w:t xml:space="preserve">, 30 CE) and the local toponym </w:t>
      </w:r>
      <w:r>
        <w:rPr>
          <w:rtl w:val="0"/>
        </w:rPr>
        <w:t xml:space="preserve">Στρατηγοῦ </w:t>
      </w:r>
      <w:r>
        <w:rPr>
          <w:rtl w:val="0"/>
          <w:lang w:val="en-US"/>
        </w:rPr>
        <w:t>attached to a palm orchard on this estate (</w:t>
      </w:r>
      <w:r>
        <w:rPr>
          <w:rStyle w:val="Hyperlink.0"/>
        </w:rPr>
        <w:fldChar w:fldCharType="begin" w:fldLock="0"/>
      </w:r>
      <w:r>
        <w:rPr>
          <w:rStyle w:val="Hyperlink.0"/>
        </w:rPr>
        <w:instrText xml:space="preserve"> HYPERLINK "https://papyri.info/ddbdp/chr.wilck%3B%3B366"</w:instrText>
      </w:r>
      <w:r>
        <w:rPr>
          <w:rStyle w:val="Hyperlink.0"/>
        </w:rPr>
        <w:fldChar w:fldCharType="separate" w:fldLock="0"/>
      </w:r>
      <w:r>
        <w:rPr>
          <w:rStyle w:val="Hyperlink.0"/>
          <w:rtl w:val="0"/>
        </w:rPr>
        <w:t>P.Gen.</w:t>
      </w:r>
      <w:r>
        <w:rPr>
          <w:rStyle w:val="Hyperlink.1"/>
          <w:rtl w:val="0"/>
        </w:rPr>
        <w:t xml:space="preserve"> </w:t>
      </w:r>
      <w:r>
        <w:rPr>
          <w:rStyle w:val="Hyperlink.0"/>
          <w:rtl w:val="0"/>
        </w:rPr>
        <w:t>1</w:t>
      </w:r>
      <w:r>
        <w:rPr>
          <w:rStyle w:val="Hyperlink.0"/>
          <w:vertAlign w:val="superscript"/>
          <w:rtl w:val="0"/>
        </w:rPr>
        <w:t xml:space="preserve">2 </w:t>
      </w:r>
      <w:r>
        <w:rPr>
          <w:rStyle w:val="Hyperlink.0"/>
          <w:rtl w:val="0"/>
        </w:rPr>
        <w:t>38= W.Chr. 366</w:t>
      </w:r>
      <w:r>
        <w:rPr/>
        <w:fldChar w:fldCharType="end" w:fldLock="0"/>
      </w:r>
      <w:r>
        <w:rPr>
          <w:rtl w:val="0"/>
        </w:rPr>
        <w:t>.38.5</w:t>
      </w:r>
      <w:r>
        <w:rPr>
          <w:rtl w:val="0"/>
        </w:rPr>
        <w:t>–</w:t>
      </w:r>
      <w:r>
        <w:rPr>
          <w:rtl w:val="0"/>
          <w:lang w:val="en-US"/>
        </w:rPr>
        <w:t>6, 208/209). The imperial estate (</w:t>
      </w:r>
      <w:r>
        <w:rPr>
          <w:rStyle w:val="Hyperlink.0"/>
        </w:rPr>
        <w:fldChar w:fldCharType="begin" w:fldLock="0"/>
      </w:r>
      <w:r>
        <w:rPr>
          <w:rStyle w:val="Hyperlink.0"/>
        </w:rPr>
        <w:instrText xml:space="preserve"> HYPERLINK "http://www.trismegistos.org/ousia/14"</w:instrText>
      </w:r>
      <w:r>
        <w:rPr>
          <w:rStyle w:val="Hyperlink.0"/>
        </w:rPr>
        <w:fldChar w:fldCharType="separate" w:fldLock="0"/>
      </w:r>
      <w:r>
        <w:rPr>
          <w:rStyle w:val="Hyperlink.0"/>
          <w:rtl w:val="0"/>
        </w:rPr>
        <w:t>TM Ousia 14</w:t>
      </w:r>
      <w:r>
        <w:rPr/>
        <w:fldChar w:fldCharType="end" w:fldLock="0"/>
      </w:r>
      <w:r>
        <w:rPr>
          <w:rtl w:val="0"/>
          <w:lang w:val="en-US"/>
        </w:rPr>
        <w:t>) was previously known only from the Flavian period on, so the chronological gap is now closed: the estate went immediately into imperial hands upon his death between 33</w:t>
      </w:r>
      <w:r>
        <w:rPr>
          <w:rtl w:val="0"/>
        </w:rPr>
        <w:t>–</w:t>
      </w:r>
      <w:r>
        <w:rPr>
          <w:rtl w:val="0"/>
          <w:lang w:val="en-US"/>
        </w:rPr>
        <w:t>40. Because of this narrowed period, we can now also conclude that the Dionysodoros (</w:t>
      </w:r>
      <w:r>
        <w:rPr>
          <w:rStyle w:val="Hyperlink.0"/>
        </w:rPr>
        <w:fldChar w:fldCharType="begin" w:fldLock="0"/>
      </w:r>
      <w:r>
        <w:rPr>
          <w:rStyle w:val="Hyperlink.0"/>
        </w:rPr>
        <w:instrText xml:space="preserve"> HYPERLINK "http://www.trismegistos.org/person/34690"</w:instrText>
      </w:r>
      <w:r>
        <w:rPr>
          <w:rStyle w:val="Hyperlink.0"/>
        </w:rPr>
        <w:fldChar w:fldCharType="separate" w:fldLock="0"/>
      </w:r>
      <w:r>
        <w:rPr>
          <w:rStyle w:val="Hyperlink.0"/>
          <w:rtl w:val="0"/>
          <w:lang w:val="it-IT"/>
        </w:rPr>
        <w:t>TM Per 34690</w:t>
      </w:r>
      <w:r>
        <w:rPr/>
        <w:fldChar w:fldCharType="end" w:fldLock="0"/>
      </w:r>
      <w:r>
        <w:rPr>
          <w:rtl w:val="0"/>
          <w:lang w:val="en-US"/>
        </w:rPr>
        <w:t xml:space="preserve">) who authored the letter </w:t>
      </w:r>
      <w:r>
        <w:rPr>
          <w:rStyle w:val="Hyperlink.0"/>
        </w:rPr>
        <w:fldChar w:fldCharType="begin" w:fldLock="0"/>
      </w:r>
      <w:r>
        <w:rPr>
          <w:rStyle w:val="Hyperlink.0"/>
        </w:rPr>
        <w:instrText xml:space="preserve"> HYPERLINK "https://papyri.info/ddbdp/sb%3B4%3B7461"</w:instrText>
      </w:r>
      <w:r>
        <w:rPr>
          <w:rStyle w:val="Hyperlink.0"/>
        </w:rPr>
        <w:fldChar w:fldCharType="separate" w:fldLock="0"/>
      </w:r>
      <w:r>
        <w:rPr>
          <w:rStyle w:val="Hyperlink.0"/>
          <w:rtl w:val="0"/>
        </w:rPr>
        <w:t>SB</w:t>
      </w:r>
      <w:r>
        <w:rPr>
          <w:rStyle w:val="Hyperlink.1"/>
          <w:rtl w:val="0"/>
        </w:rPr>
        <w:t xml:space="preserve"> </w:t>
      </w:r>
      <w:r>
        <w:rPr>
          <w:rStyle w:val="Hyperlink.0"/>
          <w:rtl w:val="0"/>
          <w:lang w:val="ru-RU"/>
        </w:rPr>
        <w:t>4 7461</w:t>
      </w:r>
      <w:r>
        <w:rPr/>
        <w:fldChar w:fldCharType="end" w:fldLock="0"/>
      </w:r>
      <w:r>
        <w:rPr>
          <w:rtl w:val="0"/>
        </w:rPr>
        <w:t xml:space="preserve"> (45) to a Herakleopolite </w:t>
      </w:r>
      <w:r>
        <w:rPr>
          <w:rtl w:val="0"/>
        </w:rPr>
        <w:t>strategos</w:t>
      </w:r>
      <w:r>
        <w:rPr>
          <w:rtl w:val="0"/>
          <w:lang w:val="en-US"/>
        </w:rPr>
        <w:t xml:space="preserve"> was indeed not the same man (cf. </w:t>
      </w:r>
      <w:r>
        <w:rPr>
          <w:rStyle w:val="Hyperlink.0"/>
        </w:rPr>
        <w:fldChar w:fldCharType="begin" w:fldLock="0"/>
      </w:r>
      <w:r>
        <w:rPr>
          <w:rStyle w:val="Hyperlink.0"/>
        </w:rPr>
        <w:instrText xml:space="preserve"> HYPERLINK "https://papyri.info/biblio/19085"</w:instrText>
      </w:r>
      <w:r>
        <w:rPr>
          <w:rStyle w:val="Hyperlink.0"/>
        </w:rPr>
        <w:fldChar w:fldCharType="separate" w:fldLock="0"/>
      </w:r>
      <w:r>
        <w:rPr>
          <w:rStyle w:val="Hyperlink.0"/>
          <w:rtl w:val="0"/>
        </w:rPr>
        <w:t>Derda 2006</w:t>
      </w:r>
      <w:r>
        <w:rPr/>
        <w:fldChar w:fldCharType="end" w:fldLock="0"/>
      </w:r>
      <w:r>
        <w:rPr>
          <w:rtl w:val="0"/>
          <w:lang w:val="en-US"/>
        </w:rPr>
        <w:t>: 92 n. 91 and 95 n. 99).</w:t>
      </w:r>
    </w:p>
    <w:p>
      <w:pPr>
        <w:pStyle w:val="Body"/>
        <w:ind w:left="720" w:hanging="720"/>
      </w:pPr>
      <w:r>
        <w:rPr>
          <w:rtl w:val="0"/>
        </w:rPr>
        <w:t>10</w:t>
      </w:r>
      <w:r>
        <w:rPr>
          <w:rtl w:val="0"/>
        </w:rPr>
        <w:t>–</w:t>
      </w:r>
      <w:r>
        <w:rPr>
          <w:rtl w:val="0"/>
        </w:rPr>
        <w:t>11</w:t>
        <w:tab/>
      </w:r>
      <w:r>
        <w:rPr>
          <w:rtl w:val="0"/>
        </w:rPr>
        <w:t>κα</w:t>
      </w:r>
      <w:r>
        <w:rPr>
          <w:rtl w:val="0"/>
        </w:rPr>
        <w:t>(</w:t>
      </w:r>
      <w:r>
        <w:rPr>
          <w:rtl w:val="0"/>
        </w:rPr>
        <w:t>ὶ</w:t>
      </w:r>
      <w:r>
        <w:rPr>
          <w:rtl w:val="0"/>
        </w:rPr>
        <w:t xml:space="preserve">) </w:t>
      </w:r>
      <w:r>
        <w:rPr>
          <w:rtl w:val="0"/>
        </w:rPr>
        <w:t>λήμψομαι τὰ ὑ</w:t>
      </w:r>
      <w:r>
        <w:rPr>
          <w:rtl w:val="0"/>
        </w:rPr>
        <w:t>|</w:t>
      </w:r>
      <w:r>
        <w:rPr>
          <w:rtl w:val="0"/>
        </w:rPr>
        <w:t>π̣ὲ̣ρ αὐτῶ̣ν σπέρματα</w:t>
      </w:r>
      <w:r>
        <w:rPr>
          <w:rtl w:val="0"/>
          <w:lang w:val="en-US"/>
        </w:rPr>
        <w:t>. Usually one artaba per aroura.</w:t>
      </w:r>
    </w:p>
    <w:p>
      <w:pPr>
        <w:pStyle w:val="Body"/>
        <w:ind w:left="720" w:hanging="720"/>
      </w:pPr>
      <w:r>
        <w:rPr>
          <w:rtl w:val="0"/>
        </w:rPr>
        <w:t>12</w:t>
        <w:tab/>
      </w:r>
      <w:r>
        <w:rPr>
          <w:rtl w:val="0"/>
        </w:rPr>
        <w:t>προσμετρούμενα</w:t>
      </w:r>
      <w:r>
        <w:rPr>
          <w:rtl w:val="0"/>
          <w:lang w:val="en-US"/>
        </w:rPr>
        <w:t xml:space="preserve">. In </w:t>
      </w:r>
      <w:r>
        <w:rPr>
          <w:rStyle w:val="Hyperlink.0"/>
        </w:rPr>
        <w:fldChar w:fldCharType="begin" w:fldLock="0"/>
      </w:r>
      <w:r>
        <w:rPr>
          <w:rStyle w:val="Hyperlink.0"/>
        </w:rPr>
        <w:instrText xml:space="preserve"> HYPERLINK "https://papyri.info/ddbdp/p.ryl%3B2%3B166"</w:instrText>
      </w:r>
      <w:r>
        <w:rPr>
          <w:rStyle w:val="Hyperlink.0"/>
        </w:rPr>
        <w:fldChar w:fldCharType="separate" w:fldLock="0"/>
      </w:r>
      <w:r>
        <w:rPr>
          <w:rStyle w:val="Hyperlink.0"/>
          <w:rtl w:val="0"/>
        </w:rPr>
        <w:t>P.Ryl.</w:t>
      </w:r>
      <w:r>
        <w:rPr>
          <w:rStyle w:val="Hyperlink.1"/>
          <w:rtl w:val="0"/>
        </w:rPr>
        <w:t xml:space="preserve"> </w:t>
      </w:r>
      <w:r>
        <w:rPr>
          <w:rStyle w:val="Hyperlink.0"/>
          <w:rtl w:val="0"/>
        </w:rPr>
        <w:t>2</w:t>
      </w:r>
      <w:r>
        <w:rPr>
          <w:rStyle w:val="Hyperlink.0"/>
          <w:rtl w:val="0"/>
        </w:rPr>
        <w:t> </w:t>
      </w:r>
      <w:r>
        <w:rPr>
          <w:rStyle w:val="Hyperlink.0"/>
          <w:rtl w:val="0"/>
        </w:rPr>
        <w:t>166</w:t>
      </w:r>
      <w:r>
        <w:rPr/>
        <w:fldChar w:fldCharType="end" w:fldLock="0"/>
      </w:r>
      <w:r>
        <w:rPr>
          <w:rtl w:val="0"/>
        </w:rPr>
        <w:t>.16</w:t>
      </w:r>
      <w:r>
        <w:rPr>
          <w:rtl w:val="0"/>
        </w:rPr>
        <w:t>–</w:t>
      </w:r>
      <w:r>
        <w:rPr>
          <w:rtl w:val="0"/>
          <w:lang w:val="en-US"/>
        </w:rPr>
        <w:t>17 (Karanis, 26), defined as an additional 2% of the rent.</w:t>
      </w:r>
    </w:p>
    <w:p>
      <w:pPr>
        <w:pStyle w:val="Body"/>
        <w:ind w:left="720" w:hanging="720"/>
      </w:pPr>
      <w:r>
        <w:rPr>
          <w:rtl w:val="0"/>
        </w:rPr>
        <w:t>12</w:t>
      </w:r>
      <w:r>
        <w:rPr>
          <w:rtl w:val="0"/>
        </w:rPr>
        <w:t>–</w:t>
      </w:r>
      <w:r>
        <w:rPr>
          <w:rtl w:val="0"/>
        </w:rPr>
        <w:t>13</w:t>
        <w:tab/>
        <w:t xml:space="preserve">There does not appear to be a precise parallel for the conclusion of the oath. At the end of l. 12 perhaps </w:t>
      </w:r>
      <w:r>
        <w:rPr>
          <w:rtl w:val="0"/>
        </w:rPr>
        <w:t>καὶ  ̣</w:t>
      </w:r>
      <w:r>
        <w:rPr>
          <w:rtl w:val="0"/>
          <w:lang w:val="pt-PT"/>
        </w:rPr>
        <w:t xml:space="preserve">[, </w:t>
      </w:r>
      <w:r>
        <w:rPr>
          <w:rtl w:val="0"/>
        </w:rPr>
        <w:t>καθ̣</w:t>
      </w:r>
      <w:r>
        <w:rPr>
          <w:rtl w:val="0"/>
          <w:lang w:val="pt-PT"/>
        </w:rPr>
        <w:t>[</w:t>
      </w:r>
      <w:r>
        <w:rPr>
          <w:rtl w:val="0"/>
        </w:rPr>
        <w:t>αρά</w:t>
      </w:r>
      <w:r>
        <w:rPr>
          <w:rtl w:val="0"/>
          <w:lang w:val="en-US"/>
        </w:rPr>
        <w:t xml:space="preserve">, or </w:t>
      </w:r>
      <w:r>
        <w:rPr>
          <w:rtl w:val="0"/>
        </w:rPr>
        <w:t xml:space="preserve">καθ̣’ </w:t>
      </w:r>
      <w:r>
        <w:rPr>
          <w:rtl w:val="0"/>
          <w:lang w:val="pt-PT"/>
        </w:rPr>
        <w:t>[</w:t>
      </w:r>
      <w:r>
        <w:rPr>
          <w:rtl w:val="0"/>
        </w:rPr>
        <w:t xml:space="preserve">ἔτος </w:t>
      </w:r>
      <w:r>
        <w:rPr>
          <w:rtl w:val="0"/>
        </w:rPr>
        <w:t xml:space="preserve">(for </w:t>
      </w:r>
      <w:r>
        <w:rPr>
          <w:rtl w:val="0"/>
        </w:rPr>
        <w:t>κατ’ ἔτος</w:t>
      </w:r>
      <w:r>
        <w:rPr>
          <w:rtl w:val="0"/>
        </w:rPr>
        <w:t>).</w:t>
      </w:r>
    </w:p>
    <w:p>
      <w:pPr>
        <w:pStyle w:val="Body"/>
        <w:ind w:left="720" w:hanging="720"/>
      </w:pPr>
      <w:r>
        <w:rPr>
          <w:rtl w:val="0"/>
        </w:rPr>
        <w:t>15</w:t>
        <w:tab/>
      </w:r>
      <w:r>
        <w:rPr>
          <w:rtl w:val="0"/>
        </w:rPr>
        <w:t xml:space="preserve">ὁ </w:t>
      </w:r>
      <w:r>
        <w:rPr>
          <w:rtl w:val="0"/>
          <w:lang w:val="pt-PT"/>
        </w:rPr>
        <w:t>[</w:t>
      </w:r>
      <w:r>
        <w:rPr>
          <w:rtl w:val="0"/>
        </w:rPr>
        <w:t>τῆ</w:t>
      </w:r>
      <w:r>
        <w:rPr>
          <w:rtl w:val="0"/>
          <w:lang w:val="pt-PT"/>
        </w:rPr>
        <w:t>]</w:t>
      </w:r>
      <w:r>
        <w:rPr>
          <w:rtl w:val="0"/>
        </w:rPr>
        <w:t>ς̣ Ἡρακλ̣είας νο̣μ̣ο̣γ̣ρ̣ά̣φ̣ο̣ς</w:t>
      </w:r>
      <w:r>
        <w:rPr>
          <w:rtl w:val="0"/>
          <w:lang w:val="en-US"/>
        </w:rPr>
        <w:t xml:space="preserve">. Though not in doubt, the title is difficult to follow after the initial nu; it may have been abbreviated or written in </w:t>
      </w:r>
      <w:r>
        <w:rPr>
          <w:rtl w:val="0"/>
          <w:lang w:val="de-DE"/>
        </w:rPr>
        <w:t>Verschleifung</w:t>
      </w:r>
      <w:r>
        <w:rPr>
          <w:rtl w:val="0"/>
          <w:lang w:val="en-US"/>
        </w:rPr>
        <w:t xml:space="preserve">. For other anonymous notarial subscriptions in first-century oaths, cf. </w:t>
      </w:r>
      <w:r>
        <w:rPr>
          <w:rStyle w:val="Hyperlink.0"/>
        </w:rPr>
        <w:fldChar w:fldCharType="begin" w:fldLock="0"/>
      </w:r>
      <w:r>
        <w:rPr>
          <w:rStyle w:val="Hyperlink.0"/>
        </w:rPr>
        <w:instrText xml:space="preserve"> HYPERLINK "https://papyri.info/ddbdp/sb%3B30%3B17666"</w:instrText>
      </w:r>
      <w:r>
        <w:rPr>
          <w:rStyle w:val="Hyperlink.0"/>
        </w:rPr>
        <w:fldChar w:fldCharType="separate" w:fldLock="0"/>
      </w:r>
      <w:r>
        <w:rPr>
          <w:rStyle w:val="Hyperlink.0"/>
          <w:rtl w:val="0"/>
        </w:rPr>
        <w:t>SB</w:t>
      </w:r>
      <w:r>
        <w:rPr>
          <w:rStyle w:val="Hyperlink.1"/>
          <w:rtl w:val="0"/>
        </w:rPr>
        <w:t xml:space="preserve"> </w:t>
      </w:r>
      <w:r>
        <w:rPr>
          <w:rStyle w:val="Hyperlink.0"/>
          <w:rtl w:val="0"/>
        </w:rPr>
        <w:t>30 17666</w:t>
      </w:r>
      <w:r>
        <w:rPr/>
        <w:fldChar w:fldCharType="end" w:fldLock="0"/>
      </w:r>
      <w:r>
        <w:rPr>
          <w:rtl w:val="0"/>
        </w:rPr>
        <w:t>.16</w:t>
      </w:r>
      <w:r>
        <w:rPr>
          <w:rtl w:val="0"/>
        </w:rPr>
        <w:t>–</w:t>
      </w:r>
      <w:r>
        <w:rPr>
          <w:rtl w:val="0"/>
          <w:lang w:val="en-US"/>
        </w:rPr>
        <w:t xml:space="preserve">17 (Ptolemais Melissourgon, 54) and </w:t>
      </w:r>
      <w:r>
        <w:rPr>
          <w:rStyle w:val="Hyperlink.0"/>
        </w:rPr>
        <w:fldChar w:fldCharType="begin" w:fldLock="0"/>
      </w:r>
      <w:r>
        <w:rPr>
          <w:rStyle w:val="Hyperlink.0"/>
        </w:rPr>
        <w:instrText xml:space="preserve"> HYPERLINK "https://papyri.info/ddbdp/p.mich%3B9%3B545"</w:instrText>
      </w:r>
      <w:r>
        <w:rPr>
          <w:rStyle w:val="Hyperlink.0"/>
        </w:rPr>
        <w:fldChar w:fldCharType="separate" w:fldLock="0"/>
      </w:r>
      <w:r>
        <w:rPr>
          <w:rStyle w:val="Hyperlink.0"/>
          <w:rtl w:val="0"/>
        </w:rPr>
        <w:t>P.Mich.</w:t>
      </w:r>
      <w:r>
        <w:rPr>
          <w:rStyle w:val="Hyperlink.1"/>
          <w:rtl w:val="0"/>
        </w:rPr>
        <w:t xml:space="preserve"> </w:t>
      </w:r>
      <w:r>
        <w:rPr>
          <w:rStyle w:val="Hyperlink.0"/>
          <w:rtl w:val="0"/>
        </w:rPr>
        <w:t>9</w:t>
      </w:r>
      <w:r>
        <w:rPr>
          <w:rStyle w:val="Hyperlink.0"/>
          <w:rtl w:val="0"/>
        </w:rPr>
        <w:t> </w:t>
      </w:r>
      <w:r>
        <w:rPr>
          <w:rStyle w:val="Hyperlink.0"/>
          <w:rtl w:val="0"/>
        </w:rPr>
        <w:t>545</w:t>
      </w:r>
      <w:r>
        <w:rPr/>
        <w:fldChar w:fldCharType="end" w:fldLock="0"/>
      </w:r>
      <w:r>
        <w:rPr>
          <w:rtl w:val="0"/>
        </w:rPr>
        <w:t>.21</w:t>
      </w:r>
      <w:r>
        <w:rPr>
          <w:rtl w:val="0"/>
        </w:rPr>
        <w:t>–</w:t>
      </w:r>
      <w:r>
        <w:rPr>
          <w:rtl w:val="0"/>
        </w:rPr>
        <w:t>22 (Karanis, 88/89).</w:t>
      </w:r>
    </w:p>
    <w:p>
      <w:pPr>
        <w:pStyle w:val="Body"/>
        <w:ind w:left="720" w:firstLine="0"/>
      </w:pPr>
      <w:r>
        <w:rPr>
          <w:rtl w:val="0"/>
          <w:lang w:val="en-US"/>
        </w:rPr>
        <w:t xml:space="preserve">This is the earliest reference to the </w:t>
      </w:r>
      <w:r>
        <w:rPr>
          <w:rtl w:val="0"/>
          <w:lang w:val="pt-PT"/>
        </w:rPr>
        <w:t xml:space="preserve">grapheion </w:t>
      </w:r>
      <w:r>
        <w:rPr>
          <w:rtl w:val="0"/>
          <w:lang w:val="en-US"/>
        </w:rPr>
        <w:t xml:space="preserve">of Herakleia, which in the following years was in the hands of Hermias son of Neilos, an entrepreneur who also held the concession of the </w:t>
      </w:r>
      <w:r>
        <w:rPr>
          <w:rtl w:val="0"/>
          <w:lang w:val="pt-PT"/>
        </w:rPr>
        <w:t>grapheia</w:t>
      </w:r>
      <w:r>
        <w:rPr>
          <w:rtl w:val="0"/>
          <w:lang w:val="en-US"/>
        </w:rPr>
        <w:t xml:space="preserve"> of Nilopolis and Soknopaiou Nesos, the last of which, at least, he subleased to a local man. His dossier (</w:t>
      </w:r>
      <w:r>
        <w:rPr>
          <w:rStyle w:val="Hyperlink.0"/>
        </w:rPr>
        <w:fldChar w:fldCharType="begin" w:fldLock="0"/>
      </w:r>
      <w:r>
        <w:rPr>
          <w:rStyle w:val="Hyperlink.0"/>
        </w:rPr>
        <w:instrText xml:space="preserve"> HYPERLINK "https://papyri.info/ddbdp/bgu%3B13%3B2214"</w:instrText>
      </w:r>
      <w:r>
        <w:rPr>
          <w:rStyle w:val="Hyperlink.0"/>
        </w:rPr>
        <w:fldChar w:fldCharType="separate" w:fldLock="0"/>
      </w:r>
      <w:r>
        <w:rPr>
          <w:rStyle w:val="Hyperlink.0"/>
          <w:rtl w:val="0"/>
        </w:rPr>
        <w:t>BGU 13 2214</w:t>
      </w:r>
      <w:r>
        <w:rPr/>
        <w:fldChar w:fldCharType="end" w:fldLock="0"/>
      </w:r>
      <w:r>
        <w:rPr>
          <w:rtl w:val="0"/>
        </w:rPr>
        <w:t xml:space="preserve">, </w:t>
      </w:r>
      <w:r>
        <w:rPr>
          <w:rStyle w:val="Hyperlink.0"/>
        </w:rPr>
        <w:fldChar w:fldCharType="begin" w:fldLock="0"/>
      </w:r>
      <w:r>
        <w:rPr>
          <w:rStyle w:val="Hyperlink.0"/>
        </w:rPr>
        <w:instrText xml:space="preserve"> HYPERLINK "https://papyri.info/ddbdp/chr.mitt%3B%3B183"</w:instrText>
      </w:r>
      <w:r>
        <w:rPr>
          <w:rStyle w:val="Hyperlink.0"/>
        </w:rPr>
        <w:fldChar w:fldCharType="separate" w:fldLock="0"/>
      </w:r>
      <w:r>
        <w:rPr>
          <w:rStyle w:val="Hyperlink.0"/>
          <w:rtl w:val="0"/>
        </w:rPr>
        <w:t>M.Chr. 183</w:t>
      </w:r>
      <w:r>
        <w:rPr/>
        <w:fldChar w:fldCharType="end" w:fldLock="0"/>
      </w:r>
      <w:r>
        <w:rPr>
          <w:rtl w:val="0"/>
          <w:lang w:val="en-US"/>
        </w:rPr>
        <w:t xml:space="preserve">, and </w:t>
      </w:r>
      <w:r>
        <w:rPr>
          <w:rStyle w:val="Hyperlink.0"/>
        </w:rPr>
        <w:fldChar w:fldCharType="begin" w:fldLock="0"/>
      </w:r>
      <w:r>
        <w:rPr>
          <w:rStyle w:val="Hyperlink.0"/>
        </w:rPr>
        <w:instrText xml:space="preserve"> HYPERLINK "https://papyri.info/ddbdp/c.pap.gr%3B1%3B20"</w:instrText>
      </w:r>
      <w:r>
        <w:rPr>
          <w:rStyle w:val="Hyperlink.0"/>
        </w:rPr>
        <w:fldChar w:fldCharType="separate" w:fldLock="0"/>
      </w:r>
      <w:r>
        <w:rPr>
          <w:rStyle w:val="Hyperlink.0"/>
          <w:rtl w:val="0"/>
          <w:lang w:val="de-DE"/>
        </w:rPr>
        <w:t>BGU 1</w:t>
      </w:r>
      <w:r>
        <w:rPr>
          <w:rStyle w:val="Hyperlink.0"/>
          <w:rtl w:val="0"/>
        </w:rPr>
        <w:t> </w:t>
      </w:r>
      <w:r>
        <w:rPr>
          <w:rStyle w:val="Hyperlink.0"/>
          <w:rtl w:val="0"/>
        </w:rPr>
        <w:t>297</w:t>
      </w:r>
      <w:r>
        <w:rPr/>
        <w:fldChar w:fldCharType="end" w:fldLock="0"/>
      </w:r>
      <w:r>
        <w:rPr>
          <w:rtl w:val="0"/>
          <w:lang w:val="en-US"/>
        </w:rPr>
        <w:t>) is to be discussed in a forthcoming reedition of M.Chr. 183, which was addressed to and signed by Hermias.</w:t>
      </w:r>
    </w:p>
    <w:p>
      <w:pPr>
        <w:pStyle w:val="Body"/>
        <w:ind w:left="720" w:hanging="720"/>
      </w:pPr>
      <w:r>
        <w:rPr>
          <w:rtl w:val="0"/>
        </w:rPr>
        <w:t>17</w:t>
        <w:tab/>
        <w:t xml:space="preserve">The short-lived month </w:t>
      </w:r>
      <w:r>
        <w:rPr>
          <w:rtl w:val="0"/>
        </w:rPr>
        <w:t xml:space="preserve">Γάιος Σεβαστός </w:t>
      </w:r>
      <w:r>
        <w:rPr>
          <w:rtl w:val="0"/>
          <w:lang w:val="en-US"/>
        </w:rPr>
        <w:t xml:space="preserve">(also simply </w:t>
      </w:r>
      <w:r>
        <w:rPr>
          <w:rtl w:val="0"/>
        </w:rPr>
        <w:t xml:space="preserve">Γάιος </w:t>
      </w:r>
      <w:r>
        <w:rPr>
          <w:rtl w:val="0"/>
        </w:rPr>
        <w:t xml:space="preserve">or </w:t>
      </w:r>
      <w:r>
        <w:rPr>
          <w:rtl w:val="0"/>
        </w:rPr>
        <w:t>Γαίειος</w:t>
      </w:r>
      <w:r>
        <w:rPr>
          <w:rtl w:val="0"/>
          <w:lang w:val="en-US"/>
        </w:rPr>
        <w:t xml:space="preserve">) equates to Phamenoth (cf. </w:t>
      </w:r>
      <w:r>
        <w:rPr>
          <w:rStyle w:val="Hyperlink.0"/>
        </w:rPr>
        <w:fldChar w:fldCharType="begin" w:fldLock="0"/>
      </w:r>
      <w:r>
        <w:rPr>
          <w:rStyle w:val="Hyperlink.0"/>
        </w:rPr>
        <w:instrText xml:space="preserve"> HYPERLINK "https://papyri.info/biblio/56505"</w:instrText>
      </w:r>
      <w:r>
        <w:rPr>
          <w:rStyle w:val="Hyperlink.0"/>
        </w:rPr>
        <w:fldChar w:fldCharType="separate" w:fldLock="0"/>
      </w:r>
      <w:r>
        <w:rPr>
          <w:rStyle w:val="Hyperlink.0"/>
          <w:rtl w:val="0"/>
          <w:lang w:val="de-DE"/>
        </w:rPr>
        <w:t>Hanson 1984</w:t>
      </w:r>
      <w:r>
        <w:rPr/>
        <w:fldChar w:fldCharType="end" w:fldLock="0"/>
      </w:r>
      <w:r>
        <w:rPr>
          <w:rtl w:val="0"/>
        </w:rPr>
        <w:t>: 1110</w:t>
      </w:r>
      <w:r>
        <w:rPr>
          <w:rtl w:val="0"/>
        </w:rPr>
        <w:t>–</w:t>
      </w:r>
      <w:r>
        <w:rPr>
          <w:rtl w:val="0"/>
        </w:rPr>
        <w:t xml:space="preserve">1111 and </w:t>
      </w:r>
      <w:r>
        <w:rPr>
          <w:rStyle w:val="Hyperlink.0"/>
        </w:rPr>
        <w:fldChar w:fldCharType="begin" w:fldLock="0"/>
      </w:r>
      <w:r>
        <w:rPr>
          <w:rStyle w:val="Hyperlink.0"/>
        </w:rPr>
        <w:instrText xml:space="preserve"> HYPERLINK "https://papyri.info/ddbdp/p.oxy%3B55%3B3780"</w:instrText>
      </w:r>
      <w:r>
        <w:rPr>
          <w:rStyle w:val="Hyperlink.0"/>
        </w:rPr>
        <w:fldChar w:fldCharType="separate" w:fldLock="0"/>
      </w:r>
      <w:r>
        <w:rPr>
          <w:rStyle w:val="Hyperlink.0"/>
          <w:rtl w:val="0"/>
        </w:rPr>
        <w:t>P.Oxy.</w:t>
      </w:r>
      <w:r>
        <w:rPr>
          <w:rStyle w:val="Hyperlink.1"/>
          <w:rtl w:val="0"/>
        </w:rPr>
        <w:t xml:space="preserve"> </w:t>
      </w:r>
      <w:r>
        <w:rPr>
          <w:rStyle w:val="Hyperlink.0"/>
          <w:rtl w:val="0"/>
        </w:rPr>
        <w:t>55 3780</w:t>
      </w:r>
      <w:r>
        <w:rPr/>
        <w:fldChar w:fldCharType="end" w:fldLock="0"/>
      </w:r>
      <w:r>
        <w:rPr>
          <w:rtl w:val="0"/>
          <w:lang w:val="en-US"/>
        </w:rPr>
        <w:t xml:space="preserve">.7 n.) and thus the oath was drawn up between 26 Feb. </w:t>
      </w:r>
      <w:r>
        <w:rPr>
          <w:rtl w:val="0"/>
        </w:rPr>
        <w:t xml:space="preserve">– </w:t>
      </w:r>
      <w:r>
        <w:rPr>
          <w:rtl w:val="0"/>
          <w:lang w:val="en-US"/>
        </w:rPr>
        <w:t>26 March, 40.</w:t>
      </w:r>
    </w:p>
    <w:p>
      <w:pPr>
        <w:pStyle w:val="Body"/>
      </w:pPr>
    </w:p>
    <w:p>
      <w:pPr>
        <w:pStyle w:val="Body"/>
      </w:pPr>
      <w:r>
        <w:rPr>
          <w:rtl w:val="0"/>
          <w:lang w:val="de-DE"/>
        </w:rPr>
        <w:t>#b</w:t>
      </w:r>
      <w:r>
        <w:rPr>
          <w:rtl w:val="0"/>
          <w:lang w:val="fr-FR"/>
        </w:rPr>
        <w:t>ibliography</w:t>
      </w:r>
    </w:p>
    <w:p>
      <w:pPr>
        <w:pStyle w:val="Body"/>
      </w:pPr>
    </w:p>
    <w:p>
      <w:pPr>
        <w:pStyle w:val="Body"/>
      </w:pPr>
      <w:r>
        <w:rPr>
          <w:rStyle w:val="Hyperlink.0"/>
        </w:rPr>
        <w:fldChar w:fldCharType="begin" w:fldLock="0"/>
      </w:r>
      <w:r>
        <w:rPr>
          <w:rStyle w:val="Hyperlink.0"/>
        </w:rPr>
        <w:instrText xml:space="preserve"> HYPERLINK "https://papyri.info/biblio/96416"</w:instrText>
      </w:r>
      <w:r>
        <w:rPr>
          <w:rStyle w:val="Hyperlink.0"/>
        </w:rPr>
        <w:fldChar w:fldCharType="separate" w:fldLock="0"/>
      </w:r>
      <w:r>
        <w:rPr>
          <w:rStyle w:val="Hyperlink.0"/>
          <w:rtl w:val="0"/>
          <w:lang w:val="it-IT"/>
        </w:rPr>
        <w:t>Armoni, C. (2018)</w:t>
      </w:r>
      <w:r>
        <w:rPr/>
        <w:fldChar w:fldCharType="end" w:fldLock="0"/>
      </w:r>
      <w:r>
        <w:rPr>
          <w:rtl w:val="1"/>
          <w:lang w:val="ar-SA" w:bidi="ar-SA"/>
        </w:rPr>
        <w:t xml:space="preserve"> “</w:t>
      </w:r>
      <w:r>
        <w:rPr>
          <w:rtl w:val="0"/>
          <w:lang w:val="de-DE"/>
        </w:rPr>
        <w:t xml:space="preserve">Aus dem Archiv des </w:t>
      </w:r>
      <w:r>
        <w:rPr>
          <w:rtl w:val="0"/>
        </w:rPr>
        <w:t xml:space="preserve">Διοικητής </w:t>
      </w:r>
      <w:r>
        <w:rPr>
          <w:rtl w:val="0"/>
          <w:lang w:val="de-DE"/>
        </w:rPr>
        <w:t>Athenodoros: Neuedition von BGU XVI 2601, 2605 und 2618,</w:t>
      </w:r>
      <w:r>
        <w:rPr>
          <w:rtl w:val="0"/>
        </w:rPr>
        <w:t xml:space="preserve">” </w:t>
      </w:r>
      <w:r>
        <w:rPr>
          <w:rtl w:val="0"/>
        </w:rPr>
        <w:t xml:space="preserve">ZPE </w:t>
      </w:r>
      <w:r>
        <w:rPr>
          <w:rtl w:val="0"/>
        </w:rPr>
        <w:t>207: 123</w:t>
      </w:r>
      <w:r>
        <w:rPr>
          <w:rtl w:val="0"/>
        </w:rPr>
        <w:t>–</w:t>
      </w:r>
      <w:r>
        <w:rPr>
          <w:rtl w:val="0"/>
        </w:rPr>
        <w:t>134.</w:t>
      </w:r>
    </w:p>
    <w:p>
      <w:pPr>
        <w:pStyle w:val="Body"/>
        <w:rPr>
          <w:lang w:val="en-US"/>
        </w:rPr>
      </w:pPr>
    </w:p>
    <w:p>
      <w:pPr>
        <w:pStyle w:val="Body"/>
      </w:pP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tl w:val="0"/>
        </w:rPr>
        <w:t>Borrelli, B. and Claytor, W.G. (2024)</w:t>
      </w:r>
      <w:r>
        <w:rPr/>
        <w:fldChar w:fldCharType="end" w:fldLock="0"/>
      </w:r>
      <w:r>
        <w:rPr>
          <w:rtl w:val="0"/>
          <w:lang w:val="en-US"/>
        </w:rPr>
        <w:t xml:space="preserve"> “</w:t>
      </w:r>
      <w:r>
        <w:rPr>
          <w:rtl w:val="0"/>
          <w:lang w:val="en-US"/>
        </w:rPr>
        <w:t>A Dossier of Seed Orders and Farmers</w:t>
      </w:r>
      <w:r>
        <w:rPr>
          <w:rtl w:val="0"/>
          <w:lang w:val="en-US"/>
        </w:rPr>
        <w:t xml:space="preserve">’ </w:t>
      </w:r>
      <w:r>
        <w:rPr>
          <w:rtl w:val="0"/>
          <w:lang w:val="en-US"/>
        </w:rPr>
        <w:t>Oaths from Karanis,</w:t>
      </w:r>
      <w:r>
        <w:rPr>
          <w:rtl w:val="0"/>
          <w:lang w:val="en-US"/>
        </w:rPr>
        <w:t xml:space="preserve">” </w:t>
      </w:r>
      <w:r>
        <w:rPr>
          <w:rtl w:val="0"/>
          <w:lang w:val="en-US"/>
        </w:rPr>
        <w:t xml:space="preserve">Tyche </w:t>
      </w:r>
      <w:r>
        <w:rPr>
          <w:rtl w:val="0"/>
          <w:lang w:val="en-US"/>
        </w:rPr>
        <w:t>39: 11</w:t>
      </w:r>
      <w:r>
        <w:rPr>
          <w:rtl w:val="0"/>
          <w:lang w:val="en-US"/>
        </w:rPr>
        <w:t>–</w:t>
      </w:r>
      <w:r>
        <w:rPr>
          <w:rtl w:val="0"/>
          <w:lang w:val="en-US"/>
        </w:rPr>
        <w:t>55.</w:t>
      </w:r>
    </w:p>
    <w:p>
      <w:pPr>
        <w:pStyle w:val="Body"/>
      </w:pPr>
    </w:p>
    <w:p>
      <w:pPr>
        <w:pStyle w:val="Body"/>
      </w:pPr>
      <w:r>
        <w:rPr>
          <w:rStyle w:val="Hyperlink.0"/>
        </w:rPr>
        <w:fldChar w:fldCharType="begin" w:fldLock="0"/>
      </w:r>
      <w:r>
        <w:rPr>
          <w:rStyle w:val="Hyperlink.0"/>
        </w:rPr>
        <w:instrText xml:space="preserve"> HYPERLINK "https://www.trismegistos.org/top/"</w:instrText>
      </w:r>
      <w:r>
        <w:rPr>
          <w:rStyle w:val="Hyperlink.0"/>
        </w:rPr>
        <w:fldChar w:fldCharType="separate" w:fldLock="0"/>
      </w:r>
      <w:r>
        <w:rPr>
          <w:rStyle w:val="Hyperlink.0"/>
          <w:rtl w:val="0"/>
        </w:rPr>
        <w:t>Broux, Y. (2024)</w:t>
      </w:r>
      <w:r>
        <w:rPr/>
        <w:fldChar w:fldCharType="end" w:fldLock="0"/>
      </w:r>
      <w:r>
        <w:rPr>
          <w:rtl w:val="0"/>
        </w:rPr>
        <w:t xml:space="preserve"> </w:t>
      </w:r>
      <w:r>
        <w:rPr>
          <w:rtl w:val="0"/>
          <w:lang w:val="nl-NL"/>
        </w:rPr>
        <w:t xml:space="preserve">The Imperial Ousiai of Roman Egypt. </w:t>
      </w:r>
      <w:r>
        <w:rPr>
          <w:rtl w:val="0"/>
        </w:rPr>
        <w:t>Leuven.</w:t>
      </w:r>
    </w:p>
    <w:p>
      <w:pPr>
        <w:pStyle w:val="Body"/>
      </w:pPr>
    </w:p>
    <w:p>
      <w:pPr>
        <w:pStyle w:val="Body"/>
      </w:pPr>
      <w:r>
        <w:rPr>
          <w:rStyle w:val="Hyperlink.0"/>
        </w:rPr>
        <w:fldChar w:fldCharType="begin" w:fldLock="0"/>
      </w:r>
      <w:r>
        <w:rPr>
          <w:rStyle w:val="Hyperlink.0"/>
        </w:rPr>
        <w:instrText xml:space="preserve"> HYPERLINK "https://papyri.info/biblio/19085"</w:instrText>
      </w:r>
      <w:r>
        <w:rPr>
          <w:rStyle w:val="Hyperlink.0"/>
        </w:rPr>
        <w:fldChar w:fldCharType="separate" w:fldLock="0"/>
      </w:r>
      <w:r>
        <w:rPr>
          <w:rStyle w:val="Hyperlink.0"/>
          <w:rtl w:val="0"/>
        </w:rPr>
        <w:t>Derda, T. (2006)</w:t>
      </w:r>
      <w:r>
        <w:rPr/>
        <w:fldChar w:fldCharType="end" w:fldLock="0"/>
      </w:r>
      <w:r>
        <w:rPr>
          <w:rtl w:val="0"/>
        </w:rPr>
        <w:t xml:space="preserve"> </w:t>
      </w:r>
      <w:r>
        <w:rPr>
          <w:rtl w:val="0"/>
        </w:rPr>
        <w:t>Ἀρσινοΐτης νομός</w:t>
      </w:r>
      <w:r>
        <w:rPr>
          <w:rtl w:val="0"/>
          <w:lang w:val="en-US"/>
        </w:rPr>
        <w:t>. Administration of the Fayum under Roman Rule</w:t>
      </w:r>
      <w:r>
        <w:rPr>
          <w:rtl w:val="0"/>
        </w:rPr>
        <w:t>. Warsaw.</w:t>
      </w:r>
    </w:p>
    <w:p>
      <w:pPr>
        <w:pStyle w:val="Body"/>
      </w:pPr>
    </w:p>
    <w:p>
      <w:pPr>
        <w:pStyle w:val="Body"/>
      </w:pPr>
      <w:r>
        <w:rPr>
          <w:rStyle w:val="Hyperlink.0"/>
        </w:rPr>
        <w:fldChar w:fldCharType="begin" w:fldLock="0"/>
      </w:r>
      <w:r>
        <w:rPr>
          <w:rStyle w:val="Hyperlink.0"/>
        </w:rPr>
        <w:instrText xml:space="preserve"> HYPERLINK "https://papyri.info/biblio/56505"</w:instrText>
      </w:r>
      <w:r>
        <w:rPr>
          <w:rStyle w:val="Hyperlink.0"/>
        </w:rPr>
        <w:fldChar w:fldCharType="separate" w:fldLock="0"/>
      </w:r>
      <w:r>
        <w:rPr>
          <w:rStyle w:val="Hyperlink.0"/>
          <w:rtl w:val="0"/>
        </w:rPr>
        <w:t>Hanson, A.E. (1984)</w:t>
      </w:r>
      <w:r>
        <w:rPr/>
        <w:fldChar w:fldCharType="end" w:fldLock="0"/>
      </w:r>
      <w:r>
        <w:rPr>
          <w:rtl w:val="1"/>
          <w:lang w:val="ar-SA" w:bidi="ar-SA"/>
        </w:rPr>
        <w:t xml:space="preserve"> “</w:t>
      </w:r>
      <w:r>
        <w:rPr>
          <w:rtl w:val="0"/>
          <w:lang w:val="en-US"/>
        </w:rPr>
        <w:t>Caligulan Month-Names at Philadelphia and Related Matters,</w:t>
      </w:r>
      <w:r>
        <w:rPr>
          <w:rtl w:val="0"/>
        </w:rPr>
        <w:t xml:space="preserve">” </w:t>
      </w:r>
      <w:r>
        <w:rPr>
          <w:rtl w:val="0"/>
        </w:rPr>
        <w:t xml:space="preserve">Pap.Congr. </w:t>
      </w:r>
      <w:r>
        <w:rPr>
          <w:rtl w:val="0"/>
        </w:rPr>
        <w:t>17: 1107</w:t>
      </w:r>
      <w:r>
        <w:rPr>
          <w:rtl w:val="0"/>
        </w:rPr>
        <w:t>–</w:t>
      </w:r>
      <w:r>
        <w:rPr>
          <w:rtl w:val="0"/>
        </w:rPr>
        <w:t>1118.</w:t>
      </w:r>
    </w:p>
    <w:p>
      <w:pPr>
        <w:pStyle w:val="Body"/>
      </w:pPr>
    </w:p>
    <w:p>
      <w:pPr>
        <w:pStyle w:val="Body"/>
      </w:pPr>
      <w:r>
        <w:rPr>
          <w:rStyle w:val="Hyperlink.0"/>
        </w:rPr>
        <w:fldChar w:fldCharType="begin" w:fldLock="0"/>
      </w:r>
      <w:r>
        <w:rPr>
          <w:rStyle w:val="Hyperlink.0"/>
        </w:rPr>
        <w:instrText xml:space="preserve"> HYPERLINK "https://papyri.info/biblio/71200"</w:instrText>
      </w:r>
      <w:r>
        <w:rPr>
          <w:rStyle w:val="Hyperlink.0"/>
        </w:rPr>
        <w:fldChar w:fldCharType="separate" w:fldLock="0"/>
      </w:r>
      <w:r>
        <w:rPr>
          <w:rStyle w:val="Hyperlink.0"/>
          <w:rtl w:val="0"/>
        </w:rPr>
        <w:t>Kruse, T. (2002)</w:t>
      </w:r>
      <w:r>
        <w:rPr/>
        <w:fldChar w:fldCharType="end" w:fldLock="0"/>
      </w:r>
      <w:r>
        <w:rPr>
          <w:rtl w:val="0"/>
        </w:rPr>
        <w:t xml:space="preserve"> </w:t>
      </w:r>
      <w:r>
        <w:rPr>
          <w:rtl w:val="0"/>
          <w:lang w:val="de-DE"/>
        </w:rPr>
        <w:t>Der k</w:t>
      </w:r>
      <w:r>
        <w:rPr>
          <w:rtl w:val="0"/>
          <w:lang w:val="sv-SE"/>
        </w:rPr>
        <w:t>ö</w:t>
      </w:r>
      <w:r>
        <w:rPr>
          <w:rtl w:val="0"/>
          <w:lang w:val="de-DE"/>
        </w:rPr>
        <w:t xml:space="preserve">nigliche Schreiber und die Gauverwaltung. Untersuchungen zur Verwaltungsgeschichte </w:t>
      </w:r>
      <w:r>
        <w:rPr>
          <w:rtl w:val="0"/>
          <w:lang w:val="sv-SE"/>
        </w:rPr>
        <w:t>Ä</w:t>
      </w:r>
      <w:r>
        <w:rPr>
          <w:rtl w:val="0"/>
          <w:lang w:val="de-DE"/>
        </w:rPr>
        <w:t xml:space="preserve">gyptens in der Zeit von Augustus bis Philippus Arabs (30 v.Chr. </w:t>
      </w:r>
      <w:r>
        <w:rPr>
          <w:rtl w:val="0"/>
        </w:rPr>
        <w:t xml:space="preserve">– </w:t>
      </w:r>
      <w:r>
        <w:rPr>
          <w:rtl w:val="0"/>
        </w:rPr>
        <w:t>245 n.Chr.)</w:t>
      </w:r>
      <w:r>
        <w:rPr>
          <w:rtl w:val="0"/>
          <w:lang w:val="de-DE"/>
        </w:rPr>
        <w:t>. Munich/Leipzig.</w:t>
      </w:r>
    </w:p>
    <w:p>
      <w:pPr>
        <w:pStyle w:val="Body"/>
      </w:pPr>
    </w:p>
    <w:p>
      <w:pPr>
        <w:pStyle w:val="Body"/>
      </w:pPr>
      <w:r>
        <w:rPr>
          <w:rStyle w:val="Hyperlink.0"/>
        </w:rPr>
        <w:fldChar w:fldCharType="begin" w:fldLock="0"/>
      </w:r>
      <w:r>
        <w:rPr>
          <w:rStyle w:val="Hyperlink.0"/>
        </w:rPr>
        <w:instrText xml:space="preserve"> HYPERLINK "https://papyri.info/biblio/9145"</w:instrText>
      </w:r>
      <w:r>
        <w:rPr>
          <w:rStyle w:val="Hyperlink.0"/>
        </w:rPr>
        <w:fldChar w:fldCharType="separate" w:fldLock="0"/>
      </w:r>
      <w:r>
        <w:rPr>
          <w:rStyle w:val="Hyperlink.0"/>
          <w:rtl w:val="0"/>
        </w:rPr>
        <w:t>Par</w:t>
      </w:r>
      <w:r>
        <w:rPr>
          <w:rStyle w:val="Hyperlink.0"/>
          <w:rtl w:val="0"/>
        </w:rPr>
        <w:t>á</w:t>
      </w:r>
      <w:r>
        <w:rPr>
          <w:rStyle w:val="Hyperlink.0"/>
          <w:rtl w:val="0"/>
          <w:lang w:val="it-IT"/>
        </w:rPr>
        <w:t>ssoglou, G.M. (1978)</w:t>
      </w:r>
      <w:r>
        <w:rPr/>
        <w:fldChar w:fldCharType="end" w:fldLock="0"/>
      </w:r>
      <w:r>
        <w:rPr>
          <w:rtl w:val="0"/>
        </w:rPr>
        <w:t xml:space="preserve"> </w:t>
      </w:r>
      <w:r>
        <w:rPr>
          <w:rtl w:val="0"/>
          <w:lang w:val="en-US"/>
        </w:rPr>
        <w:t>Imperial Estates in Roman Egypt</w:t>
      </w:r>
      <w:r>
        <w:rPr>
          <w:rtl w:val="0"/>
          <w:lang w:val="nl-NL"/>
        </w:rPr>
        <w:t>. Amsterdam.</w:t>
      </w:r>
    </w:p>
    <w:p>
      <w:pPr>
        <w:pStyle w:val="Body"/>
      </w:pPr>
    </w:p>
    <w:p>
      <w:pPr>
        <w:pStyle w:val="Body"/>
      </w:pPr>
      <w:r>
        <w:rPr>
          <w:rStyle w:val="Hyperlink.0"/>
        </w:rPr>
        <w:fldChar w:fldCharType="begin" w:fldLock="0"/>
      </w:r>
      <w:r>
        <w:rPr>
          <w:rStyle w:val="Hyperlink.0"/>
        </w:rPr>
        <w:instrText xml:space="preserve"> HYPERLINK "https://papyri.info/biblio/52814"</w:instrText>
      </w:r>
      <w:r>
        <w:rPr>
          <w:rStyle w:val="Hyperlink.0"/>
        </w:rPr>
        <w:fldChar w:fldCharType="separate" w:fldLock="0"/>
      </w:r>
      <w:r>
        <w:rPr>
          <w:rStyle w:val="Hyperlink.0"/>
          <w:rtl w:val="0"/>
        </w:rPr>
        <w:t>Straus, J.A. (1978)</w:t>
      </w:r>
      <w:r>
        <w:rPr/>
        <w:fldChar w:fldCharType="end" w:fldLock="0"/>
      </w:r>
      <w:r>
        <w:rPr>
          <w:rtl w:val="1"/>
          <w:lang w:val="ar-SA" w:bidi="ar-SA"/>
        </w:rPr>
        <w:t xml:space="preserve"> “</w:t>
      </w:r>
      <w:r>
        <w:rPr>
          <w:rtl w:val="0"/>
          <w:lang w:val="fr-FR"/>
        </w:rPr>
        <w:t>Notes sur quelques papyrus concernant l</w:t>
      </w:r>
      <w:r>
        <w:rPr>
          <w:rtl w:val="1"/>
        </w:rPr>
        <w:t>’</w:t>
      </w:r>
      <w:r>
        <w:rPr>
          <w:rtl w:val="0"/>
          <w:lang w:val="fr-FR"/>
        </w:rPr>
        <w:t>esclavage dans l</w:t>
      </w:r>
      <w:r>
        <w:rPr>
          <w:rtl w:val="0"/>
          <w:lang w:val="fr-FR"/>
        </w:rPr>
        <w:t>’É</w:t>
      </w:r>
      <w:r>
        <w:rPr>
          <w:rtl w:val="0"/>
          <w:lang w:val="fr-FR"/>
        </w:rPr>
        <w:t>gypte romaine,</w:t>
      </w:r>
      <w:r>
        <w:rPr>
          <w:rtl w:val="0"/>
        </w:rPr>
        <w:t xml:space="preserve">” </w:t>
      </w:r>
      <w:r>
        <w:rPr>
          <w:rtl w:val="0"/>
        </w:rPr>
        <w:t>ZPE</w:t>
      </w:r>
      <w:r>
        <w:rPr>
          <w:rtl w:val="0"/>
        </w:rPr>
        <w:t xml:space="preserve"> 32: 259</w:t>
      </w:r>
      <w:r>
        <w:rPr>
          <w:rtl w:val="0"/>
        </w:rPr>
        <w:t>–</w:t>
      </w:r>
      <w:r>
        <w:rPr>
          <w:rtl w:val="0"/>
        </w:rPr>
        <w:t>262.</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Fonts w:cs="Arial Unicode MS" w:eastAsia="Arial Unicode MS"/>
          <w:rtl w:val="0"/>
          <w:lang w:val="en-US"/>
        </w:rPr>
        <w:t xml:space="preserve"> </w:t>
      </w:r>
      <w:r>
        <w:rPr>
          <w:rStyle w:val="Hyperlink.0"/>
        </w:rPr>
        <w:fldChar w:fldCharType="begin" w:fldLock="0"/>
      </w:r>
      <w:r>
        <w:rPr>
          <w:rStyle w:val="Hyperlink.0"/>
        </w:rPr>
        <w:instrText xml:space="preserve"> HYPERLINK "http://www.trismegistos.org/person/34687"</w:instrText>
      </w:r>
      <w:r>
        <w:rPr>
          <w:rStyle w:val="Hyperlink.0"/>
        </w:rPr>
        <w:fldChar w:fldCharType="separate" w:fldLock="0"/>
      </w:r>
      <w:r>
        <w:rPr>
          <w:rStyle w:val="Hyperlink.0"/>
          <w:rFonts w:cs="Arial Unicode MS" w:eastAsia="Arial Unicode MS"/>
          <w:rtl w:val="0"/>
        </w:rPr>
        <w:t>TM Per 34687</w:t>
      </w:r>
      <w:r>
        <w:rPr/>
        <w:fldChar w:fldCharType="end" w:fldLock="0"/>
      </w:r>
      <w:r>
        <w:rPr>
          <w:rFonts w:cs="Arial Unicode MS" w:eastAsia="Arial Unicode MS"/>
          <w:rtl w:val="0"/>
          <w:lang w:val="en-US"/>
        </w:rPr>
        <w:t xml:space="preserve">. On his office, see </w:t>
      </w:r>
      <w:r>
        <w:rPr>
          <w:rStyle w:val="Hyperlink.1"/>
        </w:rPr>
        <w:fldChar w:fldCharType="begin" w:fldLock="0"/>
      </w:r>
      <w:r>
        <w:rPr>
          <w:rStyle w:val="Hyperlink.1"/>
        </w:rPr>
        <w:instrText xml:space="preserve"> HYPERLINK "https://papyri.info/biblio/19394"</w:instrText>
      </w:r>
      <w:r>
        <w:rPr>
          <w:rStyle w:val="Hyperlink.1"/>
        </w:rPr>
        <w:fldChar w:fldCharType="separate" w:fldLock="0"/>
      </w:r>
      <w:r>
        <w:rPr>
          <w:rStyle w:val="Hyperlink.1"/>
          <w:rFonts w:cs="Arial Unicode MS" w:eastAsia="Arial Unicode MS"/>
          <w:rtl w:val="0"/>
        </w:rPr>
        <w:t>Str.R.Scr.</w:t>
      </w:r>
      <w:r>
        <w:rPr>
          <w:rStyle w:val="Hyperlink.0"/>
          <w:rFonts w:cs="Arial Unicode MS" w:eastAsia="Arial Unicode MS"/>
          <w:vertAlign w:val="superscript"/>
          <w:rtl w:val="0"/>
          <w:lang w:val="en-US"/>
        </w:rPr>
        <w:t>2</w:t>
      </w:r>
      <w:r>
        <w:rPr/>
        <w:fldChar w:fldCharType="end" w:fldLock="0"/>
      </w:r>
      <w:r>
        <w:rPr>
          <w:rFonts w:cs="Arial Unicode MS" w:eastAsia="Arial Unicode MS"/>
          <w:rtl w:val="0"/>
          <w:lang w:val="en-US"/>
        </w:rPr>
        <w:t>, pp. 10</w:t>
      </w:r>
      <w:r>
        <w:rPr>
          <w:rFonts w:cs="Arial Unicode MS" w:eastAsia="Arial Unicode MS" w:hint="default"/>
          <w:rtl w:val="0"/>
          <w:lang w:val="en-US"/>
        </w:rPr>
        <w:t>–</w:t>
      </w:r>
      <w:r>
        <w:rPr>
          <w:rFonts w:cs="Arial Unicode MS" w:eastAsia="Arial Unicode MS"/>
          <w:rtl w:val="0"/>
          <w:lang w:val="en-US"/>
        </w:rPr>
        <w:t xml:space="preserve">11; </w:t>
      </w:r>
      <w:r>
        <w:rPr>
          <w:rStyle w:val="Hyperlink.0"/>
        </w:rPr>
        <w:fldChar w:fldCharType="begin" w:fldLock="0"/>
      </w:r>
      <w:r>
        <w:rPr>
          <w:rStyle w:val="Hyperlink.0"/>
        </w:rPr>
        <w:instrText xml:space="preserve"> HYPERLINK "https://papyri.info/biblio/71200"</w:instrText>
      </w:r>
      <w:r>
        <w:rPr>
          <w:rStyle w:val="Hyperlink.0"/>
        </w:rPr>
        <w:fldChar w:fldCharType="separate" w:fldLock="0"/>
      </w:r>
      <w:r>
        <w:rPr>
          <w:rStyle w:val="Hyperlink.0"/>
          <w:rFonts w:cs="Arial Unicode MS" w:eastAsia="Arial Unicode MS"/>
          <w:rtl w:val="0"/>
        </w:rPr>
        <w:t>Kruse 2002</w:t>
      </w:r>
      <w:r>
        <w:rPr/>
        <w:fldChar w:fldCharType="end" w:fldLock="0"/>
      </w:r>
      <w:r>
        <w:rPr>
          <w:rFonts w:cs="Arial Unicode MS" w:eastAsia="Arial Unicode MS"/>
          <w:rtl w:val="0"/>
          <w:lang w:val="en-US"/>
        </w:rPr>
        <w:t>: 34</w:t>
      </w:r>
      <w:r>
        <w:rPr>
          <w:rFonts w:cs="Arial Unicode MS" w:eastAsia="Arial Unicode MS" w:hint="default"/>
          <w:rtl w:val="0"/>
          <w:lang w:val="en-US"/>
        </w:rPr>
        <w:t>–</w:t>
      </w:r>
      <w:r>
        <w:rPr>
          <w:rFonts w:cs="Arial Unicode MS" w:eastAsia="Arial Unicode MS"/>
          <w:rtl w:val="0"/>
          <w:lang w:val="en-US"/>
        </w:rPr>
        <w:t xml:space="preserve">38; and </w:t>
      </w:r>
      <w:r>
        <w:rPr>
          <w:rStyle w:val="Hyperlink.0"/>
        </w:rPr>
        <w:fldChar w:fldCharType="begin" w:fldLock="0"/>
      </w:r>
      <w:r>
        <w:rPr>
          <w:rStyle w:val="Hyperlink.0"/>
        </w:rPr>
        <w:instrText xml:space="preserve"> HYPERLINK "https://papyri.info/biblio/19085"</w:instrText>
      </w:r>
      <w:r>
        <w:rPr>
          <w:rStyle w:val="Hyperlink.0"/>
        </w:rPr>
        <w:fldChar w:fldCharType="separate" w:fldLock="0"/>
      </w:r>
      <w:r>
        <w:rPr>
          <w:rStyle w:val="Hyperlink.0"/>
          <w:rFonts w:cs="Arial Unicode MS" w:eastAsia="Arial Unicode MS"/>
          <w:rtl w:val="0"/>
        </w:rPr>
        <w:t>Derda 2006</w:t>
      </w:r>
      <w:r>
        <w:rPr/>
        <w:fldChar w:fldCharType="end" w:fldLock="0"/>
      </w:r>
      <w:r>
        <w:rPr>
          <w:rFonts w:cs="Arial Unicode MS" w:eastAsia="Arial Unicode MS"/>
          <w:rtl w:val="0"/>
          <w:lang w:val="en-US"/>
        </w:rPr>
        <w:t>: 91</w:t>
      </w:r>
      <w:r>
        <w:rPr>
          <w:rFonts w:cs="Arial Unicode MS" w:eastAsia="Arial Unicode MS" w:hint="default"/>
          <w:rtl w:val="0"/>
          <w:lang w:val="en-US"/>
        </w:rPr>
        <w:t>–</w:t>
      </w:r>
      <w:r>
        <w:rPr>
          <w:rFonts w:cs="Arial Unicode MS" w:eastAsia="Arial Unicode MS"/>
          <w:rtl w:val="0"/>
          <w:lang w:val="en-US"/>
        </w:rPr>
        <w:t xml:space="preserve">92 and 95. On his estate, see </w:t>
      </w:r>
      <w:r>
        <w:rPr>
          <w:rStyle w:val="Hyperlink.0"/>
        </w:rPr>
        <w:fldChar w:fldCharType="begin" w:fldLock="0"/>
      </w:r>
      <w:r>
        <w:rPr>
          <w:rStyle w:val="Hyperlink.0"/>
        </w:rPr>
        <w:instrText xml:space="preserve"> HYPERLINK "https://papyri.info/biblio/9145"</w:instrText>
      </w:r>
      <w:r>
        <w:rPr>
          <w:rStyle w:val="Hyperlink.0"/>
        </w:rPr>
        <w:fldChar w:fldCharType="separate" w:fldLock="0"/>
      </w:r>
      <w:r>
        <w:rPr>
          <w:rStyle w:val="Hyperlink.0"/>
          <w:rFonts w:cs="Arial Unicode MS" w:eastAsia="Arial Unicode MS"/>
          <w:rtl w:val="0"/>
        </w:rPr>
        <w:t>Par</w:t>
      </w:r>
      <w:r>
        <w:rPr>
          <w:rStyle w:val="Hyperlink.0"/>
          <w:rFonts w:cs="Arial Unicode MS" w:eastAsia="Arial Unicode MS" w:hint="default"/>
          <w:rtl w:val="0"/>
        </w:rPr>
        <w:t>á</w:t>
      </w:r>
      <w:r>
        <w:rPr>
          <w:rStyle w:val="Hyperlink.0"/>
          <w:rFonts w:cs="Arial Unicode MS" w:eastAsia="Arial Unicode MS"/>
          <w:rtl w:val="0"/>
        </w:rPr>
        <w:t>ssoglou 1978</w:t>
      </w:r>
      <w:r>
        <w:rPr/>
        <w:fldChar w:fldCharType="end" w:fldLock="0"/>
      </w:r>
      <w:r>
        <w:rPr>
          <w:rFonts w:cs="Arial Unicode MS" w:eastAsia="Arial Unicode MS"/>
          <w:rtl w:val="0"/>
          <w:lang w:val="en-US"/>
        </w:rPr>
        <w:t xml:space="preserve">: 19; Broux 2024: 17. New attestations from Karanis in 26 CE are found in </w:t>
      </w: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Fonts w:cs="Arial Unicode MS" w:eastAsia="Arial Unicode MS"/>
          <w:rtl w:val="0"/>
        </w:rPr>
        <w:t>Borrelli and Claytor 2024</w:t>
      </w:r>
      <w:r>
        <w:rPr/>
        <w:fldChar w:fldCharType="end" w:fldLock="0"/>
      </w:r>
      <w:r>
        <w:rPr>
          <w:rFonts w:cs="Arial Unicode MS" w:eastAsia="Arial Unicode MS"/>
          <w:rtl w:val="0"/>
          <w:lang w:val="en-US"/>
        </w:rPr>
        <w:t>.</w:t>
      </w:r>
    </w:p>
  </w:footnote>
  <w:footnote w:id="2">
    <w:p>
      <w:pPr>
        <w:pStyle w:val="footnote text"/>
      </w:pPr>
      <w:r>
        <w:rPr>
          <w:vertAlign w:val="superscript"/>
        </w:rPr>
        <w:footnoteRef/>
      </w:r>
      <w:r>
        <w:rPr>
          <w:rFonts w:cs="Arial Unicode MS" w:eastAsia="Arial Unicode MS"/>
          <w:rtl w:val="0"/>
          <w:lang w:val="en-US"/>
        </w:rPr>
        <w:t xml:space="preserve"> The </w:t>
      </w:r>
      <w:r>
        <w:rPr>
          <w:rFonts w:cs="Arial Unicode MS" w:eastAsia="Arial Unicode MS"/>
          <w:rtl w:val="0"/>
          <w:lang w:val="en-US"/>
        </w:rPr>
        <w:t xml:space="preserve">Gnomon of the Idios Logos </w:t>
      </w:r>
      <w:r>
        <w:rPr>
          <w:rFonts w:cs="Arial Unicode MS" w:eastAsia="Arial Unicode MS" w:hint="default"/>
          <w:rtl w:val="0"/>
          <w:lang w:val="en-US"/>
        </w:rPr>
        <w:t>§</w:t>
      </w:r>
      <w:r>
        <w:rPr>
          <w:rFonts w:cs="Arial Unicode MS" w:eastAsia="Arial Unicode MS"/>
          <w:rtl w:val="0"/>
          <w:lang w:val="en-US"/>
        </w:rPr>
        <w:t>70 (</w:t>
      </w:r>
      <w:r>
        <w:rPr>
          <w:rStyle w:val="Hyperlink.0"/>
        </w:rPr>
        <w:fldChar w:fldCharType="begin" w:fldLock="0"/>
      </w:r>
      <w:r>
        <w:rPr>
          <w:rStyle w:val="Hyperlink.0"/>
        </w:rPr>
        <w:instrText xml:space="preserve"> HYPERLINK "https://papyri.info/ddbdp/bgu%3B5%3B1210"</w:instrText>
      </w:r>
      <w:r>
        <w:rPr>
          <w:rStyle w:val="Hyperlink.0"/>
        </w:rPr>
        <w:fldChar w:fldCharType="separate" w:fldLock="0"/>
      </w:r>
      <w:r>
        <w:rPr>
          <w:rStyle w:val="Hyperlink.0"/>
          <w:rFonts w:cs="Arial Unicode MS" w:eastAsia="Arial Unicode MS"/>
          <w:rtl w:val="0"/>
        </w:rPr>
        <w:t>BGU</w:t>
      </w:r>
      <w:r>
        <w:rPr>
          <w:rStyle w:val="Hyperlink.1"/>
          <w:rFonts w:cs="Arial Unicode MS" w:eastAsia="Arial Unicode MS"/>
          <w:rtl w:val="0"/>
        </w:rPr>
        <w:t xml:space="preserve"> </w:t>
      </w:r>
      <w:r>
        <w:rPr>
          <w:rStyle w:val="Hyperlink.0"/>
          <w:rFonts w:cs="Arial Unicode MS" w:eastAsia="Arial Unicode MS"/>
          <w:rtl w:val="0"/>
        </w:rPr>
        <w:t>5 1210</w:t>
      </w:r>
      <w:r>
        <w:rPr/>
        <w:fldChar w:fldCharType="end" w:fldLock="0"/>
      </w:r>
      <w:r>
        <w:rPr>
          <w:rFonts w:cs="Arial Unicode MS" w:eastAsia="Arial Unicode MS"/>
          <w:rtl w:val="0"/>
          <w:lang w:val="en-US"/>
        </w:rPr>
        <w:t>.viii.174</w:t>
      </w:r>
      <w:r>
        <w:rPr>
          <w:rFonts w:cs="Arial Unicode MS" w:eastAsia="Arial Unicode MS" w:hint="default"/>
          <w:rtl w:val="0"/>
          <w:lang w:val="en-US"/>
        </w:rPr>
        <w:t>–</w:t>
      </w:r>
      <w:r>
        <w:rPr>
          <w:rFonts w:cs="Arial Unicode MS" w:eastAsia="Arial Unicode MS"/>
          <w:rtl w:val="0"/>
          <w:lang w:val="en-US"/>
        </w:rPr>
        <w:t xml:space="preserve">180) prohibits officials from buying or lending in the regions in which they serve, although it is not known when this regulation was laid down. Cf. </w:t>
      </w:r>
      <w:r>
        <w:rPr>
          <w:rStyle w:val="Hyperlink.0"/>
        </w:rPr>
        <w:fldChar w:fldCharType="begin" w:fldLock="0"/>
      </w:r>
      <w:r>
        <w:rPr>
          <w:rStyle w:val="Hyperlink.0"/>
        </w:rPr>
        <w:instrText xml:space="preserve"> HYPERLINK "https://papyri.info/biblio/71200"</w:instrText>
      </w:r>
      <w:r>
        <w:rPr>
          <w:rStyle w:val="Hyperlink.0"/>
        </w:rPr>
        <w:fldChar w:fldCharType="separate" w:fldLock="0"/>
      </w:r>
      <w:r>
        <w:rPr>
          <w:rStyle w:val="Hyperlink.0"/>
          <w:rFonts w:cs="Arial Unicode MS" w:eastAsia="Arial Unicode MS"/>
          <w:rtl w:val="0"/>
        </w:rPr>
        <w:t>Kruse 2002</w:t>
      </w:r>
      <w:r>
        <w:rPr/>
        <w:fldChar w:fldCharType="end" w:fldLock="0"/>
      </w:r>
      <w:r>
        <w:rPr>
          <w:rFonts w:cs="Arial Unicode MS" w:eastAsia="Arial Unicode MS"/>
          <w:rtl w:val="0"/>
          <w:lang w:val="en-US"/>
        </w:rPr>
        <w:t>: 44</w:t>
      </w:r>
      <w:r>
        <w:rPr>
          <w:rFonts w:cs="Arial Unicode MS" w:eastAsia="Arial Unicode MS" w:hint="default"/>
          <w:rtl w:val="0"/>
          <w:lang w:val="en-US"/>
        </w:rPr>
        <w:t>–</w:t>
      </w:r>
      <w:r>
        <w:rPr>
          <w:rFonts w:cs="Arial Unicode MS" w:eastAsia="Arial Unicode MS"/>
          <w:rtl w:val="0"/>
          <w:lang w:val="en-US"/>
        </w:rPr>
        <w:t xml:space="preserve">46. A contemporary large landowner who probably held a high nome office was Asklepiades in the Herakleopolite: see </w:t>
      </w:r>
      <w:r>
        <w:rPr>
          <w:rStyle w:val="Hyperlink.0"/>
        </w:rPr>
        <w:fldChar w:fldCharType="begin" w:fldLock="0"/>
      </w:r>
      <w:r>
        <w:rPr>
          <w:rStyle w:val="Hyperlink.0"/>
        </w:rPr>
        <w:instrText xml:space="preserve"> HYPERLINK "https://papyri.info/biblio/96416"</w:instrText>
      </w:r>
      <w:r>
        <w:rPr>
          <w:rStyle w:val="Hyperlink.0"/>
        </w:rPr>
        <w:fldChar w:fldCharType="separate" w:fldLock="0"/>
      </w:r>
      <w:r>
        <w:rPr>
          <w:rStyle w:val="Hyperlink.0"/>
          <w:rFonts w:cs="Arial Unicode MS" w:eastAsia="Arial Unicode MS"/>
          <w:rtl w:val="0"/>
        </w:rPr>
        <w:t>Armoni 2018</w:t>
      </w:r>
      <w:r>
        <w:rPr/>
        <w:fldChar w:fldCharType="end" w:fldLock="0"/>
      </w:r>
      <w:r>
        <w:rPr>
          <w:rFonts w:cs="Arial Unicode MS" w:eastAsia="Arial Unicode MS"/>
          <w:rtl w:val="0"/>
          <w:lang w:val="en-US"/>
        </w:rPr>
        <w:t>, ll. 1</w:t>
      </w:r>
      <w:r>
        <w:rPr>
          <w:rFonts w:cs="Arial Unicode MS" w:eastAsia="Arial Unicode MS" w:hint="default"/>
          <w:rtl w:val="0"/>
          <w:lang w:val="en-US"/>
        </w:rPr>
        <w:t>–</w:t>
      </w:r>
      <w:r>
        <w:rPr>
          <w:rFonts w:cs="Arial Unicode MS" w:eastAsia="Arial Unicode MS"/>
          <w:rtl w:val="0"/>
          <w:lang w:val="en-US"/>
        </w:rPr>
        <w:t xml:space="preserve">2 n. in the reedition of </w:t>
      </w:r>
      <w:r>
        <w:rPr>
          <w:rStyle w:val="Hyperlink.0"/>
        </w:rPr>
        <w:fldChar w:fldCharType="begin" w:fldLock="0"/>
      </w:r>
      <w:r>
        <w:rPr>
          <w:rStyle w:val="Hyperlink.0"/>
        </w:rPr>
        <w:instrText xml:space="preserve"> HYPERLINK "https://papyri.info/ddbdp/bgu%3B16%3B2601"</w:instrText>
      </w:r>
      <w:r>
        <w:rPr>
          <w:rStyle w:val="Hyperlink.0"/>
        </w:rPr>
        <w:fldChar w:fldCharType="separate" w:fldLock="0"/>
      </w:r>
      <w:r>
        <w:rPr>
          <w:rStyle w:val="Hyperlink.0"/>
          <w:rFonts w:cs="Arial Unicode MS" w:eastAsia="Arial Unicode MS"/>
          <w:rtl w:val="0"/>
        </w:rPr>
        <w:t>BGU 16 2601</w:t>
      </w:r>
      <w:r>
        <w:rPr/>
        <w:fldChar w:fldCharType="end" w:fldLock="0"/>
      </w:r>
      <w:r>
        <w:rPr>
          <w:rFonts w:cs="Arial Unicode MS" w:eastAsia="Arial Unicode MS"/>
          <w:rtl w:val="0"/>
          <w:lang w:val="en-US"/>
        </w:rPr>
        <w:t>.</w:t>
      </w:r>
    </w:p>
  </w:footnote>
  <w:footnote w:id="3">
    <w:p>
      <w:pPr>
        <w:pStyle w:val="footnote text"/>
      </w:pPr>
      <w:r>
        <w:rPr>
          <w:vertAlign w:val="superscript"/>
        </w:rPr>
        <w:footnoteRef/>
      </w:r>
      <w:r>
        <w:rPr>
          <w:rFonts w:cs="Arial Unicode MS" w:eastAsia="Arial Unicode MS"/>
          <w:rtl w:val="0"/>
          <w:lang w:val="en-US"/>
        </w:rPr>
        <w:t xml:space="preserve"> On this text and the estate in question, cf. </w:t>
      </w:r>
      <w:r>
        <w:rPr>
          <w:rStyle w:val="Hyperlink.0"/>
        </w:rPr>
        <w:fldChar w:fldCharType="begin" w:fldLock="0"/>
      </w:r>
      <w:r>
        <w:rPr>
          <w:rStyle w:val="Hyperlink.0"/>
        </w:rPr>
        <w:instrText xml:space="preserve"> HYPERLINK "https://papyri.info/ddbdp/cpr%3B23%3B1"</w:instrText>
      </w:r>
      <w:r>
        <w:rPr>
          <w:rStyle w:val="Hyperlink.0"/>
        </w:rPr>
        <w:fldChar w:fldCharType="separate" w:fldLock="0"/>
      </w:r>
      <w:r>
        <w:rPr>
          <w:rStyle w:val="Hyperlink.0"/>
          <w:rFonts w:cs="Arial Unicode MS" w:eastAsia="Arial Unicode MS"/>
          <w:rtl w:val="0"/>
        </w:rPr>
        <w:t>CPR 23 1</w:t>
      </w:r>
      <w:r>
        <w:rPr/>
        <w:fldChar w:fldCharType="end" w:fldLock="0"/>
      </w:r>
      <w:r>
        <w:rPr>
          <w:rFonts w:cs="Arial Unicode MS" w:eastAsia="Arial Unicode MS"/>
          <w:rtl w:val="0"/>
          <w:lang w:val="en-US"/>
        </w:rPr>
        <w:t xml:space="preserve"> with the editors</w:t>
      </w:r>
      <w:r>
        <w:rPr>
          <w:rFonts w:cs="Arial Unicode MS" w:eastAsia="Arial Unicode MS" w:hint="default"/>
          <w:rtl w:val="0"/>
          <w:lang w:val="en-US"/>
        </w:rPr>
        <w:t xml:space="preserve">’ </w:t>
      </w:r>
      <w:r>
        <w:rPr>
          <w:rFonts w:cs="Arial Unicode MS" w:eastAsia="Arial Unicode MS"/>
          <w:rtl w:val="0"/>
          <w:lang w:val="en-US"/>
        </w:rPr>
        <w:t>commentary.</w:t>
      </w:r>
    </w:p>
  </w:footnote>
  <w:footnote w:id="4">
    <w:p>
      <w:pPr>
        <w:pStyle w:val="footnote text"/>
      </w:pPr>
      <w:r>
        <w:rPr>
          <w:vertAlign w:val="superscript"/>
        </w:rPr>
        <w:footnoteRef/>
      </w:r>
      <w:r>
        <w:rPr>
          <w:rFonts w:cs="Arial Unicode MS" w:eastAsia="Arial Unicode MS"/>
          <w:rtl w:val="0"/>
          <w:lang w:val="en-US"/>
        </w:rPr>
        <w:t xml:space="preserve"> Oaths were also made by public and estate farmers upon the receipt of seed loans: see now </w:t>
      </w: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Fonts w:cs="Arial Unicode MS" w:eastAsia="Arial Unicode MS"/>
          <w:rtl w:val="0"/>
        </w:rPr>
        <w:t>Borrelli and Claytor 2024</w:t>
      </w:r>
      <w:r>
        <w:rPr/>
        <w:fldChar w:fldCharType="end" w:fldLock="0"/>
      </w:r>
      <w:r>
        <w:rPr>
          <w:rFonts w:cs="Arial Unicode MS" w:eastAsia="Arial Unicode MS"/>
          <w:rtl w:val="0"/>
          <w:lang w:val="en-US"/>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character" w:styleId="Hyperlink.1">
    <w:name w:val="Hyperlink.1"/>
    <w:basedOn w:val="Hyperlink.0"/>
    <w:next w:val="Hyperlink.1"/>
    <w:rPr>
      <w:rFonts w:ascii="IFAO-Grec Unicode" w:cs="IFAO-Grec Unicode" w:hAnsi="IFAO-Grec Unicode" w:eastAsia="IFAO-Grec Unicod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Hyperlink.0"/>
    <w:next w:val="Hyperlink.2"/>
    <w:rPr>
      <w:rFonts w:ascii="IFAO-Grec Unicode" w:cs="IFAO-Grec Unicode" w:hAnsi="IFAO-Grec Unicode" w:eastAsia="IFAO-Grec Unicode"/>
      <w:shd w:val="nil" w:color="auto" w:fill="auto"/>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