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en-US"/>
        </w:rPr>
        <w:t>#articleTitle</w:t>
      </w:r>
    </w:p>
    <w:p>
      <w:pPr>
        <w:pStyle w:val="Body"/>
        <w:bidi w:val="0"/>
        <w:ind w:left="0" w:right="0" w:firstLine="0"/>
        <w:jc w:val="left"/>
        <w:rPr>
          <w:rFonts w:ascii="IFAO-Grec Unicode" w:cs="IFAO-Grec Unicode" w:hAnsi="IFAO-Grec Unicode" w:eastAsia="IFAO-Grec Unicode"/>
          <w:sz w:val="24"/>
          <w:szCs w:val="24"/>
          <w:u w:color="000000"/>
          <w:rtl w:val="0"/>
        </w:rPr>
      </w:pPr>
      <w:r>
        <w:rPr>
          <w:rFonts w:ascii="Times New Roman" w:hAnsi="Times New Roman"/>
          <w:b w:val="1"/>
          <w:bCs w:val="1"/>
          <w:i w:val="1"/>
          <w:iCs w:val="1"/>
          <w:sz w:val="24"/>
          <w:szCs w:val="24"/>
          <w:u w:color="000000"/>
          <w:rtl w:val="0"/>
          <w:lang w:val="en-US"/>
        </w:rPr>
        <w:t xml:space="preserve">Domine ivimus? CIIP </w:t>
      </w:r>
      <w:r>
        <w:rPr>
          <w:rFonts w:ascii="Times New Roman" w:hAnsi="Times New Roman"/>
          <w:b w:val="1"/>
          <w:bCs w:val="1"/>
          <w:sz w:val="24"/>
          <w:szCs w:val="24"/>
          <w:u w:color="000000"/>
          <w:rtl w:val="0"/>
          <w:lang w:val="en-US"/>
        </w:rPr>
        <w:t>I.2 787 reconsidered</w:t>
      </w:r>
    </w:p>
    <w:p>
      <w:pPr>
        <w:pStyle w:val="Body"/>
        <w:bidi w:val="0"/>
        <w:ind w:left="0" w:right="0" w:firstLine="0"/>
        <w:jc w:val="left"/>
        <w:rPr>
          <w:rFonts w:ascii="IFAO-Grec Unicode" w:cs="IFAO-Grec Unicode" w:hAnsi="IFAO-Grec Unicode" w:eastAsia="IFAO-Grec Unicode"/>
          <w:sz w:val="24"/>
          <w:szCs w:val="24"/>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en-US"/>
        </w:rPr>
        <w:t>#author</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de-DE"/>
        </w:rPr>
        <w:t>Alho</w:t>
      </w:r>
      <w:r>
        <w:rPr>
          <w:rFonts w:ascii="IFAO-Grec Unicode" w:hAnsi="IFAO-Grec Unicode"/>
          <w:sz w:val="24"/>
          <w:szCs w:val="24"/>
          <w:u w:color="000000"/>
          <w:rtl w:val="0"/>
        </w:rPr>
        <w:t xml:space="preserve">, </w:t>
      </w:r>
      <w:r>
        <w:rPr>
          <w:rFonts w:ascii="IFAO-Grec Unicode" w:hAnsi="IFAO-Grec Unicode"/>
          <w:sz w:val="24"/>
          <w:szCs w:val="24"/>
          <w:u w:color="000000"/>
          <w:rtl w:val="0"/>
          <w:lang w:val="de-DE"/>
        </w:rPr>
        <w:t>Tommi</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fr-FR"/>
        </w:rPr>
        <w:t>#affiliation</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en-US"/>
        </w:rPr>
        <w:t xml:space="preserve">University of </w:t>
      </w:r>
      <w:r>
        <w:rPr>
          <w:rFonts w:ascii="IFAO-Grec Unicode" w:hAnsi="IFAO-Grec Unicode"/>
          <w:sz w:val="24"/>
          <w:szCs w:val="24"/>
          <w:u w:color="000000"/>
          <w:rtl w:val="0"/>
          <w:lang w:val="de-DE"/>
        </w:rPr>
        <w:t>Turku</w:t>
      </w:r>
    </w:p>
    <w:p>
      <w:pPr>
        <w:pStyle w:val="Body"/>
        <w:bidi w:val="0"/>
        <w:ind w:left="0" w:right="0" w:firstLine="0"/>
        <w:jc w:val="left"/>
        <w:rPr>
          <w:rFonts w:ascii="IFAO-Grec Unicode" w:cs="IFAO-Grec Unicode" w:hAnsi="IFAO-Grec Unicode" w:eastAsia="IFAO-Grec Unicode"/>
          <w:sz w:val="24"/>
          <w:szCs w:val="24"/>
          <w:u w:color="ff2600"/>
          <w:rtl w:val="0"/>
        </w:rPr>
      </w:pPr>
      <w:r>
        <w:rPr>
          <w:rFonts w:ascii="IFAO-Grec Unicode" w:hAnsi="IFAO-Grec Unicode"/>
          <w:sz w:val="24"/>
          <w:szCs w:val="24"/>
          <w:u w:color="ff2600"/>
          <w:rtl w:val="0"/>
          <w:lang w:val="en-US"/>
        </w:rPr>
        <w:t>#email</w:t>
      </w:r>
    </w:p>
    <w:p>
      <w:pPr>
        <w:pStyle w:val="Body"/>
        <w:bidi w:val="0"/>
        <w:ind w:left="0" w:right="0" w:firstLine="0"/>
        <w:jc w:val="left"/>
        <w:rPr>
          <w:rFonts w:ascii="IFAO-Grec Unicode" w:cs="IFAO-Grec Unicode" w:hAnsi="IFAO-Grec Unicode" w:eastAsia="IFAO-Grec Unicode"/>
          <w:sz w:val="24"/>
          <w:szCs w:val="24"/>
          <w:u w:color="000000"/>
          <w:rtl w:val="0"/>
        </w:rPr>
      </w:pPr>
      <w:r>
        <w:rPr>
          <w:rFonts w:ascii="Calibri" w:hAnsi="Calibri"/>
          <w:u w:color="000000"/>
          <w:rtl w:val="0"/>
          <w:lang w:val="pt-PT"/>
        </w:rPr>
        <w:t>tomalh@utu.fi</w:t>
      </w:r>
    </w:p>
    <w:p>
      <w:pPr>
        <w:pStyle w:val="Body"/>
        <w:bidi w:val="0"/>
        <w:ind w:left="0" w:right="0" w:firstLine="0"/>
        <w:jc w:val="left"/>
        <w:rPr>
          <w:rFonts w:ascii="Calibri" w:cs="Calibri" w:hAnsi="Calibri" w:eastAsia="Calibri"/>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en-US"/>
        </w:rPr>
        <w:t>#author</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de-DE"/>
        </w:rPr>
        <w:t>Korkiakangas</w:t>
      </w:r>
      <w:r>
        <w:rPr>
          <w:rFonts w:ascii="IFAO-Grec Unicode" w:hAnsi="IFAO-Grec Unicode"/>
          <w:sz w:val="24"/>
          <w:szCs w:val="24"/>
          <w:u w:color="000000"/>
          <w:rtl w:val="0"/>
        </w:rPr>
        <w:t xml:space="preserve">, </w:t>
      </w:r>
      <w:r>
        <w:rPr>
          <w:rFonts w:ascii="IFAO-Grec Unicode" w:hAnsi="IFAO-Grec Unicode"/>
          <w:sz w:val="24"/>
          <w:szCs w:val="24"/>
          <w:u w:color="000000"/>
          <w:rtl w:val="0"/>
          <w:lang w:val="de-DE"/>
        </w:rPr>
        <w:t>Timo</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fr-FR"/>
        </w:rPr>
        <w:t>#affiliation</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en-US"/>
        </w:rPr>
        <w:t>University of Helsinki</w:t>
      </w:r>
    </w:p>
    <w:p>
      <w:pPr>
        <w:pStyle w:val="Body"/>
        <w:bidi w:val="0"/>
        <w:ind w:left="0" w:right="0" w:firstLine="0"/>
        <w:jc w:val="left"/>
        <w:rPr>
          <w:rFonts w:ascii="IFAO-Grec Unicode" w:cs="IFAO-Grec Unicode" w:hAnsi="IFAO-Grec Unicode" w:eastAsia="IFAO-Grec Unicode"/>
          <w:sz w:val="24"/>
          <w:szCs w:val="24"/>
          <w:u w:color="ff2600"/>
          <w:rtl w:val="0"/>
        </w:rPr>
      </w:pPr>
      <w:r>
        <w:rPr>
          <w:rFonts w:ascii="IFAO-Grec Unicode" w:hAnsi="IFAO-Grec Unicode"/>
          <w:sz w:val="24"/>
          <w:szCs w:val="24"/>
          <w:u w:color="ff2600"/>
          <w:rtl w:val="0"/>
          <w:lang w:val="en-US"/>
        </w:rPr>
        <w:t>#email</w:t>
      </w:r>
    </w:p>
    <w:p>
      <w:pPr>
        <w:pStyle w:val="Body"/>
        <w:bidi w:val="0"/>
        <w:ind w:left="0" w:right="0" w:firstLine="0"/>
        <w:jc w:val="left"/>
        <w:rPr>
          <w:rFonts w:ascii="Calibri" w:cs="Calibri" w:hAnsi="Calibri" w:eastAsia="Calibri"/>
          <w:u w:color="000000"/>
          <w:rtl w:val="0"/>
        </w:rPr>
      </w:pPr>
      <w:r>
        <w:rPr>
          <w:rFonts w:ascii="Calibri" w:hAnsi="Calibri"/>
          <w:u w:color="000000"/>
          <w:rtl w:val="0"/>
        </w:rPr>
        <w:t>timo.korkiakangas@helsinki.fi</w:t>
      </w:r>
    </w:p>
    <w:p>
      <w:pPr>
        <w:pStyle w:val="Body"/>
        <w:bidi w:val="0"/>
        <w:ind w:left="0" w:right="0" w:firstLine="0"/>
        <w:jc w:val="left"/>
        <w:rPr>
          <w:rFonts w:ascii="Calibri" w:cs="Calibri" w:hAnsi="Calibri" w:eastAsia="Calibri"/>
          <w:u w:color="000000"/>
          <w:rtl w:val="0"/>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b w:val="1"/>
          <w:bCs w:val="1"/>
          <w:i w:val="1"/>
          <w:iCs w:val="1"/>
          <w:lang w:val="en-US"/>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b w:val="1"/>
          <w:bCs w:val="1"/>
          <w:i w:val="1"/>
          <w:iCs w:val="1"/>
          <w:u w:color="000000"/>
          <w:lang w:val="en-US"/>
        </w:rPr>
      </w:pPr>
    </w:p>
    <w:p>
      <w:pPr>
        <w:pStyle w:val="Normal.0"/>
        <w:tabs>
          <w:tab w:val="left" w:pos="1304"/>
          <w:tab w:val="left" w:pos="2608"/>
          <w:tab w:val="left" w:pos="3912"/>
          <w:tab w:val="left" w:pos="5216"/>
          <w:tab w:val="left" w:pos="6520"/>
          <w:tab w:val="left" w:pos="7824"/>
          <w:tab w:val="left" w:pos="9128"/>
        </w:tabs>
        <w:spacing w:line="28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 stone block featuring a drawing of a merchant ship, accompanied by an inscription beneath it, is situated on the south wall of the Chapel of St. Vartan in the Church of the Holy Sepulchre in Jerusalem. The most widely accepted reading of the inscription is</w:t>
      </w:r>
      <w:r>
        <w:rPr>
          <w:outline w:val="0"/>
          <w:color w:val="000000"/>
          <w:u w:color="000000"/>
          <w:rtl w:val="0"/>
          <w:lang w:val="en-US"/>
          <w14:textFill>
            <w14:solidFill>
              <w14:srgbClr w14:val="000000"/>
            </w14:solidFill>
          </w14:textFill>
        </w:rPr>
        <w:t> </w:t>
      </w:r>
      <w:r>
        <w:rPr>
          <w:i w:val="1"/>
          <w:iCs w:val="1"/>
          <w:outline w:val="0"/>
          <w:color w:val="000000"/>
          <w:u w:color="000000"/>
          <w:rtl w:val="0"/>
          <w:lang w:val="en-US"/>
          <w14:textFill>
            <w14:solidFill>
              <w14:srgbClr w14:val="000000"/>
            </w14:solidFill>
          </w14:textFill>
        </w:rPr>
        <w:t>domine ivimus</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Lord, we have come/we went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which carries clear Christian implications. This interpretation was recently reiterated by the editor of the piece (</w:t>
      </w:r>
      <w:r>
        <w:rPr>
          <w:rStyle w:val="Hyperlink.0"/>
        </w:rPr>
        <w:fldChar w:fldCharType="begin" w:fldLock="0"/>
      </w:r>
      <w:r>
        <w:rPr>
          <w:rStyle w:val="Hyperlink.0"/>
        </w:rPr>
        <w:instrText xml:space="preserve"> HYPERLINK "https://edh.ub.uni-heidelberg.de/edh/inschrift/HD051018"</w:instrText>
      </w:r>
      <w:r>
        <w:rPr>
          <w:rStyle w:val="Hyperlink.0"/>
        </w:rPr>
        <w:fldChar w:fldCharType="separate" w:fldLock="0"/>
      </w:r>
      <w:r>
        <w:rPr>
          <w:rStyle w:val="Hyperlink.0"/>
          <w:rtl w:val="0"/>
          <w:lang w:val="en-US"/>
        </w:rPr>
        <w:t>I.2 787</w:t>
      </w:r>
      <w:r>
        <w:rPr/>
        <w:fldChar w:fldCharType="end" w:fldLock="0"/>
      </w:r>
      <w:r>
        <w:rPr>
          <w:outline w:val="0"/>
          <w:color w:val="000000"/>
          <w:u w:color="000000"/>
          <w:rtl w:val="0"/>
          <w:lang w:val="en-US"/>
          <w14:textFill>
            <w14:solidFill>
              <w14:srgbClr w14:val="000000"/>
            </w14:solidFill>
          </w14:textFill>
        </w:rPr>
        <w:t xml:space="preserve">) in </w:t>
      </w:r>
      <w:r>
        <w:rPr>
          <w:i w:val="1"/>
          <w:iCs w:val="1"/>
          <w:outline w:val="0"/>
          <w:color w:val="000000"/>
          <w:u w:color="000000"/>
          <w:rtl w:val="0"/>
          <w:lang w:val="en-US"/>
          <w14:textFill>
            <w14:solidFill>
              <w14:srgbClr w14:val="000000"/>
            </w14:solidFill>
          </w14:textFill>
        </w:rPr>
        <w:t>CIIP</w:t>
      </w:r>
      <w:r>
        <w:rPr>
          <w:outline w:val="0"/>
          <w:color w:val="000000"/>
          <w:u w:color="000000"/>
          <w:rtl w:val="0"/>
          <w:lang w:val="en-US"/>
          <w14:textFill>
            <w14:solidFill>
              <w14:srgbClr w14:val="000000"/>
            </w14:solidFill>
          </w14:textFill>
        </w:rPr>
        <w:t>, the most comprehensive edition of inscriptions from present-day Israel and the Palestinian Authority, without a proper critical evaluation. Since its discovery, however, the inscription has generated considerable scholarly attention and controversy, especially regarding its interpretation as either pagan or Christian.</w:t>
      </w:r>
      <w:r>
        <w:rPr>
          <w:vertAlign w:val="superscript"/>
        </w:rPr>
        <w:footnoteReference w:id="1"/>
      </w:r>
      <w:r>
        <w:rPr>
          <w:rtl w:val="0"/>
          <w:lang w:val="en-US"/>
        </w:rPr>
        <w:t xml:space="preserve"> In what follows, we primarily argue from a linguistic perspective that the interpretation</w:t>
      </w:r>
      <w:r>
        <w:rPr>
          <w:rtl w:val="0"/>
          <w:lang w:val="en-US"/>
        </w:rPr>
        <w:t> </w:t>
      </w:r>
      <w:r>
        <w:rPr>
          <w:i w:val="1"/>
          <w:iCs w:val="1"/>
          <w:rtl w:val="0"/>
          <w:lang w:val="en-US"/>
        </w:rPr>
        <w:t>domine ivimus</w:t>
      </w:r>
      <w:r>
        <w:rPr>
          <w:rtl w:val="0"/>
          <w:lang w:val="en-US"/>
        </w:rPr>
        <w:t> </w:t>
      </w:r>
      <w:r>
        <w:rPr>
          <w:rtl w:val="0"/>
          <w:lang w:val="en-US"/>
        </w:rPr>
        <w:t>is untenable.</w:t>
      </w:r>
      <w:r>
        <w:rPr>
          <w:outline w:val="0"/>
          <w:color w:val="000000"/>
          <w:u w:color="000000"/>
          <w:rtl w:val="0"/>
          <w:lang w:val="en-US"/>
          <w14:textFill>
            <w14:solidFill>
              <w14:srgbClr w14:val="000000"/>
            </w14:solidFill>
          </w14:textFill>
        </w:rPr>
        <w:t xml:space="preserve"> Instead, we assert the likelihood of the reading </w:t>
      </w:r>
      <w:r>
        <w:rPr>
          <w:i w:val="1"/>
          <w:iCs w:val="1"/>
          <w:outline w:val="0"/>
          <w:color w:val="000000"/>
          <w:u w:color="000000"/>
          <w:rtl w:val="0"/>
          <w:lang w:val="en-US"/>
          <w14:textFill>
            <w14:solidFill>
              <w14:srgbClr w14:val="000000"/>
            </w14:solidFill>
          </w14:textFill>
        </w:rPr>
        <w:t xml:space="preserve">Isis Mirionimus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Isis of countless names</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as originally proposed by </w:t>
      </w:r>
      <w:r>
        <w:rPr>
          <w:rtl w:val="0"/>
          <w:lang w:val="en-US"/>
        </w:rPr>
        <w:t>Humphreys in 1974.</w:t>
      </w:r>
      <w:r>
        <w:rPr>
          <w:vertAlign w:val="superscript"/>
        </w:rPr>
        <w:footnoteReference w:id="2"/>
      </w:r>
    </w:p>
    <w:p>
      <w:pPr>
        <w:pStyle w:val="Normal.0"/>
        <w:tabs>
          <w:tab w:val="left" w:pos="1304"/>
          <w:tab w:val="left" w:pos="2608"/>
          <w:tab w:val="left" w:pos="3912"/>
          <w:tab w:val="left" w:pos="5216"/>
          <w:tab w:val="left" w:pos="6520"/>
          <w:tab w:val="left" w:pos="7824"/>
          <w:tab w:val="left" w:pos="9128"/>
        </w:tabs>
        <w:spacing w:line="288" w:lineRule="auto"/>
        <w:jc w:val="both"/>
        <w:rPr>
          <w:i w:val="1"/>
          <w:iCs w:val="1"/>
          <w:outline w:val="0"/>
          <w:color w:val="000000"/>
          <w:u w:color="000000"/>
          <w14:textFill>
            <w14:solidFill>
              <w14:srgbClr w14:val="000000"/>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00000"/>
          <w:u w:color="000000"/>
          <w:rtl w:val="0"/>
          <w14:textFill>
            <w14:solidFill>
              <w14:srgbClr w14:val="000000"/>
            </w14:solidFill>
          </w14:textFill>
        </w:rPr>
      </w:pPr>
      <w:r>
        <w:rPr>
          <w:rFonts w:ascii="Times Roman" w:hAnsi="Times Roman"/>
          <w:outline w:val="0"/>
          <w:color w:val="000000"/>
          <w:u w:color="000000"/>
          <w:rtl w:val="0"/>
          <w:lang w:val="en-US"/>
          <w14:textFill>
            <w14:solidFill>
              <w14:srgbClr w14:val="000000"/>
            </w14:solidFill>
          </w14:textFill>
        </w:rPr>
        <w:t>#articleHeader</w:t>
      </w:r>
    </w:p>
    <w:p>
      <w:pPr>
        <w:pStyle w:val="Normal.0"/>
        <w:tabs>
          <w:tab w:val="left" w:pos="1304"/>
          <w:tab w:val="left" w:pos="2608"/>
          <w:tab w:val="left" w:pos="3912"/>
          <w:tab w:val="left" w:pos="5216"/>
          <w:tab w:val="left" w:pos="6520"/>
          <w:tab w:val="left" w:pos="7824"/>
          <w:tab w:val="left" w:pos="9128"/>
        </w:tabs>
        <w:spacing w:line="288" w:lineRule="auto"/>
        <w:jc w:val="both"/>
        <w:rPr>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Context</w:t>
      </w:r>
      <w:r>
        <w:rPr>
          <w:outline w:val="0"/>
          <w:color w:val="000000"/>
          <w:u w:color="000000"/>
          <w:rtl w:val="0"/>
          <w:lang w:val="en-US"/>
          <w14:textFill>
            <w14:solidFill>
              <w14:srgbClr w14:val="000000"/>
            </w14:solidFill>
          </w14:textFill>
        </w:rPr>
        <w:t xml:space="preserve">. </w:t>
      </w:r>
    </w:p>
    <w:p>
      <w:pPr>
        <w:pStyle w:val="Normal.0"/>
        <w:tabs>
          <w:tab w:val="left" w:pos="1304"/>
          <w:tab w:val="left" w:pos="2608"/>
          <w:tab w:val="left" w:pos="3912"/>
          <w:tab w:val="left" w:pos="5216"/>
          <w:tab w:val="left" w:pos="6520"/>
          <w:tab w:val="left" w:pos="7824"/>
          <w:tab w:val="left" w:pos="9128"/>
        </w:tabs>
        <w:spacing w:line="288" w:lineRule="auto"/>
        <w:jc w:val="both"/>
        <w:rPr>
          <w:outline w:val="0"/>
          <w:color w:val="000000"/>
          <w:u w:color="000000"/>
          <w14:textFill>
            <w14:solidFill>
              <w14:srgbClr w14:val="000000"/>
            </w14:solidFill>
          </w14:textFill>
        </w:rPr>
      </w:pPr>
    </w:p>
    <w:p>
      <w:pPr>
        <w:pStyle w:val="Normal.0"/>
        <w:tabs>
          <w:tab w:val="left" w:pos="1304"/>
          <w:tab w:val="left" w:pos="2608"/>
          <w:tab w:val="left" w:pos="3912"/>
          <w:tab w:val="left" w:pos="5216"/>
          <w:tab w:val="left" w:pos="6520"/>
          <w:tab w:val="left" w:pos="7824"/>
          <w:tab w:val="left" w:pos="9128"/>
        </w:tabs>
        <w:spacing w:line="288" w:lineRule="auto"/>
        <w:jc w:val="both"/>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 xml:space="preserve">The Church of the Holy Sepulchre is a large complex of structures situated in the Christian Quarter of Jerusalem's Old City. It was initially constructed during the reign of Constantine I in the 4th century AD, atop the remnants of demolished Hadrianic public structures. Over the centuries, it has faced numerous cycles of damage, rebuilding, and even complete redesign. Most of the surviving structures date to the Crusader period. At the eastern edge of the church complex lies the Chapel of St. Helena, currently under the custody of the Armenian Patriarchate. In 1970, the Patriarchate initiated excavations in the chapel to investigate whether there was an empty space or bedrock behind the apses of St. Helena. The excavation revealed a space that had been blocked since antiquity, now recognized as the Chapel of St. Vartan. </w:t>
      </w:r>
    </w:p>
    <w:p>
      <w:pPr>
        <w:pStyle w:val="Normal.0"/>
        <w:tabs>
          <w:tab w:val="left" w:pos="1304"/>
          <w:tab w:val="left" w:pos="2608"/>
          <w:tab w:val="left" w:pos="3912"/>
          <w:tab w:val="left" w:pos="5216"/>
          <w:tab w:val="left" w:pos="6520"/>
          <w:tab w:val="left" w:pos="7824"/>
          <w:tab w:val="left" w:pos="9128"/>
        </w:tabs>
        <w:spacing w:line="288" w:lineRule="auto"/>
        <w:jc w:val="both"/>
      </w:pPr>
      <w:r>
        <w:rPr>
          <w:outline w:val="0"/>
          <w:color w:val="000000"/>
          <w:u w:color="000000"/>
          <w:rtl w:val="0"/>
          <w:lang w:val="en-US"/>
          <w14:textOutline w14:w="12700" w14:cap="flat">
            <w14:noFill/>
            <w14:miter w14:lim="400000"/>
          </w14:textOutline>
          <w14:textFill>
            <w14:solidFill>
              <w14:srgbClr w14:val="000000"/>
            </w14:solidFill>
          </w14:textFill>
        </w:rPr>
        <w:t>In 1971, the Armenian Patriarchate invited Archie Walls and Sven Helms from the British School of Archaeology in Jerusalem to oversee the excavation. Inside the chapel, they discovered a smooth-faced ashlar that displayed a drawing of a merchant vessel along with an inscription (Fig. 1).</w:t>
      </w:r>
      <w:r>
        <w:rPr>
          <w:outline w:val="0"/>
          <w:color w:val="000000"/>
          <w:u w:color="000000"/>
          <w:vertAlign w:val="superscript"/>
          <w14:textOutline w14:w="12700" w14:cap="flat">
            <w14:noFill/>
            <w14:miter w14:lim="400000"/>
          </w14:textOutline>
          <w14:textFill>
            <w14:solidFill>
              <w14:srgbClr w14:val="000000"/>
            </w14:solidFill>
          </w14:textFill>
        </w:rPr>
        <w:footnoteReference w:id="3"/>
      </w:r>
      <w:r>
        <w:rPr>
          <w:outline w:val="0"/>
          <w:color w:val="000000"/>
          <w:u w:color="000000"/>
          <w:rtl w:val="0"/>
          <w:lang w:val="en-US"/>
          <w14:textOutline w14:w="12700" w14:cap="flat">
            <w14:noFill/>
            <w14:miter w14:lim="400000"/>
          </w14:textOutline>
          <w14:textFill>
            <w14:solidFill>
              <w14:srgbClr w14:val="000000"/>
            </w14:solidFill>
          </w14:textFill>
        </w:rPr>
        <w:t xml:space="preserve"> However, their finding was only made public in a paired article by Bennet and Humphreys in 1974.</w:t>
      </w:r>
      <w:r>
        <w:rPr>
          <w:vertAlign w:val="superscript"/>
        </w:rPr>
        <w:footnoteReference w:id="4"/>
      </w:r>
      <w:r>
        <w:rPr>
          <w:outline w:val="0"/>
          <w:color w:val="000000"/>
          <w:u w:color="000000"/>
          <w:rtl w:val="0"/>
          <w:lang w:val="en-US"/>
          <w14:textOutline w14:w="12700" w14:cap="flat">
            <w14:noFill/>
            <w14:miter w14:lim="400000"/>
          </w14:textOutline>
          <w14:textFill>
            <w14:solidFill>
              <w14:srgbClr w14:val="000000"/>
            </w14:solidFill>
          </w14:textFill>
        </w:rPr>
        <w:t xml:space="preserve"> </w:t>
      </w:r>
      <w:r>
        <w:rPr>
          <w:rtl w:val="0"/>
          <w:lang w:val="en-US"/>
        </w:rPr>
        <w:t>The stone is situated on a wall that served as part of the foundation for both Hadrian's 2nd-century AD structure and Constantine's Basilica, both of which were backfilled to provide support for the upper constructions.</w:t>
      </w:r>
      <w:r>
        <w:rPr>
          <w:vertAlign w:val="superscript"/>
        </w:rPr>
        <w:footnoteReference w:id="5"/>
      </w:r>
      <w:r>
        <w:rPr>
          <w:rtl w:val="0"/>
          <w:lang w:val="en-US"/>
        </w:rPr>
        <w:t xml:space="preserve"> This location for a detailed drawing and inscription poses some challenges regarding its dating. Two possibilities seem most plausible. Broshi and Barkay suggest that the drawing and inscription were likely created during the construction of the Constantinian Basilica, between approximately 325 and 335 AD.</w:t>
      </w:r>
      <w:r>
        <w:rPr>
          <w:vertAlign w:val="superscript"/>
        </w:rPr>
        <w:footnoteReference w:id="6"/>
      </w:r>
      <w:r>
        <w:rPr>
          <w:rtl w:val="0"/>
          <w:lang w:val="en-US"/>
        </w:rPr>
        <w:t xml:space="preserve"> In contrast, Gibson and Taylor, considering the archaeological context of the stone and the depiction of the ship, date it to the 2nd century AD.</w:t>
      </w:r>
      <w:r>
        <w:rPr>
          <w:vertAlign w:val="superscript"/>
        </w:rPr>
        <w:footnoteReference w:id="7"/>
      </w:r>
    </w:p>
    <w:p>
      <w:pPr>
        <w:pStyle w:val="Normal.0"/>
        <w:tabs>
          <w:tab w:val="left" w:pos="1304"/>
          <w:tab w:val="left" w:pos="2608"/>
          <w:tab w:val="left" w:pos="3912"/>
          <w:tab w:val="left" w:pos="5216"/>
          <w:tab w:val="left" w:pos="6520"/>
          <w:tab w:val="left" w:pos="7824"/>
          <w:tab w:val="left" w:pos="9128"/>
        </w:tabs>
        <w:spacing w:line="288" w:lineRule="auto"/>
        <w:jc w:val="both"/>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#articleHeader</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r>
        <w:rPr>
          <w:rFonts w:ascii="Times New Roman" w:hAnsi="Times New Roman"/>
          <w:i w:val="1"/>
          <w:iCs w:val="1"/>
          <w:rtl w:val="0"/>
          <w:lang w:val="en-US"/>
        </w:rPr>
        <w:t>Controversy</w:t>
      </w:r>
      <w:r>
        <w:rPr>
          <w:rFonts w:ascii="Times New Roman" w:hAnsi="Times New Roman"/>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rPr>
      </w:pPr>
      <w:r>
        <w:rPr>
          <w:rFonts w:ascii="Times New Roman" w:hAnsi="Times New Roman"/>
          <w:rtl w:val="0"/>
          <w:lang w:val="en-US"/>
        </w:rPr>
        <w:t xml:space="preserve">A comparison of the drawing and inscription, based on the photograph taken within 24 hours of the 1971 excavation (Fig. 1) and another captured in 1975 (Fig. 2) following a cleaning process, reveals notable differences between the two. After the British Institute had left, the Armenian Patriarchate entrusted the Franciscan Fr Emmanuele Testa with the task of cleaning the stone in 1975. The editor of </w:t>
      </w:r>
      <w:r>
        <w:rPr>
          <w:rFonts w:ascii="Times New Roman" w:hAnsi="Times New Roman"/>
          <w:i w:val="1"/>
          <w:iCs w:val="1"/>
          <w:rtl w:val="0"/>
          <w:lang w:val="en-US"/>
        </w:rPr>
        <w:t>CIIP</w:t>
      </w:r>
      <w:r>
        <w:rPr>
          <w:rFonts w:ascii="Times New Roman" w:hAnsi="Times New Roman"/>
          <w:rtl w:val="0"/>
          <w:lang w:val="en-US"/>
        </w:rPr>
        <w:t xml:space="preserve"> states that Helms, who discovered the stone with A. Walls in 1971, baselessly accused Testa of having changed the inscription during the cleaning process.</w:t>
      </w:r>
      <w:r>
        <w:rPr>
          <w:rFonts w:ascii="Times New Roman" w:cs="Times New Roman" w:hAnsi="Times New Roman" w:eastAsia="Times New Roman"/>
          <w:vertAlign w:val="superscript"/>
        </w:rPr>
        <w:footnoteReference w:id="8"/>
      </w:r>
      <w:r>
        <w:rPr>
          <w:rFonts w:ascii="Times New Roman" w:hAnsi="Times New Roman"/>
          <w:rtl w:val="0"/>
          <w:lang w:val="en-US"/>
        </w:rPr>
        <w:t xml:space="preserve"> However, Helms had valid grounds for raising concerns in this regard.</w:t>
      </w:r>
      <w:r>
        <w:rPr>
          <w:rFonts w:ascii="Times New Roman" w:cs="Times New Roman" w:hAnsi="Times New Roman" w:eastAsia="Times New Roman"/>
          <w:vertAlign w:val="superscript"/>
        </w:rPr>
        <w:footnoteReference w:id="9"/>
      </w:r>
      <w:r>
        <w:rPr>
          <w:rFonts w:ascii="Times New Roman" w:hAnsi="Times New Roman"/>
          <w:rtl w:val="0"/>
          <w:lang w:val="en-US"/>
        </w:rPr>
        <w:t xml:space="preserve"> Soon after the discovery of the ship, Helms engaged in a discussion with Father Pierre Benoit of </w:t>
      </w:r>
      <w:r>
        <w:rPr>
          <w:rFonts w:ascii="Times New Roman" w:hAnsi="Times New Roman" w:hint="default"/>
          <w:rtl w:val="0"/>
          <w:lang w:val="fr-FR"/>
        </w:rPr>
        <w:t>É</w:t>
      </w:r>
      <w:r>
        <w:rPr>
          <w:rFonts w:ascii="Times New Roman" w:hAnsi="Times New Roman"/>
          <w:rtl w:val="0"/>
          <w:lang w:val="en-US"/>
        </w:rPr>
        <w:t>cole Biblique in Jerusalem regarding the interpretation of the inscription.</w:t>
      </w:r>
      <w:r>
        <w:rPr>
          <w:rFonts w:ascii="Times New Roman" w:cs="Times New Roman" w:hAnsi="Times New Roman" w:eastAsia="Times New Roman"/>
          <w:vertAlign w:val="superscript"/>
        </w:rPr>
        <w:footnoteReference w:id="10"/>
      </w:r>
      <w:r>
        <w:rPr>
          <w:rFonts w:ascii="Times New Roman" w:hAnsi="Times New Roman"/>
          <w:rtl w:val="0"/>
          <w:lang w:val="en-US"/>
        </w:rPr>
        <w:t xml:space="preserve"> Following a quick ocular inspection on the excavation site,</w:t>
      </w:r>
      <w:r>
        <w:rPr>
          <w:rFonts w:ascii="Times New Roman" w:cs="Times New Roman" w:hAnsi="Times New Roman" w:eastAsia="Times New Roman"/>
          <w:vertAlign w:val="superscript"/>
          <w:lang w:val="en-US"/>
        </w:rPr>
        <w:footnoteReference w:id="11"/>
      </w:r>
      <w:r>
        <w:rPr>
          <w:rFonts w:ascii="Times New Roman" w:hAnsi="Times New Roman"/>
          <w:rtl w:val="0"/>
          <w:lang w:val="en-US"/>
        </w:rPr>
        <w:t xml:space="preserve"> Benoit immediately ended up with a Christian reading </w:t>
      </w:r>
      <w:r>
        <w:rPr>
          <w:rFonts w:ascii="Times New Roman" w:hAnsi="Times New Roman"/>
          <w:i w:val="1"/>
          <w:iCs w:val="1"/>
          <w:rtl w:val="0"/>
          <w:lang w:val="en-US"/>
        </w:rPr>
        <w:t>domine ivimus,</w:t>
      </w:r>
      <w:r>
        <w:rPr>
          <w:rFonts w:ascii="Times New Roman" w:hAnsi="Times New Roman"/>
          <w:rtl w:val="0"/>
          <w:lang w:val="en-US"/>
        </w:rPr>
        <w:t xml:space="preserve"> while Helms supported the interpretation </w:t>
      </w:r>
      <w:r>
        <w:rPr>
          <w:rFonts w:ascii="Times New Roman" w:hAnsi="Times New Roman"/>
          <w:i w:val="1"/>
          <w:iCs w:val="1"/>
          <w:rtl w:val="0"/>
          <w:lang w:val="en-US"/>
        </w:rPr>
        <w:t>Isis Mirionimus</w:t>
      </w:r>
      <w:r>
        <w:rPr>
          <w:rFonts w:ascii="Times New Roman" w:hAnsi="Times New Roman"/>
          <w:rtl w:val="0"/>
          <w:lang w:val="en-US"/>
        </w:rPr>
        <w:t>. Testa sided with Father Benoit, and it is unclear to us if he was even aware of Helms</w:t>
      </w:r>
      <w:r>
        <w:rPr>
          <w:rFonts w:ascii="Times New Roman" w:hAnsi="Times New Roman" w:hint="default"/>
          <w:rtl w:val="0"/>
          <w:lang w:val="en-US"/>
        </w:rPr>
        <w:t xml:space="preserve">’ </w:t>
      </w:r>
      <w:r>
        <w:rPr>
          <w:rFonts w:ascii="Times New Roman" w:hAnsi="Times New Roman"/>
          <w:rtl w:val="0"/>
          <w:lang w:val="en-US"/>
        </w:rPr>
        <w:t xml:space="preserve">reading. The precise details of the cleaning process remain unknown. According to Testa, the cleaning was performed with a </w:t>
      </w:r>
      <w:r>
        <w:rPr>
          <w:rFonts w:ascii="Times New Roman" w:hAnsi="Times New Roman" w:hint="default"/>
          <w:rtl w:val="0"/>
          <w:lang w:val="en-US"/>
        </w:rPr>
        <w:t>‘</w:t>
      </w:r>
      <w:r>
        <w:rPr>
          <w:rFonts w:ascii="Times New Roman" w:hAnsi="Times New Roman"/>
          <w:rtl w:val="0"/>
          <w:lang w:val="en-US"/>
        </w:rPr>
        <w:t>chemical substance</w:t>
      </w:r>
      <w:r>
        <w:rPr>
          <w:rFonts w:ascii="Times New Roman" w:hAnsi="Times New Roman" w:hint="default"/>
          <w:rtl w:val="0"/>
          <w:lang w:val="en-US"/>
        </w:rPr>
        <w:t>’</w:t>
      </w:r>
      <w:r>
        <w:rPr>
          <w:rFonts w:ascii="Times New Roman" w:hAnsi="Times New Roman"/>
          <w:rtl w:val="0"/>
          <w:lang w:val="en-US"/>
        </w:rPr>
        <w:t>, while other testimonies mention the use of leather and oil, as well as pig fat.</w:t>
      </w:r>
      <w:r>
        <w:rPr>
          <w:rFonts w:ascii="Times New Roman" w:cs="Times New Roman" w:hAnsi="Times New Roman" w:eastAsia="Times New Roman"/>
          <w:vertAlign w:val="superscript"/>
        </w:rPr>
        <w:footnoteReference w:id="12"/>
      </w:r>
      <w:r>
        <w:rPr>
          <w:rFonts w:ascii="Times New Roman" w:hAnsi="Times New Roman"/>
          <w:rtl w:val="0"/>
          <w:lang w:val="en-US"/>
        </w:rPr>
        <w:t xml:space="preserve"> On January 12, 1977, the Criminal Identification Bureau of the Israel Police examined the inscription using infrared illumination. According to Broshi and Barkay, the investigation confirmed that the drawing or the inscription had not been altered in any way.</w:t>
      </w:r>
      <w:r>
        <w:rPr>
          <w:rFonts w:ascii="Times New Roman" w:cs="Times New Roman" w:hAnsi="Times New Roman" w:eastAsia="Times New Roman"/>
          <w:vertAlign w:val="superscript"/>
          <w:lang w:val="en-US"/>
        </w:rPr>
        <w:footnoteReference w:id="13"/>
      </w:r>
      <w:r>
        <w:rPr>
          <w:rFonts w:ascii="Times New Roman" w:hAnsi="Times New Roman"/>
          <w:rtl w:val="0"/>
          <w:lang w:val="en-US"/>
        </w:rPr>
        <w:t xml:space="preserve"> However, as Gibson and Taylor accurately point out, although infrared illumination can detect the presence of absorbed pigments in porous and, especially, organic materials, there are significant reasons to question whether it can reveal any lines on stone surfaces that would not already be visible to the naked eye.</w:t>
      </w:r>
      <w:r>
        <w:rPr>
          <w:rFonts w:ascii="Times New Roman" w:cs="Times New Roman" w:hAnsi="Times New Roman" w:eastAsia="Times New Roman"/>
          <w:vertAlign w:val="superscript"/>
          <w:lang w:val="en-US"/>
        </w:rPr>
        <w:footnoteReference w:id="14"/>
      </w:r>
      <w:r>
        <w:rPr>
          <w:rFonts w:ascii="Times New Roman" w:hAnsi="Times New Roman"/>
          <w:rtl w:val="0"/>
          <w:lang w:val="en-US"/>
        </w:rPr>
        <w:t xml:space="preserve"> In any event, the alteration of the original drawing and inscription resulting from the cleaning process appears evident.</w:t>
      </w:r>
      <w:r>
        <w:rPr>
          <w:rFonts w:ascii="Times New Roman" w:cs="Times New Roman" w:hAnsi="Times New Roman" w:eastAsia="Times New Roman"/>
          <w:vertAlign w:val="superscript"/>
        </w:rPr>
        <w:footnoteReference w:id="15"/>
      </w:r>
      <w:r>
        <w:rPr>
          <w:rFonts w:ascii="Times New Roman" w:hAnsi="Times New Roman"/>
          <w:rtl w:val="0"/>
          <w:lang w:val="en-US"/>
        </w:rPr>
        <w:t xml:space="preserve"> </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#articleHeader</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r>
        <w:rPr>
          <w:rFonts w:ascii="Times New Roman" w:hAnsi="Times New Roman"/>
          <w:i w:val="1"/>
          <w:iCs w:val="1"/>
          <w:rtl w:val="0"/>
          <w:lang w:val="en-US"/>
        </w:rPr>
        <w:t>Language</w:t>
      </w:r>
      <w:r>
        <w:rPr>
          <w:rFonts w:ascii="Times New Roman" w:hAnsi="Times New Roman"/>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rPr>
      </w:pPr>
      <w:r>
        <w:rPr>
          <w:rFonts w:ascii="Times New Roman" w:hAnsi="Times New Roman"/>
          <w:rtl w:val="0"/>
          <w:lang w:val="en-US"/>
        </w:rPr>
        <w:t xml:space="preserve">The initial point of interest in the inscription should lie in the peculiar verb form </w:t>
      </w:r>
      <w:r>
        <w:rPr>
          <w:rFonts w:ascii="Times New Roman" w:hAnsi="Times New Roman"/>
          <w:i w:val="1"/>
          <w:iCs w:val="1"/>
          <w:rtl w:val="0"/>
          <w:lang w:val="en-US"/>
        </w:rPr>
        <w:t xml:space="preserve">ivimus. </w:t>
      </w:r>
      <w:r>
        <w:rPr>
          <w:rFonts w:ascii="Times New Roman" w:hAnsi="Times New Roman"/>
          <w:rtl w:val="0"/>
          <w:lang w:val="en-US"/>
        </w:rPr>
        <w:t xml:space="preserve">The editor of the </w:t>
      </w:r>
      <w:r>
        <w:rPr>
          <w:rFonts w:ascii="Times New Roman" w:hAnsi="Times New Roman"/>
          <w:i w:val="1"/>
          <w:iCs w:val="1"/>
          <w:rtl w:val="0"/>
          <w:lang w:val="en-US"/>
        </w:rPr>
        <w:t xml:space="preserve">CIIP </w:t>
      </w:r>
      <w:r>
        <w:rPr>
          <w:rFonts w:ascii="Times New Roman" w:hAnsi="Times New Roman"/>
          <w:rtl w:val="0"/>
          <w:lang w:val="en-US"/>
        </w:rPr>
        <w:t xml:space="preserve">interprets it as the uncontracted first-person plural perfect of the Latin verb </w:t>
      </w:r>
      <w:r>
        <w:rPr>
          <w:rFonts w:ascii="Times New Roman" w:hAnsi="Times New Roman"/>
          <w:i w:val="1"/>
          <w:iCs w:val="1"/>
          <w:rtl w:val="0"/>
          <w:lang w:val="fr-FR"/>
        </w:rPr>
        <w:t xml:space="preserve">ire, </w:t>
      </w:r>
      <w:r>
        <w:rPr>
          <w:rFonts w:ascii="Times New Roman" w:hAnsi="Times New Roman"/>
          <w:rtl w:val="0"/>
          <w:lang w:val="en-US"/>
        </w:rPr>
        <w:t xml:space="preserve">meaning </w:t>
      </w:r>
      <w:r>
        <w:rPr>
          <w:rFonts w:ascii="Times New Roman" w:hAnsi="Times New Roman" w:hint="default"/>
          <w:rtl w:val="0"/>
          <w:lang w:val="en-US"/>
        </w:rPr>
        <w:t>‘</w:t>
      </w:r>
      <w:r>
        <w:rPr>
          <w:rFonts w:ascii="Times New Roman" w:hAnsi="Times New Roman"/>
          <w:rtl w:val="0"/>
          <w:lang w:val="en-US"/>
        </w:rPr>
        <w:t>to go</w:t>
      </w:r>
      <w:r>
        <w:rPr>
          <w:rFonts w:ascii="Times New Roman" w:hAnsi="Times New Roman" w:hint="default"/>
          <w:rtl w:val="0"/>
          <w:lang w:val="en-US"/>
        </w:rPr>
        <w:t>’</w:t>
      </w:r>
      <w:r>
        <w:rPr>
          <w:rFonts w:ascii="Times New Roman" w:hAnsi="Times New Roman"/>
          <w:rtl w:val="0"/>
          <w:lang w:val="en-US"/>
        </w:rPr>
        <w:t xml:space="preserve">. Strangely enough, the editor chooses to translate the phrase as </w:t>
      </w:r>
      <w:r>
        <w:rPr>
          <w:rFonts w:ascii="Times New Roman" w:hAnsi="Times New Roman" w:hint="default"/>
          <w:rtl w:val="0"/>
          <w:lang w:val="en-US"/>
        </w:rPr>
        <w:t>‘</w:t>
      </w:r>
      <w:r>
        <w:rPr>
          <w:rFonts w:ascii="Times New Roman" w:hAnsi="Times New Roman"/>
          <w:rtl w:val="0"/>
          <w:lang w:val="en-US"/>
        </w:rPr>
        <w:t>Lord, we have come</w:t>
      </w:r>
      <w:r>
        <w:rPr>
          <w:rFonts w:ascii="Times New Roman" w:hAnsi="Times New Roman" w:hint="default"/>
          <w:rtl w:val="0"/>
          <w:lang w:val="en-US"/>
        </w:rPr>
        <w:t>’</w:t>
      </w:r>
      <w:r>
        <w:rPr>
          <w:rFonts w:ascii="Arial Unicode MS" w:hAnsi="Arial Unicode MS"/>
          <w:rtl w:val="1"/>
          <w:lang w:val="ar-SA" w:bidi="ar-SA"/>
        </w:rPr>
        <w:t xml:space="preserve"> </w:t>
      </w:r>
      <w:r>
        <w:rPr>
          <w:rFonts w:ascii="Times New Roman" w:hAnsi="Times New Roman"/>
          <w:rtl w:val="0"/>
          <w:lang w:val="en-US"/>
        </w:rPr>
        <w:t xml:space="preserve">instead of the expected </w:t>
      </w:r>
      <w:r>
        <w:rPr>
          <w:rFonts w:ascii="Times New Roman" w:hAnsi="Times New Roman" w:hint="default"/>
          <w:rtl w:val="0"/>
          <w:lang w:val="en-US"/>
        </w:rPr>
        <w:t>‘</w:t>
      </w:r>
      <w:r>
        <w:rPr>
          <w:rFonts w:ascii="Times New Roman" w:hAnsi="Times New Roman"/>
          <w:rtl w:val="0"/>
          <w:lang w:val="en-US"/>
        </w:rPr>
        <w:t>Lord, we went</w:t>
      </w:r>
      <w:r>
        <w:rPr>
          <w:rFonts w:ascii="Times New Roman" w:hAnsi="Times New Roman" w:hint="default"/>
          <w:rtl w:val="0"/>
          <w:lang w:val="en-US"/>
        </w:rPr>
        <w:t>’</w:t>
      </w:r>
      <w:r>
        <w:rPr>
          <w:rFonts w:ascii="Times New Roman" w:hAnsi="Times New Roman"/>
          <w:rtl w:val="0"/>
          <w:lang w:val="en-US"/>
        </w:rPr>
        <w:t xml:space="preserve">. This interpretation would presume that the verb </w:t>
      </w:r>
      <w:r>
        <w:rPr>
          <w:rFonts w:ascii="Times New Roman" w:hAnsi="Times New Roman"/>
          <w:i w:val="1"/>
          <w:iCs w:val="1"/>
          <w:rtl w:val="0"/>
          <w:lang w:val="en-US"/>
        </w:rPr>
        <w:t>ire</w:t>
      </w:r>
      <w:r>
        <w:rPr>
          <w:rFonts w:ascii="Times New Roman" w:hAnsi="Times New Roman"/>
          <w:rtl w:val="0"/>
          <w:lang w:val="en-US"/>
        </w:rPr>
        <w:t xml:space="preserve"> was also used to indicate arrival. Judging from thousands of occurrences from different periods of Latinity, the verb </w:t>
      </w:r>
      <w:r>
        <w:rPr>
          <w:rFonts w:ascii="Times New Roman" w:hAnsi="Times New Roman"/>
          <w:i w:val="1"/>
          <w:iCs w:val="1"/>
          <w:rtl w:val="0"/>
          <w:lang w:val="en-US"/>
        </w:rPr>
        <w:t>ire</w:t>
      </w:r>
      <w:r>
        <w:rPr>
          <w:rFonts w:ascii="Times New Roman" w:hAnsi="Times New Roman"/>
          <w:rtl w:val="0"/>
          <w:lang w:val="en-US"/>
        </w:rPr>
        <w:t xml:space="preserve"> had nearly the same semantic extension in Latin as the English </w:t>
      </w:r>
      <w:r>
        <w:rPr>
          <w:rFonts w:ascii="Times New Roman" w:hAnsi="Times New Roman"/>
          <w:i w:val="1"/>
          <w:iCs w:val="1"/>
          <w:rtl w:val="0"/>
          <w:lang w:val="en-US"/>
        </w:rPr>
        <w:t>go</w:t>
      </w:r>
      <w:r>
        <w:rPr>
          <w:rFonts w:ascii="Times New Roman" w:hAnsi="Times New Roman"/>
          <w:rtl w:val="0"/>
          <w:lang w:val="en-US"/>
        </w:rPr>
        <w:t>, denoting every kind of motion for animate or inanimate things: walking, riding, sailing, flying, moving, passing, and so on.</w:t>
      </w:r>
      <w:r>
        <w:rPr>
          <w:rFonts w:ascii="Times New Roman" w:cs="Times New Roman" w:hAnsi="Times New Roman" w:eastAsia="Times New Roman"/>
          <w:vertAlign w:val="superscript"/>
        </w:rPr>
        <w:footnoteReference w:id="16"/>
      </w:r>
      <w:r>
        <w:rPr>
          <w:rFonts w:ascii="Times New Roman" w:hAnsi="Times New Roman"/>
          <w:rtl w:val="0"/>
          <w:lang w:val="en-US"/>
        </w:rPr>
        <w:t xml:space="preserve"> In what follows, we investigate whether there is any evidence indicating that </w:t>
      </w:r>
      <w:r>
        <w:rPr>
          <w:rFonts w:ascii="Times New Roman" w:hAnsi="Times New Roman"/>
          <w:i w:val="1"/>
          <w:iCs w:val="1"/>
          <w:rtl w:val="0"/>
          <w:lang w:val="en-US"/>
        </w:rPr>
        <w:t>ire</w:t>
      </w:r>
      <w:r>
        <w:rPr>
          <w:rFonts w:ascii="Times New Roman" w:hAnsi="Times New Roman"/>
          <w:rtl w:val="0"/>
          <w:lang w:val="en-US"/>
        </w:rPr>
        <w:t xml:space="preserve"> might also have signified arrival at some chronological stage of Latin, in the way it does in modern Ibero-Romance languages. These languages descending from Latin could theoretically continue a previously unknown Vulgar Latin usage, with </w:t>
      </w:r>
      <w:r>
        <w:rPr>
          <w:rFonts w:ascii="Times New Roman" w:hAnsi="Times New Roman"/>
          <w:i w:val="1"/>
          <w:iCs w:val="1"/>
          <w:rtl w:val="0"/>
          <w:lang w:val="en-US"/>
        </w:rPr>
        <w:t>ivimus</w:t>
      </w:r>
      <w:r>
        <w:rPr>
          <w:rFonts w:ascii="Times New Roman" w:hAnsi="Times New Roman"/>
          <w:rtl w:val="0"/>
          <w:lang w:val="en-US"/>
        </w:rPr>
        <w:t xml:space="preserve"> attested in the inscription as a unique manifestation of it.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r>
        <w:rPr>
          <w:rFonts w:ascii="Times New Roman" w:hAnsi="Times New Roman"/>
          <w:rtl w:val="0"/>
          <w:lang w:val="en-US"/>
        </w:rPr>
        <w:t xml:space="preserve">In modern Spanish, the motion verbs </w:t>
      </w:r>
      <w:r>
        <w:rPr>
          <w:rFonts w:ascii="Times New Roman" w:hAnsi="Times New Roman"/>
          <w:i w:val="1"/>
          <w:iCs w:val="1"/>
          <w:rtl w:val="0"/>
          <w:lang w:val="en-US"/>
        </w:rPr>
        <w:t>ir</w:t>
      </w:r>
      <w:r>
        <w:rPr>
          <w:rFonts w:ascii="Times New Roman" w:hAnsi="Times New Roman"/>
          <w:rtl w:val="0"/>
          <w:lang w:val="en-US"/>
        </w:rPr>
        <w:t xml:space="preserve"> (&lt; Lat. </w:t>
      </w:r>
      <w:r>
        <w:rPr>
          <w:rFonts w:ascii="Times New Roman" w:hAnsi="Times New Roman"/>
          <w:i w:val="1"/>
          <w:iCs w:val="1"/>
          <w:rtl w:val="0"/>
          <w:lang w:val="en-US"/>
        </w:rPr>
        <w:t>ire</w:t>
      </w:r>
      <w:r>
        <w:rPr>
          <w:rFonts w:ascii="Times New Roman" w:hAnsi="Times New Roman"/>
          <w:rtl w:val="0"/>
          <w:lang w:val="en-US"/>
        </w:rPr>
        <w:t xml:space="preserve">) and </w:t>
      </w:r>
      <w:r>
        <w:rPr>
          <w:rFonts w:ascii="Times New Roman" w:hAnsi="Times New Roman"/>
          <w:i w:val="1"/>
          <w:iCs w:val="1"/>
          <w:rtl w:val="0"/>
          <w:lang w:val="fr-FR"/>
        </w:rPr>
        <w:t>venir</w:t>
      </w:r>
      <w:r>
        <w:rPr>
          <w:rFonts w:ascii="Times New Roman" w:hAnsi="Times New Roman"/>
          <w:rtl w:val="0"/>
          <w:lang w:val="en-US"/>
        </w:rPr>
        <w:t xml:space="preserve"> (&lt; Lat. </w:t>
      </w:r>
      <w:r>
        <w:rPr>
          <w:rFonts w:ascii="Times New Roman" w:hAnsi="Times New Roman"/>
          <w:i w:val="1"/>
          <w:iCs w:val="1"/>
          <w:rtl w:val="0"/>
          <w:lang w:val="en-US"/>
        </w:rPr>
        <w:t>venire</w:t>
      </w:r>
      <w:r>
        <w:rPr>
          <w:rFonts w:ascii="Times New Roman" w:hAnsi="Times New Roman"/>
          <w:rtl w:val="0"/>
          <w:lang w:val="en-US"/>
        </w:rPr>
        <w:t>) both express the movement of something or someone from one point to another, using the speaker</w:t>
      </w:r>
      <w:r>
        <w:rPr>
          <w:rFonts w:ascii="Arial Unicode MS" w:hAnsi="Arial Unicode MS" w:hint="default"/>
          <w:rtl w:val="1"/>
          <w:lang w:val="ar-SA" w:bidi="ar-SA"/>
        </w:rPr>
        <w:t>’</w:t>
      </w:r>
      <w:r>
        <w:rPr>
          <w:rFonts w:ascii="Times New Roman" w:hAnsi="Times New Roman"/>
          <w:rtl w:val="0"/>
          <w:lang w:val="en-US"/>
        </w:rPr>
        <w:t>s physical position at the moment of the utterance as the point of reference.</w:t>
      </w:r>
      <w:r>
        <w:rPr>
          <w:rFonts w:ascii="Times New Roman" w:cs="Times New Roman" w:hAnsi="Times New Roman" w:eastAsia="Times New Roman"/>
          <w:vertAlign w:val="superscript"/>
        </w:rPr>
        <w:footnoteReference w:id="17"/>
      </w:r>
      <w:r>
        <w:rPr>
          <w:rFonts w:ascii="Times New Roman" w:hAnsi="Times New Roman"/>
          <w:rtl w:val="0"/>
          <w:lang w:val="en-US"/>
        </w:rPr>
        <w:t xml:space="preserve"> The verb </w:t>
      </w:r>
      <w:r>
        <w:rPr>
          <w:rFonts w:ascii="Times New Roman" w:hAnsi="Times New Roman"/>
          <w:i w:val="1"/>
          <w:iCs w:val="1"/>
          <w:rtl w:val="0"/>
          <w:lang w:val="en-US"/>
        </w:rPr>
        <w:t>ir</w:t>
      </w:r>
      <w:r>
        <w:rPr>
          <w:rFonts w:ascii="Times New Roman" w:hAnsi="Times New Roman"/>
          <w:rtl w:val="0"/>
          <w:lang w:val="en-US"/>
        </w:rPr>
        <w:t xml:space="preserve"> indicates speaker</w:t>
      </w:r>
      <w:r>
        <w:rPr>
          <w:rFonts w:ascii="Arial Unicode MS" w:hAnsi="Arial Unicode MS" w:hint="default"/>
          <w:rtl w:val="1"/>
          <w:lang w:val="ar-SA" w:bidi="ar-SA"/>
        </w:rPr>
        <w:t>’</w:t>
      </w:r>
      <w:r>
        <w:rPr>
          <w:rFonts w:ascii="Times New Roman" w:hAnsi="Times New Roman"/>
          <w:rtl w:val="0"/>
          <w:lang w:val="en-US"/>
        </w:rPr>
        <w:t>s movement from their current place to another, regardless of the location of the person they are addressing. Consider the following example:</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#blockQuote</w:t>
      </w:r>
    </w:p>
    <w:p>
      <w:pPr>
        <w:pStyle w:val="Oletus"/>
        <w:tabs>
          <w:tab w:val="left" w:pos="1304"/>
          <w:tab w:val="left" w:pos="2608"/>
          <w:tab w:val="left" w:pos="3912"/>
          <w:tab w:val="left" w:pos="5216"/>
          <w:tab w:val="left" w:pos="6520"/>
          <w:tab w:val="left" w:pos="7824"/>
          <w:tab w:val="left" w:pos="9128"/>
        </w:tabs>
        <w:spacing w:before="0" w:after="160"/>
        <w:ind w:left="284" w:firstLine="0"/>
        <w:jc w:val="both"/>
        <w:rPr>
          <w:u w:color="000000"/>
        </w:rPr>
      </w:pPr>
      <w:r>
        <w:rPr>
          <w:rFonts w:ascii="Calibri" w:hAnsi="Calibri" w:hint="default"/>
          <w:u w:color="000000"/>
          <w:rtl w:val="0"/>
          <w:lang w:val="en-US"/>
        </w:rPr>
        <w:t>–</w:t>
      </w:r>
      <w:r>
        <w:rPr>
          <w:rFonts w:ascii="Times New Roman" w:hAnsi="Times New Roman"/>
          <w:u w:color="000000"/>
          <w:rtl w:val="0"/>
          <w:lang w:val="es-ES_tradnl"/>
        </w:rPr>
        <w:t xml:space="preserve"> Esta noche voy a la misa con Dolores. </w:t>
      </w:r>
      <w:r>
        <w:rPr>
          <w:rFonts w:ascii="Times New Roman" w:hAnsi="Times New Roman" w:hint="default"/>
          <w:u w:color="000000"/>
          <w:rtl w:val="0"/>
          <w:lang w:val="es-ES_tradnl"/>
        </w:rPr>
        <w:t>¿</w:t>
      </w:r>
      <w:r>
        <w:rPr>
          <w:rFonts w:ascii="Times New Roman" w:hAnsi="Times New Roman"/>
          <w:u w:color="000000"/>
          <w:rtl w:val="0"/>
          <w:lang w:val="es-ES_tradnl"/>
        </w:rPr>
        <w:t xml:space="preserve">Vienes? (verb </w:t>
      </w:r>
      <w:r>
        <w:rPr>
          <w:rFonts w:ascii="Times New Roman" w:hAnsi="Times New Roman"/>
          <w:i w:val="1"/>
          <w:iCs w:val="1"/>
          <w:u w:color="000000"/>
          <w:rtl w:val="0"/>
          <w:lang w:val="fr-FR"/>
        </w:rPr>
        <w:t>venir</w:t>
      </w:r>
      <w:r>
        <w:rPr>
          <w:rFonts w:ascii="Times New Roman" w:hAnsi="Times New Roman"/>
          <w:u w:color="000000"/>
          <w:rtl w:val="0"/>
          <w:lang w:val="en-US"/>
        </w:rPr>
        <w:t xml:space="preserve">) </w:t>
      </w:r>
      <w:r>
        <w:rPr>
          <w:rFonts w:ascii="Times New Roman" w:hAnsi="Times New Roman" w:hint="default"/>
          <w:u w:color="000000"/>
          <w:rtl w:val="0"/>
          <w:lang w:val="en-US"/>
        </w:rPr>
        <w:t>‘</w:t>
      </w:r>
      <w:r>
        <w:rPr>
          <w:rFonts w:ascii="Times New Roman" w:hAnsi="Times New Roman"/>
          <w:u w:color="000000"/>
          <w:rtl w:val="0"/>
          <w:lang w:val="en-US"/>
        </w:rPr>
        <w:t>Tonight I</w:t>
      </w:r>
      <w:r>
        <w:rPr>
          <w:rFonts w:ascii="Arial Unicode MS" w:hAnsi="Arial Unicode MS" w:hint="default"/>
          <w:u w:color="000000"/>
          <w:rtl w:val="1"/>
          <w:lang w:val="ar-SA" w:bidi="ar-SA"/>
        </w:rPr>
        <w:t>’</w:t>
      </w:r>
      <w:r>
        <w:rPr>
          <w:rFonts w:ascii="Times New Roman" w:hAnsi="Times New Roman"/>
          <w:u w:color="000000"/>
          <w:rtl w:val="0"/>
          <w:lang w:val="en-US"/>
        </w:rPr>
        <w:t>m going to the mass with Dolores. Are you coming?</w:t>
      </w:r>
      <w:r>
        <w:rPr>
          <w:rFonts w:ascii="Times New Roman" w:hAnsi="Times New Roman" w:hint="default"/>
          <w:u w:color="000000"/>
          <w:rtl w:val="0"/>
          <w:lang w:val="en-US"/>
        </w:rPr>
        <w:t>’</w:t>
      </w:r>
      <w:r>
        <w:rPr>
          <w:rFonts w:ascii="Arial Unicode MS" w:hAnsi="Arial Unicode MS"/>
          <w:u w:color="000000"/>
          <w:rtl w:val="1"/>
          <w:lang w:val="ar-SA" w:bidi="ar-SA"/>
        </w:rPr>
        <w:t xml:space="preserve"> </w:t>
      </w:r>
      <w:r>
        <w:rPr>
          <w:rFonts w:ascii="Times New Roman" w:hAnsi="Times New Roman"/>
          <w:u w:color="000000"/>
          <w:rtl w:val="0"/>
          <w:lang w:val="de-DE"/>
        </w:rPr>
        <w:t xml:space="preserve">(verb </w:t>
      </w:r>
      <w:r>
        <w:rPr>
          <w:rFonts w:ascii="Times New Roman" w:hAnsi="Times New Roman"/>
          <w:i w:val="1"/>
          <w:iCs w:val="1"/>
          <w:u w:color="000000"/>
          <w:rtl w:val="0"/>
          <w:lang w:val="en-US"/>
        </w:rPr>
        <w:t>to come</w:t>
      </w:r>
      <w:r>
        <w:rPr>
          <w:rFonts w:ascii="Times New Roman" w:hAnsi="Times New Roman"/>
          <w:u w:color="000000"/>
          <w:rtl w:val="0"/>
          <w:lang w:val="en-US"/>
        </w:rPr>
        <w:t>)</w:t>
      </w:r>
    </w:p>
    <w:p>
      <w:pPr>
        <w:pStyle w:val="Oletus"/>
        <w:tabs>
          <w:tab w:val="left" w:pos="1304"/>
          <w:tab w:val="left" w:pos="2608"/>
          <w:tab w:val="left" w:pos="3912"/>
          <w:tab w:val="left" w:pos="5216"/>
          <w:tab w:val="left" w:pos="6520"/>
          <w:tab w:val="left" w:pos="7824"/>
          <w:tab w:val="left" w:pos="9128"/>
        </w:tabs>
        <w:spacing w:before="0" w:after="160"/>
        <w:ind w:left="284" w:firstLine="0"/>
        <w:jc w:val="both"/>
        <w:rPr>
          <w:rFonts w:ascii="Times New Roman" w:cs="Times New Roman" w:hAnsi="Times New Roman" w:eastAsia="Times New Roman"/>
          <w:u w:color="000000"/>
        </w:rPr>
      </w:pPr>
      <w:r>
        <w:rPr>
          <w:rFonts w:ascii="Times New Roman" w:hAnsi="Times New Roman" w:hint="default"/>
          <w:u w:color="000000"/>
          <w:rtl w:val="0"/>
          <w:lang w:val="en-US"/>
        </w:rPr>
        <w:t xml:space="preserve">– </w:t>
      </w:r>
      <w:r>
        <w:rPr>
          <w:rFonts w:ascii="Times New Roman" w:hAnsi="Times New Roman"/>
          <w:u w:color="000000"/>
          <w:rtl w:val="0"/>
          <w:lang w:val="es-ES_tradnl"/>
        </w:rPr>
        <w:t xml:space="preserve">Me parece buena idea: </w:t>
      </w:r>
      <w:r>
        <w:rPr>
          <w:rFonts w:ascii="Times New Roman" w:hAnsi="Times New Roman" w:hint="default"/>
          <w:u w:color="000000"/>
          <w:rtl w:val="0"/>
          <w:lang w:val="es-ES_tradnl"/>
        </w:rPr>
        <w:t>¡</w:t>
      </w:r>
      <w:r>
        <w:rPr>
          <w:rFonts w:ascii="Times New Roman" w:hAnsi="Times New Roman"/>
          <w:u w:color="000000"/>
          <w:rtl w:val="0"/>
          <w:lang w:val="en-US"/>
        </w:rPr>
        <w:t xml:space="preserve">voy! (verb </w:t>
      </w:r>
      <w:r>
        <w:rPr>
          <w:rFonts w:ascii="Times New Roman" w:hAnsi="Times New Roman"/>
          <w:i w:val="1"/>
          <w:iCs w:val="1"/>
          <w:u w:color="000000"/>
          <w:rtl w:val="0"/>
          <w:lang w:val="en-US"/>
        </w:rPr>
        <w:t>ir</w:t>
      </w:r>
      <w:r>
        <w:rPr>
          <w:rFonts w:ascii="Times New Roman" w:hAnsi="Times New Roman"/>
          <w:u w:color="000000"/>
          <w:rtl w:val="0"/>
          <w:lang w:val="en-US"/>
        </w:rPr>
        <w:t xml:space="preserve">) </w:t>
      </w:r>
      <w:r>
        <w:rPr>
          <w:rFonts w:ascii="Times New Roman" w:hAnsi="Times New Roman" w:hint="default"/>
          <w:u w:color="000000"/>
          <w:rtl w:val="0"/>
          <w:lang w:val="en-US"/>
        </w:rPr>
        <w:t>‘</w:t>
      </w:r>
      <w:r>
        <w:rPr>
          <w:rFonts w:ascii="Times New Roman" w:hAnsi="Times New Roman"/>
          <w:u w:color="000000"/>
          <w:rtl w:val="0"/>
          <w:lang w:val="en-US"/>
        </w:rPr>
        <w:t>It looks like a good idea: I</w:t>
      </w:r>
      <w:r>
        <w:rPr>
          <w:rFonts w:ascii="Arial Unicode MS" w:hAnsi="Arial Unicode MS" w:hint="default"/>
          <w:u w:color="000000"/>
          <w:rtl w:val="1"/>
          <w:lang w:val="ar-SA" w:bidi="ar-SA"/>
        </w:rPr>
        <w:t>’</w:t>
      </w:r>
      <w:r>
        <w:rPr>
          <w:rFonts w:ascii="Times New Roman" w:hAnsi="Times New Roman"/>
          <w:u w:color="000000"/>
          <w:rtl w:val="0"/>
          <w:lang w:val="en-US"/>
        </w:rPr>
        <w:t>m coming!</w:t>
      </w:r>
      <w:r>
        <w:rPr>
          <w:rFonts w:ascii="Times New Roman" w:hAnsi="Times New Roman" w:hint="default"/>
          <w:u w:color="000000"/>
          <w:rtl w:val="0"/>
          <w:lang w:val="en-US"/>
        </w:rPr>
        <w:t>’</w:t>
      </w:r>
      <w:r>
        <w:rPr>
          <w:rFonts w:ascii="Arial Unicode MS" w:hAnsi="Arial Unicode MS"/>
          <w:u w:color="000000"/>
          <w:rtl w:val="1"/>
          <w:lang w:val="ar-SA" w:bidi="ar-SA"/>
        </w:rPr>
        <w:t xml:space="preserve"> </w:t>
      </w:r>
      <w:r>
        <w:rPr>
          <w:rFonts w:ascii="Times New Roman" w:hAnsi="Times New Roman"/>
          <w:u w:color="000000"/>
          <w:rtl w:val="0"/>
          <w:lang w:val="de-DE"/>
        </w:rPr>
        <w:t xml:space="preserve">(verb </w:t>
      </w:r>
      <w:r>
        <w:rPr>
          <w:rFonts w:ascii="Times New Roman" w:hAnsi="Times New Roman"/>
          <w:i w:val="1"/>
          <w:iCs w:val="1"/>
          <w:u w:color="000000"/>
          <w:rtl w:val="0"/>
          <w:lang w:val="en-US"/>
        </w:rPr>
        <w:t>to come</w:t>
      </w:r>
      <w:r>
        <w:rPr>
          <w:rFonts w:ascii="Times New Roman" w:hAnsi="Times New Roman"/>
          <w:u w:color="000000"/>
          <w:rtl w:val="0"/>
          <w:lang w:val="en-US"/>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r>
        <w:rPr>
          <w:rFonts w:ascii="Times New Roman" w:hAnsi="Times New Roman"/>
          <w:u w:color="000000"/>
          <w:rtl w:val="0"/>
          <w:lang w:val="en-US"/>
        </w:rPr>
        <w:t>#endBlockQuote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lang w:val="en-US"/>
        </w:rPr>
      </w:pPr>
      <w:r>
        <w:rPr>
          <w:rFonts w:ascii="Times New Roman" w:hAnsi="Times New Roman"/>
          <w:u w:color="000000"/>
          <w:rtl w:val="0"/>
          <w:lang w:val="en-US"/>
        </w:rPr>
        <w:t xml:space="preserve">The pattern differs from English and many other European languages, in which the positions of both the speaker and the addressee together determine the selection between the two verbs. While the general behaviour of Latin motion verbs more closely resembles English than Spanish, cases of </w:t>
      </w:r>
      <w:r>
        <w:rPr>
          <w:rFonts w:ascii="Times New Roman" w:hAnsi="Times New Roman"/>
          <w:i w:val="1"/>
          <w:iCs w:val="1"/>
          <w:u w:color="000000"/>
          <w:rtl w:val="0"/>
          <w:lang w:val="en-US"/>
        </w:rPr>
        <w:t>ire</w:t>
      </w:r>
      <w:r>
        <w:rPr>
          <w:rFonts w:ascii="Times New Roman" w:hAnsi="Times New Roman"/>
          <w:u w:color="000000"/>
          <w:rtl w:val="0"/>
          <w:lang w:val="en-US"/>
        </w:rPr>
        <w:t xml:space="preserve"> in places where one might expect </w:t>
      </w:r>
      <w:r>
        <w:rPr>
          <w:rFonts w:ascii="Times New Roman" w:hAnsi="Times New Roman"/>
          <w:i w:val="1"/>
          <w:iCs w:val="1"/>
          <w:u w:color="000000"/>
          <w:rtl w:val="0"/>
          <w:lang w:val="en-US"/>
        </w:rPr>
        <w:t>venire</w:t>
      </w:r>
      <w:r>
        <w:rPr>
          <w:rFonts w:ascii="Times New Roman" w:hAnsi="Times New Roman"/>
          <w:u w:color="000000"/>
          <w:rtl w:val="0"/>
          <w:lang w:val="en-US"/>
        </w:rPr>
        <w:t xml:space="preserve"> appear in Old Latin, especially in the comedies of Plautus and Terence:</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lang w:val="en-US"/>
        </w:rPr>
      </w:pPr>
    </w:p>
    <w:p>
      <w:pPr>
        <w:pStyle w:val="Default"/>
        <w:bidi w:val="0"/>
        <w:spacing w:before="0" w:line="240" w:lineRule="auto"/>
        <w:ind w:left="0" w:right="0" w:firstLine="0"/>
        <w:jc w:val="left"/>
        <w:rPr>
          <w:rFonts w:ascii="Times Roman" w:cs="Times Roman" w:hAnsi="Times Roman" w:eastAsia="Times Roman"/>
          <w:u w:color="000000"/>
          <w:rtl w:val="0"/>
        </w:rPr>
      </w:pPr>
      <w:r>
        <w:rPr>
          <w:rFonts w:ascii="Times New Roman" w:hAnsi="Times New Roman"/>
          <w:u w:color="000000"/>
          <w:rtl w:val="0"/>
          <w:lang w:val="en-US"/>
        </w:rPr>
        <w:t>#blockQuote</w:t>
      </w:r>
    </w:p>
    <w:p>
      <w:pPr>
        <w:pStyle w:val="Oletus"/>
        <w:tabs>
          <w:tab w:val="left" w:pos="1304"/>
          <w:tab w:val="left" w:pos="2608"/>
          <w:tab w:val="left" w:pos="3912"/>
          <w:tab w:val="left" w:pos="5216"/>
          <w:tab w:val="left" w:pos="6520"/>
          <w:tab w:val="left" w:pos="7824"/>
          <w:tab w:val="left" w:pos="9128"/>
        </w:tabs>
        <w:spacing w:before="0" w:after="160"/>
        <w:ind w:left="284" w:firstLine="0"/>
        <w:jc w:val="both"/>
        <w:rPr>
          <w:rFonts w:ascii="Times New Roman" w:cs="Times New Roman" w:hAnsi="Times New Roman" w:eastAsia="Times New Roman"/>
          <w:u w:color="000000"/>
        </w:rPr>
      </w:pPr>
      <w:r>
        <w:rPr>
          <w:rFonts w:ascii="Times New Roman" w:hAnsi="Times New Roman"/>
          <w:i w:val="1"/>
          <w:iCs w:val="1"/>
          <w:u w:color="000000"/>
          <w:rtl w:val="0"/>
          <w:lang w:val="en-US"/>
        </w:rPr>
        <w:t>Euge Astaphium eccam it mihi advorsum</w:t>
      </w:r>
      <w:r>
        <w:rPr>
          <w:rFonts w:ascii="Times New Roman" w:hAnsi="Times New Roman"/>
          <w:u w:color="000000"/>
          <w:rtl w:val="0"/>
          <w:lang w:val="en-US"/>
        </w:rPr>
        <w:t xml:space="preserve">. </w:t>
      </w:r>
      <w:r>
        <w:rPr>
          <w:rFonts w:ascii="Times New Roman" w:hAnsi="Times New Roman" w:hint="default"/>
          <w:u w:color="000000"/>
          <w:rtl w:val="0"/>
          <w:lang w:val="en-US"/>
        </w:rPr>
        <w:t>’</w:t>
      </w:r>
      <w:r>
        <w:rPr>
          <w:rFonts w:ascii="Times New Roman" w:hAnsi="Times New Roman"/>
          <w:u w:color="000000"/>
          <w:rtl w:val="0"/>
          <w:lang w:val="en-US"/>
        </w:rPr>
        <w:t>Great! Astaphium comes to meet me.</w:t>
      </w:r>
      <w:r>
        <w:rPr>
          <w:rFonts w:ascii="Times New Roman" w:hAnsi="Times New Roman" w:hint="default"/>
          <w:u w:color="000000"/>
          <w:rtl w:val="0"/>
          <w:lang w:val="en-US"/>
        </w:rPr>
        <w:t xml:space="preserve">’ </w:t>
      </w:r>
      <w:r>
        <w:rPr>
          <w:rFonts w:ascii="Times New Roman" w:hAnsi="Times New Roman"/>
          <w:u w:color="000000"/>
          <w:rtl w:val="0"/>
          <w:lang w:val="en-US"/>
        </w:rPr>
        <w:t xml:space="preserve">(Plautus, </w:t>
      </w:r>
      <w:r>
        <w:rPr>
          <w:rFonts w:ascii="Times New Roman" w:hAnsi="Times New Roman"/>
          <w:i w:val="1"/>
          <w:iCs w:val="1"/>
          <w:u w:color="000000"/>
          <w:rtl w:val="0"/>
          <w:lang w:val="en-US"/>
        </w:rPr>
        <w:t>Truculentus</w:t>
      </w:r>
      <w:r>
        <w:rPr>
          <w:rFonts w:ascii="Times New Roman" w:hAnsi="Times New Roman"/>
          <w:u w:color="000000"/>
          <w:rtl w:val="0"/>
          <w:lang w:val="en-US"/>
        </w:rPr>
        <w:t xml:space="preserve"> 503, c. 200 BC, where </w:t>
      </w:r>
      <w:r>
        <w:rPr>
          <w:rFonts w:ascii="Times New Roman" w:hAnsi="Times New Roman"/>
          <w:i w:val="1"/>
          <w:iCs w:val="1"/>
          <w:u w:color="000000"/>
          <w:rtl w:val="0"/>
          <w:lang w:val="en-US"/>
        </w:rPr>
        <w:t>it</w:t>
      </w:r>
      <w:r>
        <w:rPr>
          <w:rFonts w:ascii="Times New Roman" w:hAnsi="Times New Roman"/>
          <w:u w:color="000000"/>
          <w:rtl w:val="0"/>
          <w:lang w:val="en-US"/>
        </w:rPr>
        <w:t xml:space="preserve"> is the third-person singular present indicative of </w:t>
      </w:r>
      <w:r>
        <w:rPr>
          <w:rFonts w:ascii="Times New Roman" w:hAnsi="Times New Roman"/>
          <w:i w:val="1"/>
          <w:iCs w:val="1"/>
          <w:u w:color="000000"/>
          <w:rtl w:val="0"/>
          <w:lang w:val="en-US"/>
        </w:rPr>
        <w:t>ire</w:t>
      </w:r>
      <w:r>
        <w:rPr>
          <w:rFonts w:ascii="Times New Roman" w:hAnsi="Times New Roman"/>
          <w:u w:color="000000"/>
          <w:rtl w:val="0"/>
          <w:lang w:val="en-US"/>
        </w:rPr>
        <w:t>)</w:t>
      </w:r>
    </w:p>
    <w:p>
      <w:pPr>
        <w:pStyle w:val="Oletus"/>
        <w:tabs>
          <w:tab w:val="left" w:pos="1304"/>
          <w:tab w:val="left" w:pos="2608"/>
          <w:tab w:val="left" w:pos="3912"/>
          <w:tab w:val="left" w:pos="5216"/>
          <w:tab w:val="left" w:pos="6520"/>
          <w:tab w:val="left" w:pos="7824"/>
          <w:tab w:val="left" w:pos="9128"/>
        </w:tabs>
        <w:spacing w:before="0" w:after="160"/>
        <w:ind w:left="284" w:firstLine="0"/>
        <w:jc w:val="both"/>
        <w:rPr>
          <w:rFonts w:ascii="Times New Roman" w:cs="Times New Roman" w:hAnsi="Times New Roman" w:eastAsia="Times New Roman"/>
          <w:u w:color="000000"/>
          <w:lang w:val="en-US"/>
        </w:rPr>
      </w:pPr>
      <w:r>
        <w:rPr>
          <w:rFonts w:ascii="Times New Roman" w:hAnsi="Times New Roman"/>
          <w:i w:val="1"/>
          <w:iCs w:val="1"/>
          <w:u w:color="000000"/>
          <w:rtl w:val="0"/>
          <w:lang w:val="en-US"/>
        </w:rPr>
        <w:t>Unde is</w:t>
      </w:r>
      <w:r>
        <w:rPr>
          <w:rFonts w:ascii="Times New Roman" w:hAnsi="Times New Roman"/>
          <w:u w:color="000000"/>
          <w:rtl w:val="0"/>
          <w:lang w:val="en-US"/>
        </w:rPr>
        <w:t xml:space="preserve">? </w:t>
      </w:r>
      <w:r>
        <w:rPr>
          <w:rFonts w:ascii="Times New Roman" w:hAnsi="Times New Roman" w:hint="default"/>
          <w:u w:color="000000"/>
          <w:rtl w:val="0"/>
          <w:lang w:val="en-US"/>
        </w:rPr>
        <w:t>‘</w:t>
      </w:r>
      <w:r>
        <w:rPr>
          <w:rFonts w:ascii="Times New Roman" w:hAnsi="Times New Roman"/>
          <w:u w:color="000000"/>
          <w:rtl w:val="0"/>
          <w:lang w:val="en-US"/>
        </w:rPr>
        <w:t>Where do you come from?</w:t>
      </w:r>
      <w:r>
        <w:rPr>
          <w:rFonts w:ascii="Times New Roman" w:hAnsi="Times New Roman" w:hint="default"/>
          <w:u w:color="000000"/>
          <w:rtl w:val="0"/>
          <w:lang w:val="en-US"/>
        </w:rPr>
        <w:t xml:space="preserve">’ </w:t>
      </w:r>
      <w:r>
        <w:rPr>
          <w:rFonts w:ascii="Times New Roman" w:hAnsi="Times New Roman"/>
          <w:u w:color="000000"/>
          <w:rtl w:val="0"/>
          <w:lang w:val="en-US"/>
        </w:rPr>
        <w:t xml:space="preserve">(Plautus, </w:t>
      </w:r>
      <w:r>
        <w:rPr>
          <w:rFonts w:ascii="Times New Roman" w:hAnsi="Times New Roman"/>
          <w:i w:val="1"/>
          <w:iCs w:val="1"/>
          <w:u w:color="000000"/>
          <w:rtl w:val="0"/>
          <w:lang w:val="en-US"/>
        </w:rPr>
        <w:t>Mostellaria</w:t>
      </w:r>
      <w:r>
        <w:rPr>
          <w:rFonts w:ascii="Times New Roman" w:hAnsi="Times New Roman"/>
          <w:u w:color="000000"/>
          <w:rtl w:val="0"/>
          <w:lang w:val="en-US"/>
        </w:rPr>
        <w:t xml:space="preserve"> 547, c. 200 BC, where </w:t>
      </w:r>
      <w:r>
        <w:rPr>
          <w:rFonts w:ascii="Times New Roman" w:hAnsi="Times New Roman"/>
          <w:i w:val="1"/>
          <w:iCs w:val="1"/>
          <w:u w:color="000000"/>
          <w:rtl w:val="0"/>
          <w:lang w:val="en-US"/>
        </w:rPr>
        <w:t>is</w:t>
      </w:r>
      <w:r>
        <w:rPr>
          <w:rFonts w:ascii="Times New Roman" w:hAnsi="Times New Roman"/>
          <w:u w:color="000000"/>
          <w:rtl w:val="0"/>
          <w:lang w:val="en-US"/>
        </w:rPr>
        <w:t xml:space="preserve"> is the second-person singular present indicative of </w:t>
      </w:r>
      <w:r>
        <w:rPr>
          <w:rFonts w:ascii="Times New Roman" w:hAnsi="Times New Roman"/>
          <w:i w:val="1"/>
          <w:iCs w:val="1"/>
          <w:u w:color="000000"/>
          <w:rtl w:val="0"/>
          <w:lang w:val="en-US"/>
        </w:rPr>
        <w:t>ire</w:t>
      </w:r>
      <w:r>
        <w:rPr>
          <w:rFonts w:ascii="Times New Roman" w:hAnsi="Times New Roman"/>
          <w:u w:color="000000"/>
          <w:rtl w:val="0"/>
          <w:lang w:val="en-US"/>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r>
        <w:rPr>
          <w:rFonts w:ascii="Times New Roman" w:hAnsi="Times New Roman"/>
          <w:u w:color="000000"/>
          <w:rtl w:val="0"/>
          <w:lang w:val="en-US"/>
        </w:rPr>
        <w:t>#endBlockQuote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rPr>
      </w:pPr>
    </w:p>
    <w:p>
      <w:pPr>
        <w:pStyle w:val="Oletus"/>
        <w:tabs>
          <w:tab w:val="left" w:pos="1304"/>
          <w:tab w:val="left" w:pos="2608"/>
          <w:tab w:val="left" w:pos="3912"/>
          <w:tab w:val="left" w:pos="5216"/>
          <w:tab w:val="left" w:pos="6520"/>
          <w:tab w:val="left" w:pos="7824"/>
          <w:tab w:val="left" w:pos="9128"/>
        </w:tabs>
        <w:spacing w:before="0"/>
        <w:jc w:val="both"/>
        <w:rPr>
          <w:u w:color="000000"/>
        </w:rPr>
      </w:pPr>
      <w:r>
        <w:rPr>
          <w:rFonts w:ascii="Times New Roman" w:hAnsi="Times New Roman"/>
          <w:u w:color="000000"/>
          <w:rtl w:val="0"/>
          <w:lang w:val="en-US"/>
        </w:rPr>
        <w:t xml:space="preserve">However, the system that arises from Old Latin comedies differs from that of Spanish. </w:t>
      </w:r>
      <w:r>
        <w:rPr>
          <w:rFonts w:ascii="Times New Roman" w:hAnsi="Times New Roman"/>
          <w:i w:val="1"/>
          <w:iCs w:val="1"/>
          <w:u w:color="000000"/>
          <w:rtl w:val="0"/>
          <w:lang w:val="en-US"/>
        </w:rPr>
        <w:t>Venire</w:t>
      </w:r>
      <w:r>
        <w:rPr>
          <w:rFonts w:ascii="Times New Roman" w:hAnsi="Times New Roman"/>
          <w:u w:color="000000"/>
          <w:rtl w:val="0"/>
          <w:lang w:val="en-US"/>
        </w:rPr>
        <w:t xml:space="preserve"> is consistently the most typical verb in sentences like the ones above, and, most importantly, the question </w:t>
      </w:r>
      <w:r>
        <w:rPr>
          <w:rFonts w:ascii="Times New Roman" w:hAnsi="Times New Roman" w:hint="default"/>
          <w:u w:color="000000"/>
          <w:rtl w:val="0"/>
          <w:lang w:val="en-US"/>
        </w:rPr>
        <w:t>‘</w:t>
      </w:r>
      <w:r>
        <w:rPr>
          <w:rFonts w:ascii="Times New Roman" w:hAnsi="Times New Roman"/>
          <w:u w:color="000000"/>
          <w:rtl w:val="0"/>
          <w:lang w:val="en-US"/>
        </w:rPr>
        <w:t>Where do you come from?</w:t>
      </w:r>
      <w:r>
        <w:rPr>
          <w:rFonts w:ascii="Times New Roman" w:hAnsi="Times New Roman" w:hint="default"/>
          <w:u w:color="000000"/>
          <w:rtl w:val="0"/>
          <w:lang w:val="en-US"/>
        </w:rPr>
        <w:t xml:space="preserve">’ </w:t>
      </w:r>
      <w:r>
        <w:rPr>
          <w:rFonts w:ascii="Times New Roman" w:hAnsi="Times New Roman"/>
          <w:u w:color="000000"/>
          <w:rtl w:val="0"/>
          <w:lang w:val="en-US"/>
        </w:rPr>
        <w:t xml:space="preserve">cannot be expressed with </w:t>
      </w:r>
      <w:r>
        <w:rPr>
          <w:rFonts w:ascii="Times New Roman" w:hAnsi="Times New Roman"/>
          <w:i w:val="1"/>
          <w:iCs w:val="1"/>
          <w:u w:color="000000"/>
          <w:rtl w:val="0"/>
          <w:lang w:val="en-US"/>
        </w:rPr>
        <w:t>ir</w:t>
      </w:r>
      <w:r>
        <w:rPr>
          <w:rFonts w:ascii="Times New Roman" w:hAnsi="Times New Roman"/>
          <w:u w:color="000000"/>
          <w:rtl w:val="0"/>
          <w:lang w:val="en-US"/>
        </w:rPr>
        <w:t xml:space="preserve"> in Spanish. Rather than indicating the speaker</w:t>
      </w:r>
      <w:r>
        <w:rPr>
          <w:rFonts w:ascii="Arial Unicode MS" w:hAnsi="Arial Unicode MS" w:hint="default"/>
          <w:u w:color="000000"/>
          <w:rtl w:val="1"/>
          <w:lang w:val="ar-SA" w:bidi="ar-SA"/>
        </w:rPr>
        <w:t>’</w:t>
      </w:r>
      <w:r>
        <w:rPr>
          <w:rFonts w:ascii="Times New Roman" w:hAnsi="Times New Roman"/>
          <w:u w:color="000000"/>
          <w:rtl w:val="0"/>
          <w:lang w:val="en-US"/>
        </w:rPr>
        <w:t xml:space="preserve">s position, the Old Latin system seems to be based on Aktionsart: the Latin </w:t>
      </w:r>
      <w:r>
        <w:rPr>
          <w:rFonts w:ascii="Times New Roman" w:hAnsi="Times New Roman"/>
          <w:i w:val="1"/>
          <w:iCs w:val="1"/>
          <w:u w:color="000000"/>
          <w:rtl w:val="0"/>
          <w:lang w:val="en-US"/>
        </w:rPr>
        <w:t>ire</w:t>
      </w:r>
      <w:r>
        <w:rPr>
          <w:rFonts w:ascii="Times New Roman" w:hAnsi="Times New Roman"/>
          <w:u w:color="000000"/>
          <w:rtl w:val="0"/>
          <w:lang w:val="en-US"/>
        </w:rPr>
        <w:t xml:space="preserve"> encodes events that are predominantly atelic, i.e., presented as heading for no specific endpoint, while </w:t>
      </w:r>
      <w:r>
        <w:rPr>
          <w:rFonts w:ascii="Times New Roman" w:hAnsi="Times New Roman"/>
          <w:i w:val="1"/>
          <w:iCs w:val="1"/>
          <w:u w:color="000000"/>
          <w:rtl w:val="0"/>
          <w:lang w:val="en-US"/>
        </w:rPr>
        <w:t>venire</w:t>
      </w:r>
      <w:r>
        <w:rPr>
          <w:rFonts w:ascii="Times New Roman" w:hAnsi="Times New Roman"/>
          <w:u w:color="000000"/>
          <w:rtl w:val="0"/>
          <w:lang w:val="en-US"/>
        </w:rPr>
        <w:t xml:space="preserve"> encodes events that are predominantly telic, i.e., presented as heading for a specific endpoint.</w:t>
      </w:r>
      <w:r>
        <w:rPr>
          <w:rFonts w:ascii="Times New Roman" w:cs="Times New Roman" w:hAnsi="Times New Roman" w:eastAsia="Times New Roman"/>
          <w:u w:color="000000"/>
          <w:vertAlign w:val="superscript"/>
        </w:rPr>
        <w:footnoteReference w:id="18"/>
      </w:r>
      <w:r>
        <w:rPr>
          <w:rFonts w:ascii="Times New Roman" w:hAnsi="Times New Roman"/>
          <w:u w:color="000000"/>
          <w:rtl w:val="0"/>
          <w:lang w:val="en-US"/>
        </w:rPr>
        <w:t xml:space="preserve"> In the present discussion, the crucial point is that due to its very atelicity, </w:t>
      </w:r>
      <w:r>
        <w:rPr>
          <w:rFonts w:ascii="Times New Roman" w:hAnsi="Times New Roman"/>
          <w:i w:val="1"/>
          <w:iCs w:val="1"/>
          <w:u w:color="000000"/>
          <w:rtl w:val="0"/>
          <w:lang w:val="en-US"/>
        </w:rPr>
        <w:t>ire</w:t>
      </w:r>
      <w:r>
        <w:rPr>
          <w:rFonts w:ascii="Times New Roman" w:hAnsi="Times New Roman"/>
          <w:u w:color="000000"/>
          <w:rtl w:val="0"/>
          <w:lang w:val="en-US"/>
        </w:rPr>
        <w:t xml:space="preserve"> is hardly precise enough to express the meaning of arrival in an utterance like </w:t>
      </w:r>
      <w:r>
        <w:rPr>
          <w:rFonts w:ascii="Times New Roman" w:hAnsi="Times New Roman"/>
          <w:i w:val="1"/>
          <w:iCs w:val="1"/>
          <w:u w:color="000000"/>
          <w:rtl w:val="0"/>
          <w:lang w:val="en-US"/>
        </w:rPr>
        <w:t>domine ivimus</w:t>
      </w:r>
      <w:r>
        <w:rPr>
          <w:rFonts w:ascii="Times New Roman" w:hAnsi="Times New Roman"/>
          <w:u w:color="000000"/>
          <w:rtl w:val="0"/>
          <w:lang w:val="en-US"/>
        </w:rPr>
        <w:t xml:space="preserve">. The verb is too vague to convey the meaning </w:t>
      </w:r>
      <w:r>
        <w:rPr>
          <w:rFonts w:ascii="Times New Roman" w:hAnsi="Times New Roman" w:hint="default"/>
          <w:u w:color="000000"/>
          <w:rtl w:val="0"/>
          <w:lang w:val="en-US"/>
        </w:rPr>
        <w:t>‘</w:t>
      </w:r>
      <w:r>
        <w:rPr>
          <w:rFonts w:ascii="Times New Roman" w:hAnsi="Times New Roman"/>
          <w:u w:color="000000"/>
          <w:rtl w:val="0"/>
          <w:lang w:val="en-US"/>
        </w:rPr>
        <w:t>Lord, we have come/arrived</w:t>
      </w:r>
      <w:r>
        <w:rPr>
          <w:rFonts w:ascii="Times New Roman" w:hAnsi="Times New Roman" w:hint="default"/>
          <w:u w:color="000000"/>
          <w:rtl w:val="0"/>
          <w:lang w:val="en-US"/>
        </w:rPr>
        <w:t>’</w:t>
      </w:r>
      <w:r>
        <w:rPr>
          <w:rFonts w:ascii="Times New Roman" w:hAnsi="Times New Roman"/>
          <w:u w:color="000000"/>
          <w:rtl w:val="0"/>
          <w:lang w:val="en-US"/>
        </w:rPr>
        <w:t xml:space="preserve">. Therefore, one would expect </w:t>
      </w:r>
      <w:r>
        <w:rPr>
          <w:rFonts w:ascii="Times New Roman" w:hAnsi="Times New Roman"/>
          <w:i w:val="1"/>
          <w:iCs w:val="1"/>
          <w:u w:color="000000"/>
          <w:rtl w:val="0"/>
          <w:lang w:val="en-US"/>
        </w:rPr>
        <w:t>domine venimus</w:t>
      </w:r>
      <w:r>
        <w:rPr>
          <w:rFonts w:ascii="Times New Roman" w:hAnsi="Times New Roman"/>
          <w:u w:color="000000"/>
          <w:rtl w:val="0"/>
          <w:lang w:val="en-US"/>
        </w:rPr>
        <w:t xml:space="preserve"> instead, perhaps accompanied by a clarifying prepositional phrase such as </w:t>
      </w:r>
      <w:r>
        <w:rPr>
          <w:rFonts w:ascii="Times New Roman" w:hAnsi="Times New Roman"/>
          <w:i w:val="1"/>
          <w:iCs w:val="1"/>
          <w:u w:color="000000"/>
          <w:rtl w:val="0"/>
          <w:lang w:val="en-US"/>
        </w:rPr>
        <w:t>ad te</w:t>
      </w:r>
      <w:r>
        <w:rPr>
          <w:rFonts w:ascii="Arial Unicode MS" w:hAnsi="Arial Unicode MS"/>
          <w:u w:color="000000"/>
          <w:rtl w:val="1"/>
          <w:lang w:val="ar-SA" w:bidi="ar-SA"/>
        </w:rPr>
        <w:t xml:space="preserve"> </w:t>
      </w:r>
      <w:r>
        <w:rPr>
          <w:rFonts w:ascii="Times New Roman" w:hAnsi="Times New Roman" w:hint="default"/>
          <w:u w:color="000000"/>
          <w:rtl w:val="0"/>
          <w:lang w:val="en-US"/>
        </w:rPr>
        <w:t>‘</w:t>
      </w:r>
      <w:r>
        <w:rPr>
          <w:rFonts w:ascii="Times New Roman" w:hAnsi="Times New Roman"/>
          <w:u w:color="000000"/>
          <w:rtl w:val="0"/>
          <w:lang w:val="en-US"/>
        </w:rPr>
        <w:t>to you</w:t>
      </w:r>
      <w:r>
        <w:rPr>
          <w:rFonts w:ascii="Times New Roman" w:hAnsi="Times New Roman" w:hint="default"/>
          <w:u w:color="000000"/>
          <w:rtl w:val="0"/>
          <w:lang w:val="en-US"/>
        </w:rPr>
        <w:t xml:space="preserve">’ </w:t>
      </w:r>
      <w:r>
        <w:rPr>
          <w:rFonts w:ascii="Times New Roman" w:hAnsi="Times New Roman"/>
          <w:u w:color="000000"/>
          <w:rtl w:val="0"/>
          <w:lang w:val="en-US"/>
        </w:rPr>
        <w:t xml:space="preserve">(cf. </w:t>
      </w:r>
      <w:r>
        <w:rPr>
          <w:rFonts w:ascii="Times New Roman" w:hAnsi="Times New Roman"/>
          <w:i w:val="1"/>
          <w:iCs w:val="1"/>
          <w:u w:color="000000"/>
          <w:rtl w:val="0"/>
          <w:lang w:val="en-US"/>
        </w:rPr>
        <w:t>mihi advorsum</w:t>
      </w:r>
      <w:r>
        <w:rPr>
          <w:rFonts w:ascii="Times New Roman" w:hAnsi="Times New Roman" w:hint="default"/>
          <w:u w:color="000000"/>
          <w:rtl w:val="0"/>
          <w:lang w:val="en-US"/>
        </w:rPr>
        <w:t xml:space="preserve"> ‘</w:t>
      </w:r>
      <w:r>
        <w:rPr>
          <w:rFonts w:ascii="Times New Roman" w:hAnsi="Times New Roman"/>
          <w:u w:color="000000"/>
          <w:rtl w:val="0"/>
          <w:lang w:val="en-US"/>
        </w:rPr>
        <w:t>towards/to me</w:t>
      </w:r>
      <w:r>
        <w:rPr>
          <w:rFonts w:ascii="Times New Roman" w:hAnsi="Times New Roman" w:hint="default"/>
          <w:u w:color="000000"/>
          <w:rtl w:val="0"/>
          <w:lang w:val="en-US"/>
        </w:rPr>
        <w:t xml:space="preserve">’ </w:t>
      </w:r>
      <w:r>
        <w:rPr>
          <w:rFonts w:ascii="Times New Roman" w:hAnsi="Times New Roman"/>
          <w:u w:color="000000"/>
          <w:rtl w:val="0"/>
          <w:lang w:val="en-US"/>
        </w:rPr>
        <w:t xml:space="preserve">and </w:t>
      </w:r>
      <w:r>
        <w:rPr>
          <w:rFonts w:ascii="Times New Roman" w:hAnsi="Times New Roman"/>
          <w:i w:val="1"/>
          <w:iCs w:val="1"/>
          <w:u w:color="000000"/>
          <w:rtl w:val="0"/>
          <w:lang w:val="en-US"/>
        </w:rPr>
        <w:t>unde</w:t>
      </w:r>
      <w:r>
        <w:rPr>
          <w:rFonts w:ascii="Times New Roman" w:hAnsi="Times New Roman" w:hint="default"/>
          <w:u w:color="000000"/>
          <w:rtl w:val="0"/>
          <w:lang w:val="en-US"/>
        </w:rPr>
        <w:t xml:space="preserve"> ‘</w:t>
      </w:r>
      <w:r>
        <w:rPr>
          <w:rFonts w:ascii="Times New Roman" w:hAnsi="Times New Roman"/>
          <w:u w:color="000000"/>
          <w:rtl w:val="0"/>
          <w:lang w:val="en-US"/>
        </w:rPr>
        <w:t>wherefrom</w:t>
      </w:r>
      <w:r>
        <w:rPr>
          <w:rFonts w:ascii="Times New Roman" w:hAnsi="Times New Roman" w:hint="default"/>
          <w:u w:color="000000"/>
          <w:rtl w:val="0"/>
          <w:lang w:val="en-US"/>
        </w:rPr>
        <w:t xml:space="preserve">’ </w:t>
      </w:r>
      <w:r>
        <w:rPr>
          <w:rFonts w:ascii="Times New Roman" w:hAnsi="Times New Roman"/>
          <w:u w:color="000000"/>
          <w:rtl w:val="0"/>
          <w:lang w:val="en-US"/>
        </w:rPr>
        <w:t xml:space="preserve">above), assuming that the writer pursued the meaning that the proponents of the reading </w:t>
      </w:r>
      <w:r>
        <w:rPr>
          <w:rFonts w:ascii="Times New Roman" w:hAnsi="Times New Roman"/>
          <w:i w:val="1"/>
          <w:iCs w:val="1"/>
          <w:u w:color="000000"/>
          <w:rtl w:val="0"/>
          <w:lang w:val="en-US"/>
        </w:rPr>
        <w:t>domine ivimus</w:t>
      </w:r>
      <w:r>
        <w:rPr>
          <w:rFonts w:ascii="Times New Roman" w:hAnsi="Times New Roman"/>
          <w:u w:color="000000"/>
          <w:rtl w:val="0"/>
          <w:lang w:val="en-US"/>
        </w:rPr>
        <w:t xml:space="preserve"> seem to postulate. In summary, surviving Latin sources offer no indication whatsoever to legitimize the reading </w:t>
      </w:r>
      <w:r>
        <w:rPr>
          <w:rFonts w:ascii="Times New Roman" w:hAnsi="Times New Roman" w:hint="default"/>
          <w:u w:color="000000"/>
          <w:rtl w:val="0"/>
          <w:lang w:val="en-US"/>
        </w:rPr>
        <w:t>“</w:t>
      </w:r>
      <w:r>
        <w:rPr>
          <w:rFonts w:ascii="Times New Roman" w:hAnsi="Times New Roman"/>
          <w:u w:color="000000"/>
          <w:rtl w:val="0"/>
          <w:lang w:val="en-US"/>
        </w:rPr>
        <w:t>we have come</w:t>
      </w:r>
      <w:r>
        <w:rPr>
          <w:rFonts w:ascii="Times New Roman" w:hAnsi="Times New Roman" w:hint="default"/>
          <w:u w:color="000000"/>
          <w:rtl w:val="0"/>
          <w:lang w:val="en-US"/>
        </w:rPr>
        <w:t xml:space="preserve">” </w:t>
      </w:r>
      <w:r>
        <w:rPr>
          <w:rFonts w:ascii="Times New Roman" w:hAnsi="Times New Roman"/>
          <w:u w:color="000000"/>
          <w:rtl w:val="0"/>
          <w:lang w:val="en-US"/>
        </w:rPr>
        <w:t xml:space="preserve">in such brief and uncontextualized phrases as </w:t>
      </w:r>
      <w:r>
        <w:rPr>
          <w:rFonts w:ascii="Times New Roman" w:hAnsi="Times New Roman"/>
          <w:i w:val="1"/>
          <w:iCs w:val="1"/>
          <w:u w:color="000000"/>
          <w:rtl w:val="0"/>
          <w:lang w:val="en-US"/>
        </w:rPr>
        <w:t>domine ivimus</w:t>
      </w:r>
      <w:r>
        <w:rPr>
          <w:rFonts w:ascii="Times New Roman" w:hAnsi="Times New Roman"/>
          <w:u w:color="000000"/>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rPr>
      </w:pPr>
      <w:r>
        <w:rPr>
          <w:rFonts w:ascii="Times New Roman" w:hAnsi="Times New Roman"/>
          <w:u w:color="000000"/>
          <w:rtl w:val="0"/>
          <w:lang w:val="en-US"/>
        </w:rPr>
        <w:t>Highly pertinent to the present discussion is also the fact that the uncontracted plural perfect</w:t>
      </w:r>
      <w:r>
        <w:rPr>
          <w:rFonts w:ascii="Times New Roman" w:hAnsi="Times New Roman"/>
          <w:i w:val="1"/>
          <w:iCs w:val="1"/>
          <w:u w:color="000000"/>
          <w:rtl w:val="0"/>
          <w:lang w:val="en-US"/>
        </w:rPr>
        <w:t xml:space="preserve"> ivimus</w:t>
      </w:r>
      <w:r>
        <w:rPr>
          <w:rFonts w:ascii="Times New Roman" w:hAnsi="Times New Roman"/>
          <w:u w:color="000000"/>
          <w:rtl w:val="0"/>
          <w:lang w:val="en-US"/>
        </w:rPr>
        <w:t>,</w:t>
      </w:r>
      <w:r>
        <w:rPr>
          <w:rFonts w:ascii="Times New Roman" w:hAnsi="Times New Roman"/>
          <w:i w:val="1"/>
          <w:iCs w:val="1"/>
          <w:u w:color="000000"/>
          <w:rtl w:val="0"/>
          <w:lang w:val="en-US"/>
        </w:rPr>
        <w:t xml:space="preserve"> </w:t>
      </w:r>
      <w:r>
        <w:rPr>
          <w:rFonts w:ascii="Times New Roman" w:hAnsi="Times New Roman"/>
          <w:u w:color="000000"/>
          <w:rtl w:val="0"/>
          <w:lang w:val="en-US"/>
        </w:rPr>
        <w:t xml:space="preserve">in contrast to the contracted </w:t>
      </w:r>
      <w:r>
        <w:rPr>
          <w:rFonts w:ascii="Times New Roman" w:hAnsi="Times New Roman" w:hint="default"/>
          <w:i w:val="1"/>
          <w:iCs w:val="1"/>
          <w:u w:color="000000"/>
          <w:rtl w:val="0"/>
          <w:lang w:val="en-US"/>
        </w:rPr>
        <w:t>ī</w:t>
      </w:r>
      <w:r>
        <w:rPr>
          <w:rFonts w:ascii="Times New Roman" w:hAnsi="Times New Roman"/>
          <w:i w:val="1"/>
          <w:iCs w:val="1"/>
          <w:u w:color="000000"/>
          <w:rtl w:val="0"/>
          <w:lang w:val="en-US"/>
        </w:rPr>
        <w:t>mus</w:t>
      </w:r>
      <w:r>
        <w:rPr>
          <w:rFonts w:ascii="Times New Roman" w:hAnsi="Times New Roman"/>
          <w:u w:color="000000"/>
          <w:rtl w:val="0"/>
          <w:lang w:val="en-US"/>
        </w:rPr>
        <w:t>, is, as far as we can tell, never attested in Latin inscriptions or Classical literature.</w:t>
      </w:r>
      <w:r>
        <w:rPr>
          <w:rFonts w:ascii="Times New Roman" w:cs="Times New Roman" w:hAnsi="Times New Roman" w:eastAsia="Times New Roman"/>
          <w:u w:color="000000"/>
          <w:vertAlign w:val="superscript"/>
        </w:rPr>
        <w:footnoteReference w:id="19"/>
      </w:r>
      <w:r>
        <w:rPr>
          <w:rFonts w:ascii="Times New Roman" w:hAnsi="Times New Roman"/>
          <w:u w:color="000000"/>
          <w:rtl w:val="0"/>
          <w:lang w:val="en-US"/>
        </w:rPr>
        <w:t xml:space="preserve"> Instead, one might be tempted to interpret</w:t>
      </w:r>
      <w:r>
        <w:rPr>
          <w:rFonts w:ascii="Times New Roman" w:hAnsi="Times New Roman"/>
          <w:i w:val="1"/>
          <w:iCs w:val="1"/>
          <w:u w:color="000000"/>
          <w:rtl w:val="0"/>
          <w:lang w:val="en-US"/>
        </w:rPr>
        <w:t xml:space="preserve"> ivimus</w:t>
      </w:r>
      <w:r>
        <w:rPr>
          <w:rFonts w:ascii="Times New Roman" w:hAnsi="Times New Roman"/>
          <w:u w:color="000000"/>
          <w:rtl w:val="0"/>
          <w:lang w:val="en-US"/>
        </w:rPr>
        <w:t xml:space="preserve"> as </w:t>
      </w:r>
      <w:r>
        <w:rPr>
          <w:rFonts w:ascii="Times New Roman" w:hAnsi="Times New Roman"/>
          <w:i w:val="1"/>
          <w:iCs w:val="1"/>
          <w:u w:color="000000"/>
          <w:rtl w:val="0"/>
          <w:lang w:val="en-US"/>
        </w:rPr>
        <w:t>ibimus</w:t>
      </w:r>
      <w:r>
        <w:rPr>
          <w:rFonts w:ascii="Times New Roman" w:hAnsi="Times New Roman"/>
          <w:u w:color="000000"/>
          <w:rtl w:val="0"/>
          <w:lang w:val="en-US"/>
        </w:rPr>
        <w:t xml:space="preserve">, where </w:t>
      </w:r>
      <w:r>
        <w:rPr>
          <w:rFonts w:ascii="Times New Roman" w:hAnsi="Times New Roman"/>
          <w:i w:val="1"/>
          <w:iCs w:val="1"/>
          <w:u w:color="000000"/>
          <w:rtl w:val="0"/>
          <w:lang w:val="en-US"/>
        </w:rPr>
        <w:t>b</w:t>
      </w:r>
      <w:r>
        <w:rPr>
          <w:rFonts w:ascii="Times New Roman" w:hAnsi="Times New Roman"/>
          <w:u w:color="000000"/>
          <w:rtl w:val="0"/>
          <w:lang w:val="en-US"/>
        </w:rPr>
        <w:t xml:space="preserve"> has been substituted by </w:t>
      </w:r>
      <w:r>
        <w:rPr>
          <w:rFonts w:ascii="Times New Roman" w:hAnsi="Times New Roman"/>
          <w:i w:val="1"/>
          <w:iCs w:val="1"/>
          <w:u w:color="000000"/>
          <w:rtl w:val="0"/>
          <w:lang w:val="en-US"/>
        </w:rPr>
        <w:t>v</w:t>
      </w:r>
      <w:r>
        <w:rPr>
          <w:rFonts w:ascii="Times New Roman" w:hAnsi="Times New Roman"/>
          <w:u w:color="000000"/>
          <w:rtl w:val="0"/>
          <w:lang w:val="en-US"/>
        </w:rPr>
        <w:t xml:space="preserve">. Contrary to what Gibson and Taylor claim, the spelling </w:t>
      </w:r>
      <w:r>
        <w:rPr>
          <w:rFonts w:ascii="Times New Roman" w:hAnsi="Times New Roman"/>
          <w:i w:val="1"/>
          <w:iCs w:val="1"/>
          <w:u w:color="000000"/>
          <w:rtl w:val="0"/>
          <w:lang w:val="en-US"/>
        </w:rPr>
        <w:t xml:space="preserve">v </w:t>
      </w:r>
      <w:r>
        <w:rPr>
          <w:rFonts w:ascii="Times New Roman" w:hAnsi="Times New Roman"/>
          <w:u w:color="000000"/>
          <w:rtl w:val="0"/>
          <w:lang w:val="en-US"/>
        </w:rPr>
        <w:t xml:space="preserve">for </w:t>
      </w:r>
      <w:r>
        <w:rPr>
          <w:rFonts w:ascii="Times New Roman" w:hAnsi="Times New Roman"/>
          <w:i w:val="1"/>
          <w:iCs w:val="1"/>
          <w:u w:color="000000"/>
          <w:rtl w:val="0"/>
          <w:lang w:val="en-US"/>
        </w:rPr>
        <w:t xml:space="preserve">b </w:t>
      </w:r>
      <w:r>
        <w:rPr>
          <w:rFonts w:ascii="Times New Roman" w:hAnsi="Times New Roman"/>
          <w:u w:color="000000"/>
          <w:rtl w:val="0"/>
          <w:lang w:val="en-US"/>
        </w:rPr>
        <w:t xml:space="preserve">is not about </w:t>
      </w:r>
      <w:r>
        <w:rPr>
          <w:rFonts w:ascii="Times New Roman" w:hAnsi="Times New Roman" w:hint="default"/>
          <w:u w:color="000000"/>
          <w:rtl w:val="0"/>
          <w:lang w:val="en-US"/>
        </w:rPr>
        <w:t>“</w:t>
      </w:r>
      <w:r>
        <w:rPr>
          <w:rFonts w:ascii="Times New Roman" w:hAnsi="Times New Roman"/>
          <w:u w:color="000000"/>
          <w:rtl w:val="0"/>
          <w:lang w:val="en-US"/>
        </w:rPr>
        <w:t xml:space="preserve">the rare substitution of </w:t>
      </w:r>
      <w:r>
        <w:rPr>
          <w:rFonts w:ascii="Times New Roman" w:hAnsi="Times New Roman"/>
          <w:i w:val="1"/>
          <w:iCs w:val="1"/>
          <w:u w:color="000000"/>
          <w:rtl w:val="0"/>
          <w:lang w:val="en-US"/>
        </w:rPr>
        <w:t>v</w:t>
      </w:r>
      <w:r>
        <w:rPr>
          <w:rFonts w:ascii="Times New Roman" w:hAnsi="Times New Roman"/>
          <w:u w:color="000000"/>
          <w:rtl w:val="0"/>
          <w:lang w:val="en-US"/>
        </w:rPr>
        <w:t xml:space="preserve"> for </w:t>
      </w:r>
      <w:r>
        <w:rPr>
          <w:rFonts w:ascii="Times New Roman" w:hAnsi="Times New Roman"/>
          <w:i w:val="1"/>
          <w:iCs w:val="1"/>
          <w:u w:color="000000"/>
          <w:rtl w:val="0"/>
          <w:lang w:val="en-US"/>
        </w:rPr>
        <w:t>b</w:t>
      </w:r>
      <w:r>
        <w:rPr>
          <w:rFonts w:ascii="Times New Roman" w:hAnsi="Times New Roman" w:hint="default"/>
          <w:u w:color="000000"/>
          <w:rtl w:val="0"/>
          <w:lang w:val="en-US"/>
        </w:rPr>
        <w:t>”</w:t>
      </w:r>
      <w:r>
        <w:rPr>
          <w:rFonts w:ascii="Times New Roman" w:hAnsi="Times New Roman"/>
          <w:u w:color="000000"/>
          <w:rtl w:val="0"/>
          <w:lang w:val="en-US"/>
        </w:rPr>
        <w:t>, but one of the most frequent spelling variations of non-literary Imperial and Late Latin.</w:t>
      </w:r>
      <w:r>
        <w:rPr>
          <w:rFonts w:ascii="Times New Roman" w:cs="Times New Roman" w:hAnsi="Times New Roman" w:eastAsia="Times New Roman"/>
          <w:u w:color="000000"/>
          <w:vertAlign w:val="superscript"/>
        </w:rPr>
        <w:footnoteReference w:id="20"/>
      </w:r>
      <w:r>
        <w:rPr>
          <w:rFonts w:ascii="Times New Roman" w:hAnsi="Times New Roman"/>
          <w:u w:color="000000"/>
          <w:rtl w:val="0"/>
          <w:lang w:val="en-US"/>
        </w:rPr>
        <w:t xml:space="preserve"> The original Latin sounds /b/ and /w/, marked with the letters </w:t>
      </w:r>
      <w:r>
        <w:rPr>
          <w:rFonts w:ascii="Times New Roman" w:hAnsi="Times New Roman"/>
          <w:i w:val="1"/>
          <w:iCs w:val="1"/>
          <w:u w:color="000000"/>
          <w:rtl w:val="0"/>
          <w:lang w:val="en-US"/>
        </w:rPr>
        <w:t>b</w:t>
      </w:r>
      <w:r>
        <w:rPr>
          <w:rFonts w:ascii="Times New Roman" w:hAnsi="Times New Roman"/>
          <w:u w:color="000000"/>
          <w:rtl w:val="0"/>
          <w:lang w:val="en-US"/>
        </w:rPr>
        <w:t xml:space="preserve"> and </w:t>
      </w:r>
      <w:r>
        <w:rPr>
          <w:rFonts w:ascii="Times New Roman" w:hAnsi="Times New Roman"/>
          <w:i w:val="1"/>
          <w:iCs w:val="1"/>
          <w:u w:color="000000"/>
          <w:rtl w:val="0"/>
          <w:lang w:val="en-US"/>
        </w:rPr>
        <w:t>v,</w:t>
      </w:r>
      <w:r>
        <w:rPr>
          <w:rFonts w:ascii="Times New Roman" w:hAnsi="Times New Roman"/>
          <w:u w:color="000000"/>
          <w:rtl w:val="0"/>
          <w:lang w:val="en-US"/>
        </w:rPr>
        <w:t xml:space="preserve"> respectively, had both become a bilabial fricative /</w:t>
      </w:r>
      <w:r>
        <w:rPr>
          <w:rFonts w:ascii="Times New Roman" w:hAnsi="Times New Roman" w:hint="default"/>
          <w:u w:color="000000"/>
          <w:rtl w:val="0"/>
        </w:rPr>
        <w:t>β</w:t>
      </w:r>
      <w:r>
        <w:rPr>
          <w:rFonts w:ascii="Times New Roman" w:hAnsi="Times New Roman"/>
          <w:u w:color="000000"/>
          <w:rtl w:val="0"/>
          <w:lang w:val="en-US"/>
        </w:rPr>
        <w:t>/ in intervocalic position during the first century AD, understandably causing non-classical spellings among the less educated.</w:t>
      </w:r>
      <w:r>
        <w:rPr>
          <w:rFonts w:ascii="Times New Roman" w:cs="Times New Roman" w:hAnsi="Times New Roman" w:eastAsia="Times New Roman"/>
          <w:u w:color="000000"/>
          <w:vertAlign w:val="superscript"/>
        </w:rPr>
        <w:footnoteReference w:id="21"/>
      </w:r>
      <w:r>
        <w:rPr>
          <w:rFonts w:ascii="Times New Roman" w:hAnsi="Times New Roman"/>
          <w:u w:color="000000"/>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lang w:val="en-US"/>
        </w:rPr>
      </w:pPr>
      <w:r>
        <w:rPr>
          <w:rFonts w:ascii="Times New Roman" w:hAnsi="Times New Roman"/>
          <w:u w:color="000000"/>
          <w:rtl w:val="0"/>
          <w:lang w:val="en-US"/>
        </w:rPr>
        <w:t xml:space="preserve">In the absence of specific context, each verb lexeme is bound to appear in its generic meaning. Thus, the perfect </w:t>
      </w:r>
      <w:r>
        <w:rPr>
          <w:rFonts w:ascii="Times New Roman" w:hAnsi="Times New Roman"/>
          <w:i w:val="1"/>
          <w:iCs w:val="1"/>
          <w:u w:color="000000"/>
          <w:rtl w:val="0"/>
          <w:lang w:val="en-US"/>
        </w:rPr>
        <w:t>ivimus</w:t>
      </w:r>
      <w:r>
        <w:rPr>
          <w:rFonts w:ascii="Times New Roman" w:hAnsi="Times New Roman"/>
          <w:u w:color="000000"/>
          <w:rtl w:val="0"/>
          <w:lang w:val="en-US"/>
        </w:rPr>
        <w:t xml:space="preserve"> translates neutrally as </w:t>
      </w:r>
      <w:r>
        <w:rPr>
          <w:rFonts w:ascii="Times New Roman" w:hAnsi="Times New Roman" w:hint="default"/>
          <w:u w:color="000000"/>
          <w:rtl w:val="0"/>
          <w:lang w:val="en-US"/>
        </w:rPr>
        <w:t>‘</w:t>
      </w:r>
      <w:r>
        <w:rPr>
          <w:rFonts w:ascii="Times New Roman" w:hAnsi="Times New Roman"/>
          <w:u w:color="000000"/>
          <w:rtl w:val="0"/>
          <w:lang w:val="en-US"/>
        </w:rPr>
        <w:t>we went</w:t>
      </w:r>
      <w:r>
        <w:rPr>
          <w:rFonts w:ascii="Times New Roman" w:hAnsi="Times New Roman" w:hint="default"/>
          <w:u w:color="000000"/>
          <w:rtl w:val="0"/>
          <w:lang w:val="en-US"/>
        </w:rPr>
        <w:t xml:space="preserve">’ </w:t>
      </w:r>
      <w:r>
        <w:rPr>
          <w:rFonts w:ascii="Times New Roman" w:hAnsi="Times New Roman"/>
          <w:u w:color="000000"/>
          <w:rtl w:val="0"/>
          <w:lang w:val="en-US"/>
        </w:rPr>
        <w:t xml:space="preserve">and the future </w:t>
      </w:r>
      <w:r>
        <w:rPr>
          <w:rFonts w:ascii="Times New Roman" w:hAnsi="Times New Roman"/>
          <w:i w:val="1"/>
          <w:iCs w:val="1"/>
          <w:u w:color="000000"/>
          <w:rtl w:val="0"/>
          <w:lang w:val="en-US"/>
        </w:rPr>
        <w:t>ibimus</w:t>
      </w:r>
      <w:r>
        <w:rPr>
          <w:rFonts w:ascii="Times New Roman" w:hAnsi="Times New Roman"/>
          <w:u w:color="000000"/>
          <w:rtl w:val="0"/>
          <w:lang w:val="en-US"/>
        </w:rPr>
        <w:t xml:space="preserve"> as </w:t>
      </w:r>
      <w:r>
        <w:rPr>
          <w:rFonts w:ascii="Times New Roman" w:hAnsi="Times New Roman" w:hint="default"/>
          <w:u w:color="000000"/>
          <w:rtl w:val="0"/>
          <w:lang w:val="en-US"/>
        </w:rPr>
        <w:t>‘</w:t>
      </w:r>
      <w:r>
        <w:rPr>
          <w:rFonts w:ascii="Times New Roman" w:hAnsi="Times New Roman"/>
          <w:u w:color="000000"/>
          <w:rtl w:val="0"/>
          <w:lang w:val="en-US"/>
        </w:rPr>
        <w:t>we will go</w:t>
      </w:r>
      <w:r>
        <w:rPr>
          <w:rFonts w:ascii="Times New Roman" w:hAnsi="Times New Roman" w:hint="default"/>
          <w:u w:color="000000"/>
          <w:rtl w:val="0"/>
          <w:lang w:val="en-US"/>
        </w:rPr>
        <w:t>’</w:t>
      </w:r>
      <w:r>
        <w:rPr>
          <w:rFonts w:ascii="Times New Roman" w:hAnsi="Times New Roman"/>
          <w:u w:color="000000"/>
          <w:rtl w:val="0"/>
          <w:lang w:val="en-US"/>
        </w:rPr>
        <w:t xml:space="preserve">. In Imperial and Late Popular Latin, the future acquired an additional hortative meaning, allowing for a translation as </w:t>
      </w:r>
      <w:r>
        <w:rPr>
          <w:rFonts w:ascii="Times New Roman" w:hAnsi="Times New Roman" w:hint="default"/>
          <w:u w:color="000000"/>
          <w:rtl w:val="0"/>
          <w:lang w:val="en-US"/>
        </w:rPr>
        <w:t>‘</w:t>
      </w:r>
      <w:r>
        <w:rPr>
          <w:rFonts w:ascii="Times New Roman" w:hAnsi="Times New Roman"/>
          <w:u w:color="000000"/>
          <w:rtl w:val="0"/>
          <w:lang w:val="en-US"/>
        </w:rPr>
        <w:t>let us go</w:t>
      </w:r>
      <w:r>
        <w:rPr>
          <w:rFonts w:ascii="Times New Roman" w:hAnsi="Times New Roman" w:hint="default"/>
          <w:u w:color="000000"/>
          <w:rtl w:val="0"/>
          <w:lang w:val="en-US"/>
        </w:rPr>
        <w:t xml:space="preserve">’ </w:t>
      </w:r>
      <w:r>
        <w:rPr>
          <w:rFonts w:ascii="Times New Roman" w:hAnsi="Times New Roman"/>
          <w:u w:color="000000"/>
          <w:rtl w:val="0"/>
          <w:lang w:val="en-US"/>
        </w:rPr>
        <w:t xml:space="preserve">as well. None of these is compatible with the reading </w:t>
      </w:r>
      <w:r>
        <w:rPr>
          <w:rFonts w:ascii="Times New Roman" w:hAnsi="Times New Roman" w:hint="default"/>
          <w:u w:color="000000"/>
          <w:rtl w:val="0"/>
          <w:lang w:val="en-US"/>
        </w:rPr>
        <w:t>‘</w:t>
      </w:r>
      <w:r>
        <w:rPr>
          <w:rFonts w:ascii="Times New Roman" w:hAnsi="Times New Roman"/>
          <w:u w:color="000000"/>
          <w:rtl w:val="0"/>
          <w:lang w:val="en-US"/>
        </w:rPr>
        <w:t>Lord, we have come</w:t>
      </w:r>
      <w:r>
        <w:rPr>
          <w:rFonts w:ascii="Times New Roman" w:hAnsi="Times New Roman" w:hint="default"/>
          <w:u w:color="000000"/>
          <w:rtl w:val="0"/>
          <w:lang w:val="en-US"/>
        </w:rPr>
        <w:t>’</w:t>
      </w:r>
      <w:r>
        <w:rPr>
          <w:rFonts w:ascii="Arial Unicode MS" w:hAnsi="Arial Unicode MS"/>
          <w:u w:color="000000"/>
          <w:rtl w:val="1"/>
          <w:lang w:val="ar-SA" w:bidi="ar-SA"/>
        </w:rPr>
        <w:t xml:space="preserve"> </w:t>
      </w:r>
      <w:r>
        <w:rPr>
          <w:rFonts w:ascii="Times New Roman" w:hAnsi="Times New Roman"/>
          <w:u w:color="000000"/>
          <w:rtl w:val="0"/>
          <w:lang w:val="en-US"/>
        </w:rPr>
        <w:t xml:space="preserve">proposed in </w:t>
      </w:r>
      <w:r>
        <w:rPr>
          <w:rFonts w:ascii="Times New Roman" w:hAnsi="Times New Roman"/>
          <w:i w:val="1"/>
          <w:iCs w:val="1"/>
          <w:u w:color="000000"/>
          <w:rtl w:val="0"/>
          <w:lang w:val="en-US"/>
        </w:rPr>
        <w:t>CIIP</w:t>
      </w:r>
      <w:r>
        <w:rPr>
          <w:rFonts w:ascii="Times New Roman" w:hAnsi="Times New Roman"/>
          <w:u w:color="000000"/>
          <w:rtl w:val="0"/>
          <w:lang w:val="en-US"/>
        </w:rPr>
        <w:t xml:space="preserve">. Curiously, the editor of </w:t>
      </w:r>
      <w:r>
        <w:rPr>
          <w:rFonts w:ascii="Times New Roman" w:hAnsi="Times New Roman"/>
          <w:i w:val="1"/>
          <w:iCs w:val="1"/>
          <w:u w:color="000000"/>
          <w:rtl w:val="0"/>
          <w:lang w:val="en-US"/>
        </w:rPr>
        <w:t xml:space="preserve">CIIP </w:t>
      </w:r>
      <w:r>
        <w:rPr>
          <w:rFonts w:ascii="Times New Roman" w:hAnsi="Times New Roman"/>
          <w:u w:color="000000"/>
          <w:rtl w:val="0"/>
          <w:lang w:val="en-US"/>
        </w:rPr>
        <w:t xml:space="preserve">supports his interpretation with two references to the Bible which, however, quote </w:t>
      </w:r>
      <w:r>
        <w:rPr>
          <w:rFonts w:ascii="Times New Roman" w:hAnsi="Times New Roman"/>
          <w:i w:val="1"/>
          <w:iCs w:val="1"/>
          <w:u w:color="000000"/>
          <w:rtl w:val="0"/>
          <w:lang w:val="en-US"/>
        </w:rPr>
        <w:t>ire</w:t>
      </w:r>
      <w:r>
        <w:rPr>
          <w:rFonts w:ascii="Times New Roman" w:hAnsi="Times New Roman"/>
          <w:u w:color="000000"/>
          <w:rtl w:val="0"/>
          <w:lang w:val="en-US"/>
        </w:rPr>
        <w:t xml:space="preserve"> in the future tense and clearly speak of </w:t>
      </w:r>
      <w:r>
        <w:rPr>
          <w:rFonts w:ascii="Times New Roman" w:hAnsi="Times New Roman" w:hint="default"/>
          <w:u w:color="000000"/>
          <w:rtl w:val="0"/>
          <w:lang w:val="en-US"/>
        </w:rPr>
        <w:t>‘</w:t>
      </w:r>
      <w:r>
        <w:rPr>
          <w:rFonts w:ascii="Times New Roman" w:hAnsi="Times New Roman"/>
          <w:u w:color="000000"/>
          <w:rtl w:val="0"/>
          <w:lang w:val="en-US"/>
        </w:rPr>
        <w:t>going</w:t>
      </w:r>
      <w:r>
        <w:rPr>
          <w:rFonts w:ascii="Times New Roman" w:hAnsi="Times New Roman" w:hint="default"/>
          <w:u w:color="000000"/>
          <w:rtl w:val="0"/>
          <w:lang w:val="en-US"/>
        </w:rPr>
        <w:t>’</w:t>
      </w:r>
      <w:r>
        <w:rPr>
          <w:rFonts w:ascii="Times New Roman" w:hAnsi="Times New Roman"/>
          <w:u w:color="000000"/>
          <w:rtl w:val="0"/>
          <w:lang w:val="en-US"/>
        </w:rPr>
        <w:t xml:space="preserve">, not of </w:t>
      </w:r>
      <w:r>
        <w:rPr>
          <w:rFonts w:ascii="Times New Roman" w:hAnsi="Times New Roman" w:hint="default"/>
          <w:u w:color="000000"/>
          <w:rtl w:val="0"/>
          <w:lang w:val="en-US"/>
        </w:rPr>
        <w:t>‘</w:t>
      </w:r>
      <w:r>
        <w:rPr>
          <w:rFonts w:ascii="Times New Roman" w:hAnsi="Times New Roman"/>
          <w:u w:color="000000"/>
          <w:rtl w:val="0"/>
          <w:lang w:val="en-US"/>
        </w:rPr>
        <w:t>coming</w:t>
      </w:r>
      <w:r>
        <w:rPr>
          <w:rFonts w:ascii="Times New Roman" w:hAnsi="Times New Roman" w:hint="default"/>
          <w:u w:color="000000"/>
          <w:rtl w:val="0"/>
          <w:lang w:val="en-US"/>
        </w:rPr>
        <w:t>’</w:t>
      </w:r>
      <w:r>
        <w:rPr>
          <w:rFonts w:ascii="Arial Unicode MS" w:hAnsi="Arial Unicode MS"/>
          <w:u w:color="000000"/>
          <w:rtl w:val="1"/>
          <w:lang w:val="ar-SA" w:bidi="ar-SA"/>
        </w:rPr>
        <w:t xml:space="preserve"> </w:t>
      </w:r>
      <w:r>
        <w:rPr>
          <w:rFonts w:ascii="Times New Roman" w:hAnsi="Times New Roman"/>
          <w:u w:color="000000"/>
          <w:rtl w:val="0"/>
          <w:lang w:val="en-US"/>
        </w:rPr>
        <w:t xml:space="preserve">or </w:t>
      </w:r>
      <w:r>
        <w:rPr>
          <w:rFonts w:ascii="Times New Roman" w:hAnsi="Times New Roman" w:hint="default"/>
          <w:u w:color="000000"/>
          <w:rtl w:val="0"/>
          <w:lang w:val="en-US"/>
        </w:rPr>
        <w:t>‘</w:t>
      </w:r>
      <w:r>
        <w:rPr>
          <w:rFonts w:ascii="Times New Roman" w:hAnsi="Times New Roman"/>
          <w:u w:color="000000"/>
          <w:rtl w:val="0"/>
          <w:lang w:val="en-US"/>
        </w:rPr>
        <w:t>arriving</w:t>
      </w:r>
      <w:r>
        <w:rPr>
          <w:rFonts w:ascii="Times New Roman" w:hAnsi="Times New Roman" w:hint="default"/>
          <w:u w:color="000000"/>
          <w:rtl w:val="0"/>
          <w:lang w:val="en-US"/>
        </w:rPr>
        <w:t>’</w:t>
      </w:r>
      <w:r>
        <w:rPr>
          <w:rFonts w:ascii="Times New Roman" w:hAnsi="Times New Roman"/>
          <w:u w:color="000000"/>
          <w:rtl w:val="0"/>
          <w:lang w:val="en-US"/>
        </w:rPr>
        <w:t>:</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lang w:val="en-US"/>
        </w:rPr>
      </w:pPr>
    </w:p>
    <w:p>
      <w:pPr>
        <w:pStyle w:val="Default"/>
        <w:bidi w:val="0"/>
        <w:spacing w:before="0" w:line="240" w:lineRule="auto"/>
        <w:ind w:left="0" w:right="0" w:firstLine="0"/>
        <w:jc w:val="left"/>
        <w:rPr>
          <w:rFonts w:ascii="Times Roman" w:cs="Times Roman" w:hAnsi="Times Roman" w:eastAsia="Times Roman"/>
          <w:u w:color="000000"/>
          <w:rtl w:val="0"/>
        </w:rPr>
      </w:pPr>
      <w:r>
        <w:rPr>
          <w:rFonts w:ascii="Times New Roman" w:hAnsi="Times New Roman"/>
          <w:u w:color="000000"/>
          <w:rtl w:val="0"/>
          <w:lang w:val="en-US"/>
        </w:rPr>
        <w:t>#blockQuote</w:t>
      </w:r>
    </w:p>
    <w:p>
      <w:pPr>
        <w:pStyle w:val="Oletus"/>
        <w:tabs>
          <w:tab w:val="left" w:pos="1304"/>
          <w:tab w:val="left" w:pos="2608"/>
          <w:tab w:val="left" w:pos="3912"/>
          <w:tab w:val="left" w:pos="5216"/>
          <w:tab w:val="left" w:pos="6520"/>
          <w:tab w:val="left" w:pos="7824"/>
          <w:tab w:val="left" w:pos="9128"/>
        </w:tabs>
        <w:spacing w:before="0" w:after="160"/>
        <w:ind w:left="284" w:firstLine="0"/>
        <w:jc w:val="both"/>
        <w:rPr>
          <w:rFonts w:ascii="Times New Roman" w:cs="Times New Roman" w:hAnsi="Times New Roman" w:eastAsia="Times New Roman"/>
          <w:u w:color="000000"/>
          <w:lang w:val="en-US"/>
        </w:rPr>
      </w:pPr>
      <w:r>
        <w:rPr>
          <w:rFonts w:ascii="Times New Roman" w:hAnsi="Times New Roman"/>
          <w:u w:color="000000"/>
          <w:rtl w:val="0"/>
          <w:lang w:val="en-US"/>
        </w:rPr>
        <w:t xml:space="preserve">The text recalls Psalm 121,1: </w:t>
      </w:r>
      <w:r>
        <w:rPr>
          <w:rFonts w:ascii="Times New Roman" w:hAnsi="Times New Roman" w:hint="default"/>
          <w:u w:color="000000"/>
          <w:rtl w:val="0"/>
          <w:lang w:val="en-US"/>
        </w:rPr>
        <w:t>“</w:t>
      </w:r>
      <w:r>
        <w:rPr>
          <w:rFonts w:ascii="Times New Roman" w:hAnsi="Times New Roman"/>
          <w:u w:color="000000"/>
          <w:rtl w:val="0"/>
          <w:lang w:val="en-US"/>
        </w:rPr>
        <w:t>In domum Domini ibimus</w:t>
      </w:r>
      <w:r>
        <w:rPr>
          <w:rFonts w:ascii="Times New Roman" w:hAnsi="Times New Roman" w:hint="default"/>
          <w:u w:color="000000"/>
          <w:rtl w:val="0"/>
          <w:lang w:val="en-US"/>
        </w:rPr>
        <w:t xml:space="preserve">” </w:t>
      </w:r>
      <w:r>
        <w:rPr>
          <w:rFonts w:ascii="Times New Roman" w:hAnsi="Times New Roman"/>
          <w:u w:color="000000"/>
          <w:rtl w:val="0"/>
          <w:lang w:val="en-US"/>
        </w:rPr>
        <w:t xml:space="preserve">= </w:t>
      </w:r>
      <w:r>
        <w:rPr>
          <w:rFonts w:ascii="Times New Roman" w:hAnsi="Times New Roman" w:hint="default"/>
          <w:u w:color="000000"/>
          <w:rtl w:val="0"/>
          <w:lang w:val="en-US"/>
        </w:rPr>
        <w:t>“</w:t>
      </w:r>
      <w:r>
        <w:rPr>
          <w:rFonts w:ascii="Times New Roman" w:hAnsi="Times New Roman"/>
          <w:u w:color="000000"/>
          <w:rtl w:val="0"/>
          <w:lang w:val="en-US"/>
        </w:rPr>
        <w:t>Let us go to the house of the Lord</w:t>
      </w:r>
      <w:r>
        <w:rPr>
          <w:rFonts w:ascii="Times New Roman" w:hAnsi="Times New Roman" w:hint="default"/>
          <w:u w:color="000000"/>
          <w:rtl w:val="0"/>
          <w:lang w:val="en-US"/>
        </w:rPr>
        <w:t>”</w:t>
      </w:r>
      <w:r>
        <w:rPr>
          <w:rFonts w:ascii="Times New Roman" w:hAnsi="Times New Roman"/>
          <w:u w:color="000000"/>
          <w:rtl w:val="0"/>
          <w:lang w:val="en-US"/>
        </w:rPr>
        <w:t xml:space="preserve">. There could also be an allusion to Jn 6,68: </w:t>
      </w:r>
      <w:r>
        <w:rPr>
          <w:rFonts w:ascii="Times New Roman" w:hAnsi="Times New Roman" w:hint="default"/>
          <w:u w:color="000000"/>
          <w:rtl w:val="0"/>
          <w:lang w:val="en-US"/>
        </w:rPr>
        <w:t>“</w:t>
      </w:r>
      <w:r>
        <w:rPr>
          <w:rFonts w:ascii="Times New Roman" w:hAnsi="Times New Roman"/>
          <w:u w:color="000000"/>
          <w:rtl w:val="0"/>
          <w:lang w:val="pt-PT"/>
        </w:rPr>
        <w:t>Domine ad quem ibimus?</w:t>
      </w:r>
      <w:r>
        <w:rPr>
          <w:rFonts w:ascii="Times New Roman" w:hAnsi="Times New Roman" w:hint="default"/>
          <w:u w:color="000000"/>
          <w:rtl w:val="0"/>
          <w:lang w:val="en-US"/>
        </w:rPr>
        <w:t xml:space="preserve">” </w:t>
      </w:r>
      <w:r>
        <w:rPr>
          <w:rFonts w:ascii="Times New Roman" w:hAnsi="Times New Roman"/>
          <w:u w:color="000000"/>
          <w:rtl w:val="0"/>
          <w:lang w:val="en-US"/>
        </w:rPr>
        <w:t xml:space="preserve">= </w:t>
      </w:r>
      <w:r>
        <w:rPr>
          <w:rFonts w:ascii="Times New Roman" w:hAnsi="Times New Roman" w:hint="default"/>
          <w:u w:color="000000"/>
          <w:rtl w:val="0"/>
          <w:lang w:val="en-US"/>
        </w:rPr>
        <w:t>“</w:t>
      </w:r>
      <w:r>
        <w:rPr>
          <w:rFonts w:ascii="Times New Roman" w:hAnsi="Times New Roman"/>
          <w:u w:color="000000"/>
          <w:rtl w:val="0"/>
          <w:lang w:val="en-US"/>
        </w:rPr>
        <w:t>Lord, to whom shall we go (turn)?</w:t>
      </w:r>
      <w:r>
        <w:rPr>
          <w:rFonts w:ascii="Times New Roman" w:hAnsi="Times New Roman" w:hint="default"/>
          <w:u w:color="000000"/>
          <w:rtl w:val="0"/>
          <w:lang w:val="en-US"/>
        </w:rPr>
        <w:t xml:space="preserve">” </w:t>
      </w:r>
      <w:r>
        <w:rPr>
          <w:rFonts w:ascii="Times New Roman" w:hAnsi="Times New Roman"/>
          <w:u w:color="000000"/>
          <w:rtl w:val="0"/>
          <w:lang w:val="en-US"/>
        </w:rPr>
        <w:t>It expresses the relief felt by Christian pilgrims arriving in the Holy Land and being close to Christ</w:t>
      </w:r>
      <w:r>
        <w:rPr>
          <w:rFonts w:ascii="Arial Unicode MS" w:hAnsi="Arial Unicode MS" w:hint="default"/>
          <w:u w:color="000000"/>
          <w:rtl w:val="1"/>
          <w:lang w:val="ar-SA" w:bidi="ar-SA"/>
        </w:rPr>
        <w:t>’</w:t>
      </w:r>
      <w:r>
        <w:rPr>
          <w:rFonts w:ascii="Times New Roman" w:hAnsi="Times New Roman"/>
          <w:u w:color="000000"/>
          <w:rtl w:val="0"/>
          <w:lang w:val="en-US"/>
        </w:rPr>
        <w:t>s burial place.</w:t>
      </w:r>
      <w:r>
        <w:rPr>
          <w:rFonts w:ascii="Times New Roman" w:cs="Times New Roman" w:hAnsi="Times New Roman" w:eastAsia="Times New Roman"/>
          <w:u w:color="000000"/>
          <w:vertAlign w:val="superscript"/>
        </w:rPr>
        <w:footnoteReference w:id="22"/>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r>
        <w:rPr>
          <w:rFonts w:ascii="Times New Roman" w:hAnsi="Times New Roman"/>
          <w:u w:color="000000"/>
          <w:rtl w:val="0"/>
          <w:lang w:val="en-US"/>
        </w:rPr>
        <w:t>#endBlockQuote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lang w:val="en-US"/>
        </w:rPr>
      </w:pPr>
      <w:r>
        <w:rPr>
          <w:rFonts w:ascii="Times New Roman" w:hAnsi="Times New Roman"/>
          <w:u w:color="000000"/>
          <w:rtl w:val="0"/>
          <w:lang w:val="en-US"/>
        </w:rPr>
        <w:t xml:space="preserve">Gibson and Taylor also appear to confuse going with coming. While discussing the interpretation </w:t>
      </w:r>
      <w:r>
        <w:rPr>
          <w:rFonts w:ascii="Times New Roman" w:hAnsi="Times New Roman" w:hint="default"/>
          <w:u w:color="000000"/>
          <w:rtl w:val="0"/>
          <w:lang w:val="en-US"/>
        </w:rPr>
        <w:t>‘</w:t>
      </w:r>
      <w:r>
        <w:rPr>
          <w:rFonts w:ascii="Times New Roman" w:hAnsi="Times New Roman"/>
          <w:u w:color="000000"/>
          <w:rtl w:val="0"/>
          <w:lang w:val="en-US"/>
        </w:rPr>
        <w:t>Lord, we will go</w:t>
      </w:r>
      <w:r>
        <w:rPr>
          <w:rFonts w:ascii="Times New Roman" w:hAnsi="Times New Roman" w:hint="default"/>
          <w:u w:color="000000"/>
          <w:rtl w:val="0"/>
          <w:lang w:val="en-US"/>
        </w:rPr>
        <w:t>’</w:t>
      </w:r>
      <w:r>
        <w:rPr>
          <w:rFonts w:ascii="Times New Roman" w:hAnsi="Times New Roman"/>
          <w:u w:color="000000"/>
          <w:rtl w:val="0"/>
          <w:lang w:val="en-US"/>
        </w:rPr>
        <w:t>, they first duly note that:</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#blockQuote</w:t>
      </w:r>
    </w:p>
    <w:p>
      <w:pPr>
        <w:pStyle w:val="Oletus"/>
        <w:tabs>
          <w:tab w:val="left" w:pos="1304"/>
          <w:tab w:val="left" w:pos="2608"/>
          <w:tab w:val="left" w:pos="3912"/>
          <w:tab w:val="left" w:pos="5216"/>
          <w:tab w:val="left" w:pos="6520"/>
          <w:tab w:val="left" w:pos="7824"/>
          <w:tab w:val="left" w:pos="9128"/>
        </w:tabs>
        <w:spacing w:before="0" w:after="160"/>
        <w:ind w:left="284" w:firstLine="0"/>
        <w:jc w:val="both"/>
        <w:rPr>
          <w:rFonts w:ascii="Times New Roman" w:cs="Times New Roman" w:hAnsi="Times New Roman" w:eastAsia="Times New Roman"/>
          <w:u w:color="000000"/>
          <w:lang w:val="en-US"/>
        </w:rPr>
      </w:pPr>
      <w:r>
        <w:rPr>
          <w:rFonts w:ascii="Times New Roman" w:hAnsi="Times New Roman"/>
          <w:u w:color="000000"/>
          <w:rtl w:val="0"/>
          <w:lang w:val="en-US"/>
        </w:rPr>
        <w:t>a Future tense is not consistent with an image that shows a completed action. The juxtaposition of the drawing of a ship in port after its voyage and the inscription which would naturally be in the Perfect tense is logical.</w:t>
      </w:r>
      <w:r>
        <w:rPr>
          <w:rFonts w:ascii="Times New Roman" w:cs="Times New Roman" w:hAnsi="Times New Roman" w:eastAsia="Times New Roman"/>
          <w:u w:color="000000"/>
          <w:vertAlign w:val="superscript"/>
        </w:rPr>
        <w:footnoteReference w:id="23"/>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r>
        <w:rPr>
          <w:rFonts w:ascii="Times New Roman" w:hAnsi="Times New Roman"/>
          <w:u w:color="000000"/>
          <w:rtl w:val="0"/>
          <w:lang w:val="en-US"/>
        </w:rPr>
        <w:t>#endBlockQuote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u w:color="000000"/>
          <w:rtl w:val="0"/>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u w:color="000000"/>
        </w:rPr>
      </w:pPr>
      <w:r>
        <w:rPr>
          <w:rFonts w:ascii="Times New Roman" w:hAnsi="Times New Roman"/>
          <w:u w:color="000000"/>
          <w:rtl w:val="0"/>
          <w:lang w:val="en-US"/>
        </w:rPr>
        <w:t xml:space="preserve">After that, however, they hypothesise about an alternative reading, </w:t>
      </w:r>
      <w:r>
        <w:rPr>
          <w:rFonts w:ascii="Times New Roman" w:hAnsi="Times New Roman"/>
          <w:i w:val="1"/>
          <w:iCs w:val="1"/>
          <w:u w:color="000000"/>
          <w:rtl w:val="0"/>
          <w:lang w:val="en-US"/>
        </w:rPr>
        <w:t>domino ivimus</w:t>
      </w:r>
      <w:r>
        <w:rPr>
          <w:rFonts w:ascii="Times New Roman" w:hAnsi="Times New Roman"/>
          <w:u w:color="000000"/>
          <w:rtl w:val="0"/>
          <w:lang w:val="en-US"/>
        </w:rPr>
        <w:t xml:space="preserve">, and translate it as </w:t>
      </w:r>
      <w:r>
        <w:rPr>
          <w:rFonts w:ascii="Times New Roman" w:hAnsi="Times New Roman" w:hint="default"/>
          <w:u w:color="000000"/>
          <w:rtl w:val="0"/>
          <w:lang w:val="en-US"/>
        </w:rPr>
        <w:t>“</w:t>
      </w:r>
      <w:r>
        <w:rPr>
          <w:rFonts w:ascii="Times New Roman" w:hAnsi="Times New Roman"/>
          <w:u w:color="000000"/>
          <w:rtl w:val="0"/>
          <w:lang w:val="en-US"/>
        </w:rPr>
        <w:t>we came to the Lord</w:t>
      </w:r>
      <w:r>
        <w:rPr>
          <w:rFonts w:ascii="Times New Roman" w:hAnsi="Times New Roman" w:hint="default"/>
          <w:u w:color="000000"/>
          <w:rtl w:val="0"/>
          <w:lang w:val="en-US"/>
        </w:rPr>
        <w:t>”</w:t>
      </w:r>
      <w:r>
        <w:rPr>
          <w:rFonts w:ascii="Times New Roman" w:hAnsi="Times New Roman"/>
          <w:u w:color="000000"/>
          <w:rtl w:val="0"/>
          <w:lang w:val="en-US"/>
        </w:rPr>
        <w:t>.</w:t>
      </w:r>
      <w:r>
        <w:rPr>
          <w:rFonts w:ascii="Times New Roman" w:cs="Times New Roman" w:hAnsi="Times New Roman" w:eastAsia="Times New Roman"/>
          <w:u w:color="000000"/>
          <w:vertAlign w:val="superscript"/>
        </w:rPr>
        <w:footnoteReference w:id="24"/>
      </w:r>
      <w:r>
        <w:rPr>
          <w:rFonts w:ascii="Times New Roman" w:hAnsi="Times New Roman"/>
          <w:u w:color="000000"/>
          <w:rtl w:val="0"/>
          <w:lang w:val="en-US"/>
        </w:rPr>
        <w:t xml:space="preserve"> This seemingly unconscious mistake is understandable because </w:t>
      </w:r>
      <w:r>
        <w:rPr>
          <w:rFonts w:ascii="Times New Roman" w:hAnsi="Times New Roman" w:hint="default"/>
          <w:u w:color="000000"/>
          <w:rtl w:val="0"/>
          <w:lang w:val="en-US"/>
        </w:rPr>
        <w:t>‘</w:t>
      </w:r>
      <w:r>
        <w:rPr>
          <w:rFonts w:ascii="Times New Roman" w:hAnsi="Times New Roman"/>
          <w:u w:color="000000"/>
          <w:rtl w:val="0"/>
          <w:lang w:val="en-US"/>
        </w:rPr>
        <w:t>to come</w:t>
      </w:r>
      <w:r>
        <w:rPr>
          <w:rFonts w:ascii="Times New Roman" w:hAnsi="Times New Roman" w:hint="default"/>
          <w:u w:color="000000"/>
          <w:rtl w:val="0"/>
          <w:lang w:val="en-US"/>
        </w:rPr>
        <w:t xml:space="preserve">’ </w:t>
      </w:r>
      <w:r>
        <w:rPr>
          <w:rFonts w:ascii="Times New Roman" w:hAnsi="Times New Roman"/>
          <w:u w:color="000000"/>
          <w:rtl w:val="0"/>
          <w:lang w:val="en-US"/>
        </w:rPr>
        <w:t xml:space="preserve">is, indeed, the verb one expects to see in a context of arriving somewhere, not </w:t>
      </w:r>
      <w:r>
        <w:rPr>
          <w:rFonts w:ascii="Times New Roman" w:hAnsi="Times New Roman" w:hint="default"/>
          <w:u w:color="000000"/>
          <w:rtl w:val="0"/>
          <w:lang w:val="en-US"/>
        </w:rPr>
        <w:t>‘</w:t>
      </w:r>
      <w:r>
        <w:rPr>
          <w:rFonts w:ascii="Times New Roman" w:hAnsi="Times New Roman"/>
          <w:u w:color="000000"/>
          <w:rtl w:val="0"/>
          <w:lang w:val="en-US"/>
        </w:rPr>
        <w:t>to go</w:t>
      </w:r>
      <w:r>
        <w:rPr>
          <w:rFonts w:ascii="Times New Roman" w:hAnsi="Times New Roman" w:hint="default"/>
          <w:u w:color="000000"/>
          <w:rtl w:val="0"/>
          <w:lang w:val="en-US"/>
        </w:rPr>
        <w:t>’</w:t>
      </w:r>
      <w:r>
        <w:rPr>
          <w:rFonts w:ascii="Times New Roman" w:hAnsi="Times New Roman"/>
          <w:u w:color="000000"/>
          <w:rtl w:val="0"/>
          <w:lang w:val="en-US"/>
        </w:rPr>
        <w:t xml:space="preserve">. The generic Latin verbs that denote coming to or arriving at a place are </w:t>
      </w:r>
      <w:r>
        <w:rPr>
          <w:rFonts w:ascii="Times New Roman" w:hAnsi="Times New Roman"/>
          <w:i w:val="1"/>
          <w:iCs w:val="1"/>
          <w:u w:color="000000"/>
          <w:rtl w:val="0"/>
          <w:lang w:val="en-US"/>
        </w:rPr>
        <w:t>venire</w:t>
      </w:r>
      <w:r>
        <w:rPr>
          <w:rFonts w:ascii="Times New Roman" w:hAnsi="Times New Roman"/>
          <w:u w:color="000000"/>
          <w:rtl w:val="0"/>
          <w:lang w:val="en-US"/>
        </w:rPr>
        <w:t xml:space="preserve"> and </w:t>
      </w:r>
      <w:r>
        <w:rPr>
          <w:rFonts w:ascii="Times New Roman" w:hAnsi="Times New Roman"/>
          <w:i w:val="1"/>
          <w:iCs w:val="1"/>
          <w:u w:color="000000"/>
          <w:rtl w:val="0"/>
          <w:lang w:val="en-US"/>
        </w:rPr>
        <w:t>advenire</w:t>
      </w:r>
      <w:r>
        <w:rPr>
          <w:rFonts w:ascii="Times New Roman" w:hAnsi="Times New Roman"/>
          <w:u w:color="000000"/>
          <w:rtl w:val="0"/>
          <w:lang w:val="de-DE"/>
        </w:rPr>
        <w:t xml:space="preserve"> or, in Later Latin, also </w:t>
      </w:r>
      <w:r>
        <w:rPr>
          <w:rFonts w:ascii="Times New Roman" w:hAnsi="Times New Roman"/>
          <w:i w:val="1"/>
          <w:iCs w:val="1"/>
          <w:u w:color="000000"/>
          <w:rtl w:val="0"/>
          <w:lang w:val="en-US"/>
        </w:rPr>
        <w:t>plicare</w:t>
      </w:r>
      <w:r>
        <w:rPr>
          <w:rFonts w:ascii="Times New Roman" w:hAnsi="Times New Roman"/>
          <w:u w:color="000000"/>
          <w:rtl w:val="0"/>
          <w:lang w:val="en-US"/>
        </w:rPr>
        <w:t xml:space="preserve"> (</w:t>
      </w:r>
      <w:r>
        <w:rPr>
          <w:rFonts w:ascii="Times New Roman" w:hAnsi="Times New Roman"/>
          <w:i w:val="1"/>
          <w:iCs w:val="1"/>
          <w:u w:color="000000"/>
          <w:rtl w:val="0"/>
          <w:lang w:val="en-US"/>
        </w:rPr>
        <w:t>se</w:t>
      </w:r>
      <w:r>
        <w:rPr>
          <w:rFonts w:ascii="Times New Roman" w:hAnsi="Times New Roman"/>
          <w:u w:color="000000"/>
          <w:rtl w:val="0"/>
          <w:lang w:val="en-US"/>
        </w:rPr>
        <w:t xml:space="preserve">) (originally </w:t>
      </w:r>
      <w:r>
        <w:rPr>
          <w:rFonts w:ascii="Times New Roman" w:hAnsi="Times New Roman" w:hint="default"/>
          <w:u w:color="000000"/>
          <w:rtl w:val="0"/>
          <w:lang w:val="en-US"/>
        </w:rPr>
        <w:t>‘</w:t>
      </w:r>
      <w:r>
        <w:rPr>
          <w:rFonts w:ascii="Times New Roman" w:hAnsi="Times New Roman"/>
          <w:u w:color="000000"/>
          <w:rtl w:val="0"/>
          <w:lang w:val="en-US"/>
        </w:rPr>
        <w:t>to fold</w:t>
      </w:r>
      <w:r>
        <w:rPr>
          <w:rFonts w:ascii="Times New Roman" w:hAnsi="Times New Roman" w:hint="default"/>
          <w:u w:color="000000"/>
          <w:rtl w:val="0"/>
          <w:lang w:val="en-US"/>
        </w:rPr>
        <w:t>’</w:t>
      </w:r>
      <w:r>
        <w:rPr>
          <w:rFonts w:ascii="Times New Roman" w:hAnsi="Times New Roman"/>
          <w:u w:color="000000"/>
          <w:rtl w:val="0"/>
          <w:lang w:val="en-US"/>
        </w:rPr>
        <w:t xml:space="preserve">), </w:t>
      </w:r>
      <w:r>
        <w:rPr>
          <w:rFonts w:ascii="Times New Roman" w:hAnsi="Times New Roman"/>
          <w:i w:val="1"/>
          <w:iCs w:val="1"/>
          <w:u w:color="000000"/>
          <w:rtl w:val="0"/>
          <w:lang w:val="de-DE"/>
        </w:rPr>
        <w:t>jungere</w:t>
      </w:r>
      <w:r>
        <w:rPr>
          <w:rFonts w:ascii="Times New Roman" w:hAnsi="Times New Roman"/>
          <w:u w:color="000000"/>
          <w:rtl w:val="0"/>
          <w:lang w:val="en-US"/>
        </w:rPr>
        <w:t xml:space="preserve"> </w:t>
      </w:r>
      <w:r>
        <w:rPr>
          <w:rFonts w:ascii="Times New Roman" w:hAnsi="Times New Roman"/>
          <w:i w:val="1"/>
          <w:iCs w:val="1"/>
          <w:u w:color="000000"/>
          <w:rtl w:val="0"/>
          <w:lang w:val="en-US"/>
        </w:rPr>
        <w:t>se</w:t>
      </w:r>
      <w:r>
        <w:rPr>
          <w:rFonts w:ascii="Times New Roman" w:hAnsi="Times New Roman"/>
          <w:u w:color="000000"/>
          <w:rtl w:val="0"/>
          <w:lang w:val="en-US"/>
        </w:rPr>
        <w:t xml:space="preserve"> (originally </w:t>
      </w:r>
      <w:r>
        <w:rPr>
          <w:rFonts w:ascii="Times New Roman" w:hAnsi="Times New Roman" w:hint="default"/>
          <w:u w:color="000000"/>
          <w:rtl w:val="0"/>
          <w:lang w:val="en-US"/>
        </w:rPr>
        <w:t>‘</w:t>
      </w:r>
      <w:r>
        <w:rPr>
          <w:rFonts w:ascii="Times New Roman" w:hAnsi="Times New Roman"/>
          <w:u w:color="000000"/>
          <w:rtl w:val="0"/>
          <w:lang w:val="en-US"/>
        </w:rPr>
        <w:t>to join</w:t>
      </w:r>
      <w:r>
        <w:rPr>
          <w:rFonts w:ascii="Times New Roman" w:hAnsi="Times New Roman" w:hint="default"/>
          <w:u w:color="000000"/>
          <w:rtl w:val="0"/>
          <w:lang w:val="en-US"/>
        </w:rPr>
        <w:t>’</w:t>
      </w:r>
      <w:r>
        <w:rPr>
          <w:rFonts w:ascii="Times New Roman" w:hAnsi="Times New Roman"/>
          <w:u w:color="000000"/>
          <w:rtl w:val="0"/>
          <w:lang w:val="en-US"/>
        </w:rPr>
        <w:t xml:space="preserve">), and </w:t>
      </w:r>
      <w:r>
        <w:rPr>
          <w:rFonts w:ascii="Times New Roman" w:hAnsi="Times New Roman"/>
          <w:i w:val="1"/>
          <w:iCs w:val="1"/>
          <w:u w:color="000000"/>
          <w:rtl w:val="0"/>
          <w:lang w:val="en-US"/>
        </w:rPr>
        <w:t>arripare</w:t>
      </w:r>
      <w:r>
        <w:rPr>
          <w:rFonts w:ascii="Times New Roman" w:hAnsi="Times New Roman"/>
          <w:u w:color="000000"/>
          <w:rtl w:val="0"/>
          <w:lang w:val="en-US"/>
        </w:rPr>
        <w:t xml:space="preserve"> (originally </w:t>
      </w:r>
      <w:r>
        <w:rPr>
          <w:rFonts w:ascii="Times New Roman" w:hAnsi="Times New Roman" w:hint="default"/>
          <w:u w:color="000000"/>
          <w:rtl w:val="0"/>
          <w:lang w:val="en-US"/>
        </w:rPr>
        <w:t>‘</w:t>
      </w:r>
      <w:r>
        <w:rPr>
          <w:rFonts w:ascii="Times New Roman" w:hAnsi="Times New Roman"/>
          <w:u w:color="000000"/>
          <w:rtl w:val="0"/>
          <w:lang w:val="en-US"/>
        </w:rPr>
        <w:t>to go ashore</w:t>
      </w:r>
      <w:r>
        <w:rPr>
          <w:rFonts w:ascii="Times New Roman" w:hAnsi="Times New Roman" w:hint="default"/>
          <w:u w:color="000000"/>
          <w:rtl w:val="0"/>
          <w:lang w:val="en-US"/>
        </w:rPr>
        <w:t>’</w:t>
      </w:r>
      <w:r>
        <w:rPr>
          <w:rFonts w:ascii="Times New Roman" w:hAnsi="Times New Roman"/>
          <w:u w:color="000000"/>
          <w:rtl w:val="0"/>
          <w:lang w:val="en-US"/>
        </w:rPr>
        <w:t>).</w:t>
      </w:r>
      <w:r>
        <w:rPr>
          <w:rFonts w:ascii="Times New Roman" w:cs="Times New Roman" w:hAnsi="Times New Roman" w:eastAsia="Times New Roman"/>
          <w:u w:color="000000"/>
          <w:vertAlign w:val="superscript"/>
        </w:rPr>
        <w:footnoteReference w:id="25"/>
      </w:r>
      <w:r>
        <w:rPr>
          <w:rFonts w:ascii="Times New Roman" w:hAnsi="Times New Roman"/>
          <w:u w:color="000000"/>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u w:color="000000"/>
        </w:rPr>
      </w:pPr>
      <w:r>
        <w:rPr>
          <w:rFonts w:ascii="Times New Roman" w:hAnsi="Times New Roman"/>
          <w:u w:color="000000"/>
          <w:rtl w:val="0"/>
          <w:lang w:val="en-US"/>
        </w:rPr>
        <w:t xml:space="preserve">Broshi is more systematic and translates </w:t>
      </w:r>
      <w:r>
        <w:rPr>
          <w:rFonts w:ascii="Times New Roman" w:hAnsi="Times New Roman" w:hint="default"/>
          <w:u w:color="000000"/>
          <w:rtl w:val="0"/>
          <w:lang w:val="en-US"/>
        </w:rPr>
        <w:t>‘</w:t>
      </w:r>
      <w:r>
        <w:rPr>
          <w:rFonts w:ascii="Times New Roman" w:hAnsi="Times New Roman"/>
          <w:u w:color="000000"/>
          <w:rtl w:val="0"/>
          <w:lang w:val="en-US"/>
        </w:rPr>
        <w:t>Lord, we went</w:t>
      </w:r>
      <w:r>
        <w:rPr>
          <w:rFonts w:ascii="Times New Roman" w:hAnsi="Times New Roman" w:hint="default"/>
          <w:u w:color="000000"/>
          <w:rtl w:val="0"/>
          <w:lang w:val="en-US"/>
        </w:rPr>
        <w:t>’</w:t>
      </w:r>
      <w:r>
        <w:rPr>
          <w:rFonts w:ascii="Times New Roman" w:hAnsi="Times New Roman"/>
          <w:u w:color="000000"/>
          <w:rtl w:val="0"/>
          <w:lang w:val="en-US"/>
        </w:rPr>
        <w:t>, while referring to Psalm 121 [122], which he describes as the classical psalm of the pilgrim to Jerusalem.</w:t>
      </w:r>
      <w:r>
        <w:rPr>
          <w:rFonts w:ascii="Times New Roman" w:cs="Times New Roman" w:hAnsi="Times New Roman" w:eastAsia="Times New Roman"/>
          <w:u w:color="000000"/>
          <w:vertAlign w:val="superscript"/>
        </w:rPr>
        <w:footnoteReference w:id="26"/>
      </w:r>
      <w:r>
        <w:rPr>
          <w:rFonts w:ascii="Times New Roman" w:hAnsi="Times New Roman"/>
          <w:u w:color="000000"/>
          <w:rtl w:val="0"/>
          <w:lang w:val="en-US"/>
        </w:rPr>
        <w:t xml:space="preserve"> He interprets </w:t>
      </w:r>
      <w:r>
        <w:rPr>
          <w:rFonts w:ascii="Times New Roman" w:hAnsi="Times New Roman"/>
          <w:i w:val="1"/>
          <w:iCs w:val="1"/>
          <w:u w:color="000000"/>
          <w:rtl w:val="0"/>
          <w:lang w:val="en-US"/>
        </w:rPr>
        <w:t>domine ivimus</w:t>
      </w:r>
      <w:r>
        <w:rPr>
          <w:rFonts w:ascii="Times New Roman" w:hAnsi="Times New Roman"/>
          <w:u w:color="000000"/>
          <w:rtl w:val="0"/>
          <w:lang w:val="en-US"/>
        </w:rPr>
        <w:t xml:space="preserve"> as </w:t>
      </w:r>
      <w:r>
        <w:rPr>
          <w:rFonts w:ascii="Times New Roman" w:hAnsi="Times New Roman" w:hint="default"/>
          <w:u w:color="000000"/>
          <w:rtl w:val="0"/>
          <w:lang w:val="en-US"/>
        </w:rPr>
        <w:t>“</w:t>
      </w:r>
      <w:r>
        <w:rPr>
          <w:rFonts w:ascii="Times New Roman" w:hAnsi="Times New Roman"/>
          <w:u w:color="000000"/>
          <w:rtl w:val="0"/>
          <w:lang w:val="en-US"/>
        </w:rPr>
        <w:t>the joyous exclamation of pilgrims who sailed from the western part of the Empire and finally reached the Holy City</w:t>
      </w:r>
      <w:r>
        <w:rPr>
          <w:rFonts w:ascii="Times New Roman" w:hAnsi="Times New Roman" w:hint="default"/>
          <w:u w:color="000000"/>
          <w:rtl w:val="0"/>
          <w:lang w:val="en-US"/>
        </w:rPr>
        <w:t>”</w:t>
      </w:r>
      <w:r>
        <w:rPr>
          <w:rFonts w:ascii="Times New Roman" w:hAnsi="Times New Roman"/>
          <w:u w:color="000000"/>
          <w:rtl w:val="0"/>
          <w:lang w:val="en-US"/>
        </w:rPr>
        <w:t xml:space="preserve">. Broshi and Barkay, however, opt for the translation </w:t>
      </w:r>
      <w:r>
        <w:rPr>
          <w:rFonts w:ascii="Times New Roman" w:hAnsi="Times New Roman" w:hint="default"/>
          <w:u w:color="000000"/>
          <w:rtl w:val="0"/>
          <w:lang w:val="en-US"/>
        </w:rPr>
        <w:t>‘</w:t>
      </w:r>
      <w:r>
        <w:rPr>
          <w:rFonts w:ascii="Times New Roman" w:hAnsi="Times New Roman"/>
          <w:u w:color="000000"/>
          <w:rtl w:val="0"/>
          <w:lang w:val="en-US"/>
        </w:rPr>
        <w:t>Lord, we shall go</w:t>
      </w:r>
      <w:r>
        <w:rPr>
          <w:rFonts w:ascii="Times New Roman" w:hAnsi="Times New Roman" w:hint="default"/>
          <w:u w:color="000000"/>
          <w:rtl w:val="0"/>
          <w:lang w:val="en-US"/>
        </w:rPr>
        <w:t>’</w:t>
      </w:r>
      <w:r>
        <w:rPr>
          <w:rFonts w:ascii="Times New Roman" w:hAnsi="Times New Roman"/>
          <w:u w:color="000000"/>
          <w:rtl w:val="0"/>
          <w:lang w:val="en-US"/>
        </w:rPr>
        <w:t xml:space="preserve">, duly mentioning the substitution of </w:t>
      </w:r>
      <w:r>
        <w:rPr>
          <w:rFonts w:ascii="Times New Roman" w:hAnsi="Times New Roman"/>
          <w:i w:val="1"/>
          <w:iCs w:val="1"/>
          <w:u w:color="000000"/>
          <w:rtl w:val="0"/>
          <w:lang w:val="en-US"/>
        </w:rPr>
        <w:t>b</w:t>
      </w:r>
      <w:r>
        <w:rPr>
          <w:rFonts w:ascii="Times New Roman" w:hAnsi="Times New Roman"/>
          <w:u w:color="000000"/>
          <w:rtl w:val="0"/>
          <w:lang w:val="en-US"/>
        </w:rPr>
        <w:t xml:space="preserve"> with </w:t>
      </w:r>
      <w:r>
        <w:rPr>
          <w:rFonts w:ascii="Times New Roman" w:hAnsi="Times New Roman"/>
          <w:i w:val="1"/>
          <w:iCs w:val="1"/>
          <w:u w:color="000000"/>
          <w:rtl w:val="0"/>
          <w:lang w:val="en-US"/>
        </w:rPr>
        <w:t xml:space="preserve">v </w:t>
      </w:r>
      <w:r>
        <w:rPr>
          <w:rFonts w:ascii="Times New Roman" w:hAnsi="Times New Roman"/>
          <w:u w:color="000000"/>
          <w:rtl w:val="0"/>
          <w:lang w:val="en-US"/>
        </w:rPr>
        <w:t>and associating the phrase with the Psalm 121 [122] and Jn 6,68.</w:t>
      </w:r>
      <w:r>
        <w:rPr>
          <w:rFonts w:ascii="Times New Roman" w:cs="Times New Roman" w:hAnsi="Times New Roman" w:eastAsia="Times New Roman"/>
          <w:u w:color="000000"/>
          <w:vertAlign w:val="superscript"/>
        </w:rPr>
        <w:footnoteReference w:id="27"/>
      </w:r>
      <w:r>
        <w:rPr>
          <w:rFonts w:ascii="Times New Roman" w:hAnsi="Times New Roman"/>
          <w:u w:color="000000"/>
          <w:rtl w:val="0"/>
          <w:lang w:val="en-US"/>
        </w:rPr>
        <w:t xml:space="preserve"> The suggested biblical parallels seem tenuous at best. A convincing parallel between an inscription and a biblical passage requires unambiguity and transparency. However, this clearly does not apply to the phrase </w:t>
      </w:r>
      <w:r>
        <w:rPr>
          <w:rFonts w:ascii="Times New Roman" w:hAnsi="Times New Roman"/>
          <w:i w:val="1"/>
          <w:iCs w:val="1"/>
          <w:u w:color="000000"/>
          <w:rtl w:val="0"/>
          <w:lang w:val="en-US"/>
        </w:rPr>
        <w:t>domine ivimus</w:t>
      </w:r>
      <w:r>
        <w:rPr>
          <w:rFonts w:ascii="Times New Roman" w:hAnsi="Times New Roman"/>
          <w:u w:color="000000"/>
          <w:rtl w:val="0"/>
          <w:lang w:val="en-US"/>
        </w:rPr>
        <w:t xml:space="preserve">, as the first word is one of the most common in the Vulgate, and the second a generic verb. Such parallels can be forged </w:t>
      </w:r>
      <w:r>
        <w:rPr>
          <w:rFonts w:ascii="Times New Roman" w:hAnsi="Times New Roman"/>
          <w:i w:val="1"/>
          <w:iCs w:val="1"/>
          <w:u w:color="000000"/>
          <w:rtl w:val="0"/>
          <w:lang w:val="en-US"/>
        </w:rPr>
        <w:t>ad nauseam</w:t>
      </w:r>
      <w:r>
        <w:rPr>
          <w:rFonts w:ascii="Times New Roman" w:hAnsi="Times New Roman"/>
          <w:u w:color="000000"/>
          <w:rtl w:val="0"/>
          <w:lang w:val="en-US"/>
        </w:rPr>
        <w:t xml:space="preserve">. We also find it puzzling why a Latin-speaking pilgrim, who has just arrived in Jerusalem, would express </w:t>
      </w:r>
      <w:r>
        <w:rPr>
          <w:rFonts w:ascii="Times New Roman" w:hAnsi="Times New Roman" w:hint="default"/>
          <w:u w:color="000000"/>
          <w:rtl w:val="0"/>
          <w:lang w:val="en-US"/>
        </w:rPr>
        <w:t>‘</w:t>
      </w:r>
      <w:r>
        <w:rPr>
          <w:rFonts w:ascii="Times New Roman" w:hAnsi="Times New Roman"/>
          <w:u w:color="000000"/>
          <w:rtl w:val="0"/>
          <w:lang w:val="en-US"/>
        </w:rPr>
        <w:t>his relief</w:t>
      </w:r>
      <w:r>
        <w:rPr>
          <w:rFonts w:ascii="Times New Roman" w:hAnsi="Times New Roman" w:hint="default"/>
          <w:u w:color="000000"/>
          <w:rtl w:val="0"/>
          <w:lang w:val="en-US"/>
        </w:rPr>
        <w:t xml:space="preserve">’ </w:t>
      </w:r>
      <w:r>
        <w:rPr>
          <w:rFonts w:ascii="Times New Roman" w:hAnsi="Times New Roman"/>
          <w:u w:color="000000"/>
          <w:rtl w:val="0"/>
          <w:lang w:val="en-US"/>
        </w:rPr>
        <w:t xml:space="preserve">or </w:t>
      </w:r>
      <w:r>
        <w:rPr>
          <w:rFonts w:ascii="Times New Roman" w:hAnsi="Times New Roman" w:hint="default"/>
          <w:u w:color="000000"/>
          <w:rtl w:val="0"/>
          <w:lang w:val="en-US"/>
        </w:rPr>
        <w:t>‘</w:t>
      </w:r>
      <w:r>
        <w:rPr>
          <w:rFonts w:ascii="Times New Roman" w:hAnsi="Times New Roman"/>
          <w:u w:color="000000"/>
          <w:rtl w:val="0"/>
          <w:lang w:val="es-ES_tradnl"/>
        </w:rPr>
        <w:t>joy</w:t>
      </w:r>
      <w:r>
        <w:rPr>
          <w:rFonts w:ascii="Times New Roman" w:hAnsi="Times New Roman" w:hint="default"/>
          <w:u w:color="000000"/>
          <w:rtl w:val="0"/>
          <w:lang w:val="es-ES_tradnl"/>
        </w:rPr>
        <w:t>’</w:t>
      </w:r>
      <w:r>
        <w:rPr>
          <w:rFonts w:ascii="Arial Unicode MS" w:hAnsi="Arial Unicode MS"/>
          <w:u w:color="000000"/>
          <w:rtl w:val="1"/>
          <w:lang w:val="ar-SA" w:bidi="ar-SA"/>
        </w:rPr>
        <w:t xml:space="preserve"> </w:t>
      </w:r>
      <w:r>
        <w:rPr>
          <w:rFonts w:ascii="Times New Roman" w:hAnsi="Times New Roman"/>
          <w:u w:color="000000"/>
          <w:rtl w:val="0"/>
          <w:lang w:val="en-US"/>
        </w:rPr>
        <w:t xml:space="preserve">in the future tense, even if such constructions can be found in random psalms. One might wonder why the pilgrim did not choose phrases like Ezr 8,32: </w:t>
      </w:r>
      <w:r>
        <w:rPr>
          <w:rFonts w:ascii="Times New Roman" w:hAnsi="Times New Roman"/>
          <w:i w:val="1"/>
          <w:iCs w:val="1"/>
          <w:u w:color="000000"/>
          <w:rtl w:val="0"/>
          <w:lang w:val="en-US"/>
        </w:rPr>
        <w:t>venimus adorare eum</w:t>
      </w:r>
      <w:r>
        <w:rPr>
          <w:rFonts w:ascii="Times New Roman" w:hAnsi="Times New Roman"/>
          <w:u w:color="000000"/>
          <w:rtl w:val="0"/>
          <w:lang w:val="en-US"/>
        </w:rPr>
        <w:t xml:space="preserve"> (</w:t>
      </w:r>
      <w:r>
        <w:rPr>
          <w:rFonts w:ascii="Times New Roman" w:hAnsi="Times New Roman" w:hint="default"/>
          <w:u w:color="000000"/>
          <w:rtl w:val="0"/>
          <w:lang w:val="en-US"/>
        </w:rPr>
        <w:t>‘</w:t>
      </w:r>
      <w:r>
        <w:rPr>
          <w:rFonts w:ascii="Times New Roman" w:hAnsi="Times New Roman"/>
          <w:u w:color="000000"/>
          <w:rtl w:val="0"/>
          <w:lang w:val="en-US"/>
        </w:rPr>
        <w:t>we have come to worship him</w:t>
      </w:r>
      <w:r>
        <w:rPr>
          <w:rFonts w:ascii="Times New Roman" w:hAnsi="Times New Roman" w:hint="default"/>
          <w:u w:color="000000"/>
          <w:rtl w:val="0"/>
          <w:lang w:val="en-US"/>
        </w:rPr>
        <w:t>’</w:t>
      </w:r>
      <w:r>
        <w:rPr>
          <w:rFonts w:ascii="Times New Roman" w:hAnsi="Times New Roman"/>
          <w:u w:color="000000"/>
          <w:rtl w:val="0"/>
          <w:lang w:val="en-US"/>
        </w:rPr>
        <w:t xml:space="preserve">) or Mat 2,2: </w:t>
      </w:r>
      <w:r>
        <w:rPr>
          <w:rFonts w:ascii="Times New Roman" w:hAnsi="Times New Roman"/>
          <w:i w:val="1"/>
          <w:iCs w:val="1"/>
          <w:u w:color="000000"/>
          <w:rtl w:val="0"/>
          <w:lang w:val="en-US"/>
        </w:rPr>
        <w:t xml:space="preserve">venimus Hierusalem </w:t>
      </w:r>
      <w:r>
        <w:rPr>
          <w:rFonts w:ascii="Times New Roman" w:hAnsi="Times New Roman"/>
          <w:u w:color="000000"/>
          <w:rtl w:val="0"/>
          <w:lang w:val="en-US"/>
        </w:rPr>
        <w:t>(</w:t>
      </w:r>
      <w:r>
        <w:rPr>
          <w:rFonts w:ascii="Times New Roman" w:hAnsi="Times New Roman" w:hint="default"/>
          <w:u w:color="000000"/>
          <w:rtl w:val="0"/>
          <w:lang w:val="en-US"/>
        </w:rPr>
        <w:t>‘</w:t>
      </w:r>
      <w:r>
        <w:rPr>
          <w:rFonts w:ascii="Times New Roman" w:hAnsi="Times New Roman"/>
          <w:u w:color="000000"/>
          <w:rtl w:val="0"/>
          <w:lang w:val="en-US"/>
        </w:rPr>
        <w:t>we came to Jerusalem</w:t>
      </w:r>
      <w:r>
        <w:rPr>
          <w:rFonts w:ascii="Times New Roman" w:hAnsi="Times New Roman" w:hint="default"/>
          <w:u w:color="000000"/>
          <w:rtl w:val="0"/>
          <w:lang w:val="en-US"/>
        </w:rPr>
        <w:t>’</w:t>
      </w:r>
      <w:r>
        <w:rPr>
          <w:rFonts w:ascii="Times New Roman" w:hAnsi="Times New Roman"/>
          <w:u w:color="000000"/>
          <w:rtl w:val="0"/>
          <w:lang w:val="en-US"/>
        </w:rPr>
        <w:t>)</w:t>
      </w:r>
      <w:r>
        <w:rPr>
          <w:rFonts w:ascii="Times New Roman" w:hAnsi="Times New Roman"/>
          <w:i w:val="1"/>
          <w:iCs w:val="1"/>
          <w:u w:color="000000"/>
          <w:rtl w:val="0"/>
          <w:lang w:val="en-US"/>
        </w:rPr>
        <w:t>.</w:t>
      </w:r>
    </w:p>
    <w:p>
      <w:pPr>
        <w:pStyle w:val="Default"/>
        <w:bidi w:val="0"/>
        <w:spacing w:before="0" w:line="240" w:lineRule="auto"/>
        <w:ind w:left="0" w:right="0" w:firstLine="0"/>
        <w:jc w:val="left"/>
        <w:rPr>
          <w:rFonts w:ascii="Times Roman" w:cs="Times Roman" w:hAnsi="Times Roman" w:eastAsia="Times Roman"/>
          <w:u w:color="000000"/>
          <w:rtl w:val="0"/>
        </w:rPr>
      </w:pPr>
      <w:r>
        <w:rPr>
          <w:rFonts w:ascii="Times Roman" w:hAnsi="Times Roman"/>
          <w:u w:color="000000"/>
          <w:rtl w:val="0"/>
          <w:lang w:val="en-US"/>
        </w:rPr>
        <w:t>#articleHeader</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r>
        <w:rPr>
          <w:rFonts w:ascii="Times New Roman" w:hAnsi="Times New Roman"/>
          <w:i w:val="1"/>
          <w:iCs w:val="1"/>
          <w:rtl w:val="0"/>
          <w:lang w:val="en-US"/>
        </w:rPr>
        <w:t>Paleography</w:t>
      </w:r>
      <w:r>
        <w:rPr>
          <w:rFonts w:ascii="Times New Roman" w:hAnsi="Times New Roman"/>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rPr>
      </w:pPr>
      <w:r>
        <w:rPr>
          <w:rFonts w:ascii="Times New Roman" w:hAnsi="Times New Roman"/>
          <w:rtl w:val="0"/>
          <w:lang w:val="en-US"/>
        </w:rPr>
        <w:t xml:space="preserve">While Gibson and Taylor conclude that there are significant alterations in the current drawing compared to the original, they nonetheless choose to support the </w:t>
      </w:r>
      <w:r>
        <w:rPr>
          <w:rFonts w:ascii="Times New Roman" w:hAnsi="Times New Roman"/>
          <w:i w:val="1"/>
          <w:iCs w:val="1"/>
          <w:rtl w:val="0"/>
          <w:lang w:val="en-US"/>
        </w:rPr>
        <w:t xml:space="preserve">domine ivimus </w:t>
      </w:r>
      <w:r>
        <w:rPr>
          <w:rFonts w:ascii="Times New Roman" w:hAnsi="Times New Roman"/>
          <w:rtl w:val="0"/>
          <w:lang w:val="en-US"/>
        </w:rPr>
        <w:t>reading of the inscription, although doubting its Christian content.</w:t>
      </w:r>
      <w:r>
        <w:rPr>
          <w:rFonts w:ascii="Times New Roman" w:cs="Times New Roman" w:hAnsi="Times New Roman" w:eastAsia="Times New Roman"/>
          <w:vertAlign w:val="superscript"/>
        </w:rPr>
        <w:footnoteReference w:id="28"/>
      </w:r>
      <w:r>
        <w:rPr>
          <w:rFonts w:ascii="Times New Roman" w:hAnsi="Times New Roman"/>
          <w:rtl w:val="0"/>
          <w:lang w:val="en-US"/>
        </w:rPr>
        <w:t xml:space="preserve"> Through an analysis of the 1971 photographs (reconstruction in Fig. 3) and certain paleographical considerations, they reach the conclusion that the incontestable letters are likely D-MIN--VIMUS (with three uncertain letters).</w:t>
      </w:r>
      <w:r>
        <w:rPr>
          <w:rFonts w:ascii="Times New Roman" w:cs="Times New Roman" w:hAnsi="Times New Roman" w:eastAsia="Times New Roman"/>
          <w:vertAlign w:val="superscript"/>
        </w:rPr>
        <w:footnoteReference w:id="29"/>
      </w:r>
      <w:r>
        <w:rPr>
          <w:rFonts w:ascii="Times New Roman" w:hAnsi="Times New Roman"/>
          <w:rtl w:val="0"/>
          <w:lang w:val="en-US"/>
        </w:rPr>
        <w:t xml:space="preserve"> We find this perplexing because their reconstruction could easily be interpreted as </w:t>
      </w:r>
      <w:r>
        <w:rPr>
          <w:rFonts w:ascii="Times New Roman" w:hAnsi="Times New Roman"/>
          <w:i w:val="1"/>
          <w:iCs w:val="1"/>
          <w:rtl w:val="0"/>
          <w:lang w:val="en-US"/>
        </w:rPr>
        <w:t>Isis Mirionimus</w:t>
      </w:r>
      <w:r>
        <w:rPr>
          <w:rFonts w:ascii="Times New Roman" w:hAnsi="Times New Roman"/>
          <w:rtl w:val="0"/>
          <w:lang w:val="en-US"/>
        </w:rPr>
        <w:t xml:space="preserve"> as well. The first two letters are clearly visible in Fig.1: it simply reads IS and not D, followed by I and S. This reading is also supported by the fact that there is a discernible gap after the first four letters (or two if one opts for the reading DO-). The next letter is certainly M, followed by a somewhat uncertain R and I. We cannot read any letter between M and R. I is followed by an O, lacking part of its left side. The last four letters, -IMUS, are indisputable. </w:t>
      </w:r>
    </w:p>
    <w:p>
      <w:pPr>
        <w:pStyle w:val="Oletus"/>
        <w:tabs>
          <w:tab w:val="left" w:pos="1304"/>
          <w:tab w:val="left" w:pos="2608"/>
          <w:tab w:val="left" w:pos="3912"/>
          <w:tab w:val="left" w:pos="5216"/>
          <w:tab w:val="left" w:pos="6520"/>
          <w:tab w:val="left" w:pos="7824"/>
          <w:tab w:val="left" w:pos="9128"/>
        </w:tabs>
        <w:spacing w:before="0" w:after="160"/>
        <w:jc w:val="both"/>
      </w:pPr>
      <w:r>
        <w:rPr>
          <w:rFonts w:ascii="Times New Roman" w:hAnsi="Times New Roman"/>
          <w:rtl w:val="0"/>
          <w:lang w:val="en-US"/>
        </w:rPr>
        <w:t xml:space="preserve">So, the question arises: Why do Gibson and Taylor insist on the </w:t>
      </w:r>
      <w:r>
        <w:rPr>
          <w:rFonts w:ascii="Times New Roman" w:hAnsi="Times New Roman"/>
          <w:i w:val="1"/>
          <w:iCs w:val="1"/>
          <w:rtl w:val="0"/>
          <w:lang w:val="en-US"/>
        </w:rPr>
        <w:t>domine ivimus</w:t>
      </w:r>
      <w:r>
        <w:rPr>
          <w:rFonts w:ascii="Times New Roman" w:hAnsi="Times New Roman"/>
          <w:rtl w:val="0"/>
          <w:lang w:val="en-US"/>
        </w:rPr>
        <w:t xml:space="preserve"> reading? The reason appears to lie in a linguistic mistake or what they refer to as a </w:t>
      </w:r>
      <w:r>
        <w:rPr>
          <w:rFonts w:ascii="Times New Roman" w:hAnsi="Times New Roman" w:hint="default"/>
          <w:rtl w:val="0"/>
          <w:lang w:val="en-US"/>
        </w:rPr>
        <w:t>‘</w:t>
      </w:r>
      <w:r>
        <w:rPr>
          <w:rFonts w:ascii="Times New Roman" w:hAnsi="Times New Roman"/>
          <w:rtl w:val="0"/>
          <w:lang w:val="de-DE"/>
        </w:rPr>
        <w:t>gender problem</w:t>
      </w:r>
      <w:r>
        <w:rPr>
          <w:rFonts w:ascii="Times New Roman" w:hAnsi="Times New Roman" w:hint="default"/>
          <w:rtl w:val="0"/>
          <w:lang w:val="en-US"/>
        </w:rPr>
        <w:t>’</w:t>
      </w:r>
      <w:r>
        <w:rPr>
          <w:rFonts w:ascii="Times New Roman" w:hAnsi="Times New Roman"/>
          <w:rtl w:val="0"/>
          <w:lang w:val="en-US"/>
        </w:rPr>
        <w:t>.</w:t>
      </w:r>
      <w:r>
        <w:rPr>
          <w:rFonts w:ascii="Times New Roman" w:cs="Times New Roman" w:hAnsi="Times New Roman" w:eastAsia="Times New Roman"/>
          <w:vertAlign w:val="superscript"/>
        </w:rPr>
        <w:footnoteReference w:id="30"/>
      </w:r>
      <w:r>
        <w:rPr>
          <w:rFonts w:ascii="Times New Roman" w:hAnsi="Times New Roman"/>
          <w:rtl w:val="0"/>
          <w:lang w:val="en-US"/>
        </w:rPr>
        <w:t xml:space="preserve"> Quoting Humphreys, Taylor and Gibson correctly mention that </w:t>
      </w:r>
      <w:r>
        <w:rPr>
          <w:rFonts w:ascii="Times New Roman" w:hAnsi="Times New Roman" w:hint="default"/>
          <w:rtl w:val="0"/>
          <w:lang w:val="en-US"/>
        </w:rPr>
        <w:t>“</w:t>
      </w:r>
      <w:r>
        <w:rPr>
          <w:rFonts w:ascii="Times New Roman" w:hAnsi="Times New Roman"/>
          <w:rtl w:val="0"/>
          <w:lang w:val="en-US"/>
        </w:rPr>
        <w:t xml:space="preserve">ISIS MIRIONIMUS is a phonetic transcription in Roman letters of the Greek </w:t>
      </w:r>
      <w:r>
        <w:rPr>
          <w:rFonts w:ascii="Times New Roman" w:hAnsi="Times New Roman" w:hint="default"/>
          <w:rtl w:val="0"/>
        </w:rPr>
        <w:t>ΙΣΙΣ</w:t>
      </w:r>
      <w:r>
        <w:rPr>
          <w:rFonts w:ascii="Times New Roman" w:hAnsi="Times New Roman"/>
          <w:rtl w:val="0"/>
          <w:lang w:val="en-US"/>
        </w:rPr>
        <w:t xml:space="preserve"> </w:t>
      </w:r>
      <w:r>
        <w:rPr>
          <w:rFonts w:ascii="Times New Roman" w:hAnsi="Times New Roman" w:hint="default"/>
          <w:rtl w:val="0"/>
        </w:rPr>
        <w:t>ΜΥΡΙΟΝΥΜΟΣ</w:t>
      </w:r>
      <w:r>
        <w:rPr>
          <w:rFonts w:ascii="Times New Roman" w:hAnsi="Times New Roman"/>
          <w:rtl w:val="0"/>
          <w:lang w:val="en-US"/>
        </w:rPr>
        <w:t>.</w:t>
      </w:r>
      <w:r>
        <w:rPr>
          <w:rFonts w:ascii="Times New Roman" w:hAnsi="Times New Roman" w:hint="default"/>
          <w:rtl w:val="0"/>
          <w:lang w:val="en-US"/>
        </w:rPr>
        <w:t>”</w:t>
      </w:r>
      <w:r>
        <w:rPr>
          <w:rFonts w:ascii="Times New Roman" w:cs="Times New Roman" w:hAnsi="Times New Roman" w:eastAsia="Times New Roman"/>
          <w:vertAlign w:val="superscript"/>
          <w:lang w:val="en-US"/>
        </w:rPr>
        <w:footnoteReference w:id="31"/>
      </w:r>
      <w:r>
        <w:rPr>
          <w:rFonts w:ascii="Times New Roman" w:hAnsi="Times New Roman"/>
          <w:rtl w:val="0"/>
          <w:lang w:val="en-US"/>
        </w:rPr>
        <w:t xml:space="preserve"> Next, however, they assert that </w:t>
      </w:r>
      <w:r>
        <w:rPr>
          <w:rFonts w:ascii="Times New Roman" w:hAnsi="Times New Roman" w:hint="default"/>
          <w:rtl w:val="0"/>
          <w:lang w:val="en-US"/>
        </w:rPr>
        <w:t>“</w:t>
      </w:r>
      <w:r>
        <w:rPr>
          <w:rFonts w:ascii="Times New Roman" w:hAnsi="Times New Roman"/>
          <w:rtl w:val="0"/>
          <w:lang w:val="en-US"/>
        </w:rPr>
        <w:t>Isis, in fact, is never qualified by the masculine -</w:t>
      </w:r>
      <w:r>
        <w:rPr>
          <w:rFonts w:ascii="Times New Roman" w:hAnsi="Times New Roman"/>
          <w:i w:val="1"/>
          <w:iCs w:val="1"/>
          <w:rtl w:val="0"/>
          <w:lang w:val="en-US"/>
        </w:rPr>
        <w:t>os</w:t>
      </w:r>
      <w:r>
        <w:rPr>
          <w:rFonts w:ascii="Times New Roman" w:hAnsi="Times New Roman"/>
          <w:rtl w:val="0"/>
          <w:lang w:val="en-US"/>
        </w:rPr>
        <w:t xml:space="preserve"> ending</w:t>
      </w:r>
      <w:r>
        <w:rPr>
          <w:rFonts w:ascii="Times New Roman" w:hAnsi="Times New Roman" w:hint="default"/>
          <w:rtl w:val="0"/>
          <w:lang w:val="en-US"/>
        </w:rPr>
        <w:t>”</w:t>
      </w:r>
      <w:r>
        <w:rPr>
          <w:rFonts w:ascii="Times New Roman" w:hAnsi="Times New Roman"/>
          <w:rtl w:val="0"/>
          <w:lang w:val="en-US"/>
        </w:rPr>
        <w:t>, c</w:t>
      </w:r>
      <w:r>
        <w:rPr>
          <w:rFonts w:ascii="Times New Roman" w:hAnsi="Times New Roman"/>
          <w:rtl w:val="0"/>
          <w:lang w:val="en-US"/>
        </w:rPr>
        <w:t xml:space="preserve">iting </w:t>
      </w:r>
      <w:r>
        <w:rPr>
          <w:rStyle w:val="Hyperlink.1"/>
        </w:rPr>
        <w:fldChar w:fldCharType="begin" w:fldLock="0"/>
      </w:r>
      <w:r>
        <w:rPr>
          <w:rStyle w:val="Hyperlink.1"/>
        </w:rPr>
        <w:instrText xml:space="preserve"> HYPERLINK "https://edh.ub.uni-heidelberg.de/edh/inschrift/HD045778"</w:instrText>
      </w:r>
      <w:r>
        <w:rPr>
          <w:rStyle w:val="Hyperlink.1"/>
        </w:rPr>
        <w:fldChar w:fldCharType="separate" w:fldLock="0"/>
      </w:r>
      <w:r>
        <w:rPr>
          <w:rStyle w:val="Hyperlink.1"/>
          <w:rtl w:val="0"/>
          <w:lang w:val="it-IT"/>
        </w:rPr>
        <w:t>CIL III 882</w:t>
      </w:r>
      <w:r>
        <w:rPr/>
        <w:fldChar w:fldCharType="end" w:fldLock="0"/>
      </w:r>
      <w:r>
        <w:rPr>
          <w:rFonts w:ascii="Times New Roman" w:hAnsi="Times New Roman"/>
          <w:rtl w:val="0"/>
          <w:lang w:val="en-US"/>
        </w:rPr>
        <w:t xml:space="preserve"> (</w:t>
      </w:r>
      <w:r>
        <w:rPr>
          <w:rFonts w:ascii="Times New Roman" w:hAnsi="Times New Roman"/>
          <w:i w:val="1"/>
          <w:iCs w:val="1"/>
          <w:rtl w:val="0"/>
          <w:lang w:val="en-US"/>
        </w:rPr>
        <w:t>Isidi Myrionimae</w:t>
      </w:r>
      <w:r>
        <w:rPr>
          <w:rFonts w:ascii="Times New Roman" w:hAnsi="Times New Roman"/>
          <w:rtl w:val="0"/>
          <w:lang w:val="en-US"/>
        </w:rPr>
        <w:t>) in support of their argument. In reality, the common Greek epithet qualifying Is</w:t>
      </w:r>
      <w:r>
        <w:rPr>
          <w:rFonts w:ascii="Times New Roman" w:hAnsi="Times New Roman"/>
          <w:rtl w:val="0"/>
          <w:lang w:val="en-US"/>
        </w:rPr>
        <w:t xml:space="preserve">is, </w:t>
      </w:r>
      <w:r>
        <w:rPr>
          <w:rFonts w:ascii="Times New Roman" w:hAnsi="Times New Roman" w:hint="default"/>
          <w:rtl w:val="0"/>
        </w:rPr>
        <w:t>μυριώνυμος</w:t>
      </w:r>
      <w:r>
        <w:rPr>
          <w:rFonts w:ascii="Times New Roman" w:hAnsi="Times New Roman"/>
          <w:rtl w:val="0"/>
          <w:lang w:val="en-US"/>
        </w:rPr>
        <w:t>, is not masculine but feminine.</w:t>
      </w:r>
      <w:r>
        <w:rPr>
          <w:rFonts w:ascii="Times New Roman" w:cs="Times New Roman" w:hAnsi="Times New Roman" w:eastAsia="Times New Roman"/>
          <w:vertAlign w:val="superscript"/>
        </w:rPr>
        <w:footnoteReference w:id="32"/>
      </w:r>
      <w:r>
        <w:rPr>
          <w:rFonts w:ascii="Times New Roman" w:hAnsi="Times New Roman"/>
          <w:rtl w:val="0"/>
          <w:lang w:val="en-US"/>
        </w:rPr>
        <w:t xml:space="preserve"> Both the masculine and feminine forms of compound adjectives, like </w:t>
      </w:r>
      <w:r>
        <w:rPr>
          <w:rFonts w:ascii="Times New Roman" w:hAnsi="Times New Roman" w:hint="default"/>
          <w:rtl w:val="0"/>
        </w:rPr>
        <w:t>μυριώνυμος</w:t>
      </w:r>
      <w:r>
        <w:rPr>
          <w:rFonts w:ascii="Times New Roman" w:hAnsi="Times New Roman"/>
          <w:rtl w:val="0"/>
          <w:lang w:val="en-US"/>
        </w:rPr>
        <w:t>, exhibit identical endings to those of 2nd-declension masculine nouns in -</w:t>
      </w:r>
      <w:r>
        <w:rPr>
          <w:rFonts w:ascii="Times New Roman" w:hAnsi="Times New Roman" w:hint="default"/>
          <w:rtl w:val="0"/>
        </w:rPr>
        <w:t>ος</w:t>
      </w:r>
      <w:r>
        <w:rPr>
          <w:rFonts w:ascii="Times New Roman" w:hAnsi="Times New Roman"/>
          <w:rtl w:val="0"/>
          <w:lang w:val="en-US"/>
        </w:rPr>
        <w:t xml:space="preserve">. Furthermore, contrary to what Gibson and Taylor claim, Isis is in fact qualified by the masculine-like ending in Latin inscriptions, as exemplified by </w:t>
      </w:r>
      <w:r>
        <w:rPr>
          <w:rFonts w:ascii="Times New Roman" w:hAnsi="Times New Roman"/>
          <w:i w:val="1"/>
          <w:iCs w:val="1"/>
          <w:rtl w:val="0"/>
          <w:lang w:val="en-US"/>
        </w:rPr>
        <w:t xml:space="preserve">Isidi Myrionymo </w:t>
      </w:r>
      <w:r>
        <w:rPr>
          <w:rFonts w:ascii="Times New Roman" w:hAnsi="Times New Roman"/>
          <w:rtl w:val="0"/>
          <w:lang w:val="en-US"/>
        </w:rPr>
        <w:t>(</w:t>
      </w:r>
      <w:r>
        <w:rPr>
          <w:rStyle w:val="Hyperlink.1"/>
        </w:rPr>
        <w:fldChar w:fldCharType="begin" w:fldLock="0"/>
      </w:r>
      <w:r>
        <w:rPr>
          <w:rStyle w:val="Hyperlink.1"/>
        </w:rPr>
        <w:instrText xml:space="preserve"> HYPERLINK "https://edh.ub.uni-heidelberg.de/edh/inschrift/HD018954"</w:instrText>
      </w:r>
      <w:r>
        <w:rPr>
          <w:rStyle w:val="Hyperlink.1"/>
        </w:rPr>
        <w:fldChar w:fldCharType="separate" w:fldLock="0"/>
      </w:r>
      <w:r>
        <w:rPr>
          <w:rStyle w:val="Hyperlink.1"/>
          <w:rtl w:val="0"/>
        </w:rPr>
        <w:t>AE 1956, 244</w:t>
      </w:r>
      <w:r>
        <w:rPr/>
        <w:fldChar w:fldCharType="end" w:fldLock="0"/>
      </w:r>
      <w:r>
        <w:rPr>
          <w:rFonts w:ascii="Times New Roman" w:hAnsi="Times New Roman"/>
          <w:rtl w:val="0"/>
          <w:lang w:val="en-US"/>
        </w:rPr>
        <w:t xml:space="preserve">), which directly renders the Greek dedication </w:t>
      </w:r>
      <w:r>
        <w:rPr>
          <w:rFonts w:ascii="Times New Roman" w:hAnsi="Times New Roman" w:hint="default"/>
          <w:rtl w:val="0"/>
        </w:rPr>
        <w:t>Ἴσιδι</w:t>
      </w:r>
      <w:r>
        <w:rPr>
          <w:rFonts w:ascii="Times New Roman" w:hAnsi="Times New Roman"/>
          <w:rtl w:val="0"/>
          <w:lang w:val="en-US"/>
        </w:rPr>
        <w:t xml:space="preserve"> </w:t>
      </w:r>
      <w:r>
        <w:rPr>
          <w:rFonts w:ascii="Times New Roman" w:hAnsi="Times New Roman" w:hint="default"/>
          <w:rtl w:val="0"/>
        </w:rPr>
        <w:t>μυριωνύμῳ</w:t>
      </w:r>
      <w:r>
        <w:rPr>
          <w:rFonts w:ascii="Times New Roman" w:hAnsi="Times New Roman"/>
          <w:rtl w:val="0"/>
          <w:lang w:val="en-US"/>
        </w:rPr>
        <w:t xml:space="preserve"> in Latin script.</w:t>
      </w:r>
      <w:r>
        <w:rPr>
          <w:rFonts w:ascii="Times New Roman" w:cs="Times New Roman" w:hAnsi="Times New Roman" w:eastAsia="Times New Roman"/>
          <w:vertAlign w:val="superscript"/>
        </w:rPr>
        <w:footnoteReference w:id="33"/>
      </w:r>
      <w:r>
        <w:rPr>
          <w:rFonts w:ascii="Times New Roman" w:hAnsi="Times New Roman"/>
          <w:rtl w:val="0"/>
          <w:lang w:val="en-US"/>
        </w:rPr>
        <w:t xml:space="preserve"> We are tempted to assume that Gibson and Taylor would have been more inclined to support the Isiac reading had they been aware of this fact.</w:t>
      </w:r>
    </w:p>
    <w:p>
      <w:pPr>
        <w:pStyle w:val="Oletus"/>
        <w:tabs>
          <w:tab w:val="left" w:pos="1304"/>
          <w:tab w:val="left" w:pos="2608"/>
          <w:tab w:val="left" w:pos="3912"/>
          <w:tab w:val="left" w:pos="5216"/>
          <w:tab w:val="left" w:pos="6520"/>
          <w:tab w:val="left" w:pos="7824"/>
          <w:tab w:val="left" w:pos="9128"/>
        </w:tabs>
        <w:spacing w:before="0" w:after="160"/>
        <w:jc w:val="both"/>
      </w:pPr>
    </w:p>
    <w:p>
      <w:pPr>
        <w:pStyle w:val="Oletus"/>
        <w:tabs>
          <w:tab w:val="left" w:pos="1304"/>
          <w:tab w:val="left" w:pos="2608"/>
          <w:tab w:val="left" w:pos="3912"/>
          <w:tab w:val="left" w:pos="5216"/>
          <w:tab w:val="left" w:pos="6520"/>
          <w:tab w:val="left" w:pos="7824"/>
          <w:tab w:val="left" w:pos="9128"/>
        </w:tabs>
        <w:spacing w:before="0" w:after="160"/>
        <w:jc w:val="both"/>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#articleHeader</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r>
        <w:rPr>
          <w:rFonts w:ascii="Times New Roman" w:hAnsi="Times New Roman"/>
          <w:i w:val="1"/>
          <w:iCs w:val="1"/>
          <w:rtl w:val="0"/>
          <w:lang w:val="en-US"/>
        </w:rPr>
        <w:t>The Ship</w:t>
      </w:r>
      <w:r>
        <w:rPr>
          <w:rFonts w:ascii="Times New Roman" w:hAnsi="Times New Roman"/>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r>
        <w:rPr>
          <w:rFonts w:ascii="Times New Roman" w:hAnsi="Times New Roman"/>
          <w:rtl w:val="0"/>
          <w:lang w:val="en-US"/>
        </w:rPr>
        <w:t xml:space="preserve">The drawing of the ship depicts a typical Roman merchant vessel, known in Latin as </w:t>
      </w:r>
      <w:r>
        <w:rPr>
          <w:rFonts w:ascii="Times New Roman" w:hAnsi="Times New Roman"/>
          <w:i w:val="1"/>
          <w:iCs w:val="1"/>
          <w:rtl w:val="0"/>
          <w:lang w:val="en-US"/>
        </w:rPr>
        <w:t>navis oneraria</w:t>
      </w:r>
      <w:r>
        <w:rPr>
          <w:rFonts w:ascii="Times New Roman" w:hAnsi="Times New Roman"/>
          <w:rtl w:val="0"/>
          <w:lang w:val="en-US"/>
        </w:rPr>
        <w:t>.</w:t>
      </w:r>
      <w:r>
        <w:rPr>
          <w:rFonts w:ascii="Times New Roman" w:cs="Times New Roman" w:hAnsi="Times New Roman" w:eastAsia="Times New Roman"/>
          <w:vertAlign w:val="superscript"/>
          <w:lang w:val="en-US"/>
        </w:rPr>
        <w:footnoteReference w:id="34"/>
      </w:r>
      <w:r>
        <w:rPr>
          <w:rFonts w:ascii="Times New Roman" w:hAnsi="Times New Roman"/>
          <w:rtl w:val="0"/>
          <w:lang w:val="en-US"/>
        </w:rPr>
        <w:t xml:space="preserve"> Isis was strongly associated with the sea.</w:t>
      </w:r>
      <w:r>
        <w:rPr>
          <w:rFonts w:ascii="Times New Roman" w:cs="Times New Roman" w:hAnsi="Times New Roman" w:eastAsia="Times New Roman"/>
          <w:vertAlign w:val="superscript"/>
        </w:rPr>
        <w:footnoteReference w:id="35"/>
      </w:r>
      <w:r>
        <w:rPr>
          <w:rFonts w:ascii="Times New Roman" w:hAnsi="Times New Roman"/>
          <w:rtl w:val="0"/>
          <w:lang w:val="en-US"/>
        </w:rPr>
        <w:t xml:space="preserve"> As protectors of navigation, there are instances of ships named after Isis and her consort Sarapis.</w:t>
      </w:r>
      <w:r>
        <w:rPr>
          <w:rFonts w:ascii="Times New Roman" w:cs="Times New Roman" w:hAnsi="Times New Roman" w:eastAsia="Times New Roman"/>
          <w:vertAlign w:val="superscript"/>
        </w:rPr>
        <w:footnoteReference w:id="36"/>
      </w:r>
      <w:r>
        <w:rPr>
          <w:rFonts w:ascii="Times New Roman" w:hAnsi="Times New Roman"/>
          <w:rtl w:val="0"/>
          <w:lang w:val="en-US"/>
        </w:rPr>
        <w:t xml:space="preserve"> A case in point is the grain vessel depicted in a 3rd-century AD Ostian fresco named </w:t>
      </w:r>
      <w:r>
        <w:rPr>
          <w:rFonts w:ascii="Times New Roman" w:hAnsi="Times New Roman"/>
          <w:i w:val="1"/>
          <w:iCs w:val="1"/>
          <w:rtl w:val="0"/>
          <w:lang w:val="en-US"/>
        </w:rPr>
        <w:t>Isis Giminiana.</w:t>
      </w:r>
      <w:r>
        <w:rPr>
          <w:rFonts w:ascii="Times New Roman" w:cs="Times New Roman" w:hAnsi="Times New Roman" w:eastAsia="Times New Roman"/>
          <w:vertAlign w:val="superscript"/>
        </w:rPr>
        <w:footnoteReference w:id="37"/>
      </w:r>
      <w:r>
        <w:rPr>
          <w:rFonts w:ascii="Times New Roman" w:hAnsi="Times New Roman"/>
          <w:i w:val="1"/>
          <w:iCs w:val="1"/>
          <w:rtl w:val="0"/>
          <w:lang w:val="en-US"/>
        </w:rPr>
        <w:t xml:space="preserve"> </w:t>
      </w:r>
      <w:r>
        <w:rPr>
          <w:rFonts w:ascii="Times New Roman" w:hAnsi="Times New Roman"/>
          <w:rtl w:val="0"/>
          <w:lang w:val="en-US"/>
        </w:rPr>
        <w:t xml:space="preserve">Another example is a trireme named </w:t>
      </w:r>
      <w:r>
        <w:rPr>
          <w:rFonts w:ascii="Times New Roman" w:hAnsi="Times New Roman"/>
          <w:i w:val="1"/>
          <w:iCs w:val="1"/>
          <w:rtl w:val="0"/>
          <w:lang w:val="en-US"/>
        </w:rPr>
        <w:t>Isis</w:t>
      </w:r>
      <w:r>
        <w:rPr>
          <w:rFonts w:ascii="Times New Roman" w:hAnsi="Times New Roman"/>
          <w:rtl w:val="0"/>
          <w:lang w:val="en-US"/>
        </w:rPr>
        <w:t>, attested in several 1st/2nd-century AD epitaphs.</w:t>
      </w:r>
      <w:r>
        <w:rPr>
          <w:rFonts w:ascii="Times New Roman" w:cs="Times New Roman" w:hAnsi="Times New Roman" w:eastAsia="Times New Roman"/>
          <w:vertAlign w:val="superscript"/>
        </w:rPr>
        <w:footnoteReference w:id="38"/>
      </w:r>
      <w:r>
        <w:rPr>
          <w:rFonts w:ascii="Times New Roman" w:hAnsi="Times New Roman"/>
          <w:rtl w:val="0"/>
          <w:lang w:val="en-US"/>
        </w:rPr>
        <w:t xml:space="preserve"> Hence, it is entirely plausible that a ship could bear the name </w:t>
      </w:r>
      <w:r>
        <w:rPr>
          <w:rFonts w:ascii="Times New Roman" w:hAnsi="Times New Roman"/>
          <w:i w:val="1"/>
          <w:iCs w:val="1"/>
          <w:rtl w:val="0"/>
          <w:lang w:val="en-US"/>
        </w:rPr>
        <w:t>Isis Mirionimus</w:t>
      </w:r>
      <w:r>
        <w:rPr>
          <w:rFonts w:ascii="Times New Roman" w:hAnsi="Times New Roman"/>
          <w:rtl w:val="0"/>
          <w:lang w:val="en-US"/>
        </w:rPr>
        <w:t>.</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Roman" w:hAnsi="Times Roman"/>
          <w:rtl w:val="0"/>
          <w:lang w:val="en-US"/>
        </w:rPr>
        <w:t>#articleHeader</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r>
        <w:rPr>
          <w:rFonts w:ascii="Times New Roman" w:hAnsi="Times New Roman"/>
          <w:i w:val="1"/>
          <w:iCs w:val="1"/>
          <w:rtl w:val="0"/>
          <w:lang w:val="en-US"/>
        </w:rPr>
        <w:t>Conclusion</w:t>
      </w:r>
      <w:r>
        <w:rPr>
          <w:rFonts w:ascii="Times New Roman" w:hAnsi="Times New Roman"/>
          <w:rtl w:val="0"/>
          <w:lang w:val="en-US"/>
        </w:rPr>
        <w:t xml:space="preserve">. </w:t>
      </w: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lang w:val="en-US"/>
        </w:rPr>
      </w:pPr>
    </w:p>
    <w:p>
      <w:pPr>
        <w:pStyle w:val="Oletus"/>
        <w:tabs>
          <w:tab w:val="left" w:pos="1304"/>
          <w:tab w:val="left" w:pos="2608"/>
          <w:tab w:val="left" w:pos="3912"/>
          <w:tab w:val="left" w:pos="5216"/>
          <w:tab w:val="left" w:pos="6520"/>
          <w:tab w:val="left" w:pos="7824"/>
          <w:tab w:val="left" w:pos="9128"/>
        </w:tabs>
        <w:spacing w:before="0" w:after="160"/>
        <w:jc w:val="both"/>
        <w:rPr>
          <w:rFonts w:ascii="Times New Roman" w:cs="Times New Roman" w:hAnsi="Times New Roman" w:eastAsia="Times New Roman"/>
        </w:rPr>
      </w:pPr>
      <w:r>
        <w:rPr>
          <w:rFonts w:ascii="Times New Roman" w:hAnsi="Times New Roman"/>
          <w:rtl w:val="0"/>
          <w:lang w:val="en-US"/>
        </w:rPr>
        <w:t xml:space="preserve">In this paper, we have shown that the reading </w:t>
      </w:r>
      <w:r>
        <w:rPr>
          <w:rFonts w:ascii="Times New Roman" w:hAnsi="Times New Roman"/>
          <w:i w:val="1"/>
          <w:iCs w:val="1"/>
          <w:rtl w:val="0"/>
          <w:lang w:val="en-US"/>
        </w:rPr>
        <w:t xml:space="preserve">domine ivimus </w:t>
      </w:r>
      <w:r>
        <w:rPr>
          <w:rFonts w:ascii="Times New Roman" w:hAnsi="Times New Roman"/>
          <w:rtl w:val="0"/>
          <w:lang w:val="en-US"/>
        </w:rPr>
        <w:t xml:space="preserve">is highly improbable, given the meaning of the verb </w:t>
      </w:r>
      <w:r>
        <w:rPr>
          <w:rFonts w:ascii="Times New Roman" w:hAnsi="Times New Roman"/>
          <w:i w:val="1"/>
          <w:iCs w:val="1"/>
          <w:rtl w:val="0"/>
          <w:lang w:val="en-US"/>
        </w:rPr>
        <w:t>ire</w:t>
      </w:r>
      <w:r>
        <w:rPr>
          <w:rFonts w:ascii="Times New Roman" w:hAnsi="Times New Roman"/>
          <w:rtl w:val="0"/>
          <w:lang w:val="en-US"/>
        </w:rPr>
        <w:t xml:space="preserve"> and the apparent absence of the uncontracted form </w:t>
      </w:r>
      <w:r>
        <w:rPr>
          <w:rFonts w:ascii="Times New Roman" w:hAnsi="Times New Roman"/>
          <w:i w:val="1"/>
          <w:iCs w:val="1"/>
          <w:rtl w:val="0"/>
          <w:lang w:val="en-US"/>
        </w:rPr>
        <w:t>ivimus</w:t>
      </w:r>
      <w:r>
        <w:rPr>
          <w:rFonts w:ascii="Times New Roman" w:hAnsi="Times New Roman"/>
          <w:rtl w:val="0"/>
          <w:lang w:val="en-US"/>
        </w:rPr>
        <w:t xml:space="preserve"> in both spoken language and most literary Latin texts. We consider the reading </w:t>
      </w:r>
      <w:r>
        <w:rPr>
          <w:rFonts w:ascii="Times New Roman" w:hAnsi="Times New Roman"/>
          <w:i w:val="1"/>
          <w:iCs w:val="1"/>
          <w:rtl w:val="0"/>
          <w:lang w:val="en-US"/>
        </w:rPr>
        <w:t>Isis Mirionimus</w:t>
      </w:r>
      <w:r>
        <w:rPr>
          <w:rFonts w:ascii="Times New Roman" w:hAnsi="Times New Roman"/>
          <w:rtl w:val="0"/>
          <w:lang w:val="en-US"/>
        </w:rPr>
        <w:t xml:space="preserve"> to be the most likely, although acknowledging the need for some doubt as the original inscription seems to be lost. We cannot but endorse Gibson and Taylor</w:t>
      </w:r>
      <w:r>
        <w:rPr>
          <w:rFonts w:ascii="Times New Roman" w:hAnsi="Times New Roman" w:hint="default"/>
          <w:rtl w:val="0"/>
          <w:lang w:val="en-US"/>
        </w:rPr>
        <w:t>’</w:t>
      </w:r>
      <w:r>
        <w:rPr>
          <w:rFonts w:ascii="Times New Roman" w:hAnsi="Times New Roman"/>
          <w:rtl w:val="0"/>
          <w:lang w:val="en-US"/>
        </w:rPr>
        <w:t>s call for the Armenian Patriarchate to commission an independent analysis of the pigments, which we expect will reveal the tampered parts of the inscription more clearly than is possible with visual inspection alone.</w:t>
      </w:r>
      <w:r>
        <w:rPr>
          <w:rFonts w:ascii="Times New Roman" w:cs="Times New Roman" w:hAnsi="Times New Roman" w:eastAsia="Times New Roman"/>
          <w:vertAlign w:val="superscript"/>
          <w:lang w:val="en-US"/>
        </w:rPr>
        <w:footnoteReference w:id="39"/>
      </w:r>
    </w:p>
    <w:p>
      <w:pPr>
        <w:pStyle w:val="Oletus"/>
        <w:tabs>
          <w:tab w:val="left" w:pos="1304"/>
          <w:tab w:val="left" w:pos="2608"/>
          <w:tab w:val="left" w:pos="3912"/>
          <w:tab w:val="left" w:pos="5216"/>
          <w:tab w:val="left" w:pos="6520"/>
          <w:tab w:val="left" w:pos="7824"/>
          <w:tab w:val="left" w:pos="9128"/>
        </w:tabs>
        <w:spacing w:after="160"/>
        <w:jc w:val="both"/>
        <w:rPr>
          <w:rFonts w:ascii="Times New Roman" w:cs="Times New Roman" w:hAnsi="Times New Roman" w:eastAsia="Times New Roman"/>
          <w:sz w:val="20"/>
          <w:szCs w:val="20"/>
        </w:rPr>
      </w:pP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p>
    <w:p>
      <w:pPr>
        <w:pStyle w:val="Default"/>
        <w:bidi w:val="0"/>
        <w:spacing w:before="0" w:line="240" w:lineRule="auto"/>
        <w:ind w:left="0" w:right="0" w:firstLine="0"/>
        <w:jc w:val="left"/>
        <w:rPr>
          <w:rFonts w:ascii="Times New Roman" w:cs="Times New Roman" w:hAnsi="Times New Roman" w:eastAsia="Times New Roman"/>
          <w:b w:val="1"/>
          <w:bCs w:val="1"/>
          <w:rtl w:val="0"/>
        </w:rPr>
      </w:pPr>
      <w:r>
        <w:rPr>
          <w:rFonts w:ascii="Times New Roman" w:hAnsi="Times New Roman"/>
          <w:rtl w:val="0"/>
        </w:rPr>
        <w:t>#</w:t>
      </w:r>
      <w:r>
        <w:rPr>
          <w:rFonts w:ascii="Times New Roman" w:hAnsi="Times New Roman"/>
          <w:rtl w:val="0"/>
          <w:lang w:val="de-DE"/>
        </w:rPr>
        <w:t>bibliography</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1"/>
        </w:rPr>
        <w:fldChar w:fldCharType="begin" w:fldLock="0"/>
      </w:r>
      <w:r>
        <w:rPr>
          <w:rStyle w:val="Hyperlink.1"/>
        </w:rPr>
        <w:instrText xml:space="preserve"> HYPERLINK "https://papyri.info/biblio/97022"</w:instrText>
      </w:r>
      <w:r>
        <w:rPr>
          <w:rStyle w:val="Hyperlink.1"/>
        </w:rPr>
        <w:fldChar w:fldCharType="separate" w:fldLock="0"/>
      </w:r>
      <w:r>
        <w:rPr>
          <w:rStyle w:val="Hyperlink.1"/>
          <w:rtl w:val="0"/>
          <w:lang w:val="it-IT"/>
        </w:rPr>
        <w:t>Bennett, C.M. (1974)</w:t>
      </w:r>
      <w:r>
        <w:rPr/>
        <w:fldChar w:fldCharType="end" w:fldLock="0"/>
      </w:r>
      <w:r>
        <w:rPr>
          <w:rFonts w:ascii="Times New Roman" w:hAnsi="Times New Roman" w:hint="default"/>
          <w:rtl w:val="0"/>
          <w:lang w:val="en-US"/>
        </w:rPr>
        <w:t xml:space="preserve"> “</w:t>
      </w:r>
      <w:r>
        <w:rPr>
          <w:rFonts w:ascii="Times New Roman" w:hAnsi="Times New Roman"/>
          <w:rtl w:val="0"/>
          <w:lang w:val="en-US"/>
        </w:rPr>
        <w:t>T</w:t>
      </w:r>
      <w:r>
        <w:rPr>
          <w:rFonts w:ascii="Times New Roman" w:hAnsi="Times New Roman"/>
          <w:rtl w:val="0"/>
          <w:lang w:val="en-US"/>
        </w:rPr>
        <w:t>he Jerusalem Ship,</w:t>
      </w:r>
      <w:r>
        <w:rPr>
          <w:rFonts w:ascii="Times New Roman" w:hAnsi="Times New Roman" w:hint="default"/>
          <w:rtl w:val="0"/>
          <w:lang w:val="en-US"/>
        </w:rPr>
        <w:t xml:space="preserve">” </w:t>
      </w:r>
      <w:r>
        <w:rPr>
          <w:rFonts w:ascii="Times New Roman" w:hAnsi="Times New Roman"/>
          <w:rtl w:val="0"/>
          <w:lang w:val="en-US"/>
        </w:rPr>
        <w:t>IJNAUE 3 (2): 307</w:t>
      </w:r>
      <w:r>
        <w:rPr>
          <w:rFonts w:ascii="Times New Roman" w:hAnsi="Times New Roman" w:hint="default"/>
          <w:rtl w:val="0"/>
          <w:lang w:val="en-US"/>
        </w:rPr>
        <w:t>–</w:t>
      </w:r>
      <w:r>
        <w:rPr>
          <w:rFonts w:ascii="Times New Roman" w:hAnsi="Times New Roman"/>
          <w:rtl w:val="0"/>
          <w:lang w:val="en-US"/>
        </w:rPr>
        <w:t xml:space="preserve">309. </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"https://papyri.info/biblio/63762"</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fr-FR"/>
        </w:rPr>
        <w:t>Bricault, L. (1994)</w:t>
      </w:r>
      <w:r>
        <w:rPr>
          <w:rFonts w:ascii="Times New Roman" w:cs="Times New Roman" w:hAnsi="Times New Roman" w:eastAsia="Times New Roman"/>
        </w:rPr>
        <w:fldChar w:fldCharType="end" w:fldLock="0"/>
      </w:r>
      <w:r>
        <w:rPr>
          <w:rFonts w:ascii="Times New Roman" w:hAnsi="Times New Roman" w:hint="default"/>
          <w:rtl w:val="0"/>
          <w:lang w:val="en-US"/>
        </w:rPr>
        <w:t xml:space="preserve"> “</w:t>
      </w:r>
      <w:r>
        <w:rPr>
          <w:rFonts w:ascii="Times New Roman" w:hAnsi="Times New Roman"/>
          <w:rtl w:val="0"/>
          <w:lang w:val="en-US"/>
        </w:rPr>
        <w:t>Isis myrionyme,</w:t>
      </w:r>
      <w:r>
        <w:rPr>
          <w:rFonts w:ascii="Times New Roman" w:hAnsi="Times New Roman" w:hint="default"/>
          <w:rtl w:val="0"/>
          <w:lang w:val="en-US"/>
        </w:rPr>
        <w:t xml:space="preserve">” </w:t>
      </w:r>
      <w:r>
        <w:rPr>
          <w:rFonts w:ascii="Times New Roman" w:hAnsi="Times New Roman"/>
          <w:rtl w:val="0"/>
          <w:lang w:val="en-US"/>
        </w:rPr>
        <w:t>in C. Berger, G. Clerc &amp; N. Grimal (eds)</w:t>
      </w:r>
      <w:r>
        <w:rPr>
          <w:rFonts w:ascii="Times New Roman" w:hAnsi="Times New Roman"/>
          <w:rtl w:val="0"/>
          <w:lang w:val="fr-FR"/>
        </w:rPr>
        <w:t xml:space="preserve">, Hommages </w:t>
      </w:r>
      <w:r>
        <w:rPr>
          <w:rFonts w:ascii="Times New Roman" w:hAnsi="Times New Roman" w:hint="default"/>
          <w:rtl w:val="0"/>
          <w:lang w:val="en-US"/>
        </w:rPr>
        <w:t xml:space="preserve">à </w:t>
      </w:r>
      <w:r>
        <w:rPr>
          <w:rFonts w:ascii="Times New Roman" w:hAnsi="Times New Roman"/>
          <w:rtl w:val="0"/>
          <w:lang w:val="en-US"/>
        </w:rPr>
        <w:t xml:space="preserve">Jean Leclant 3. </w:t>
      </w:r>
      <w:r>
        <w:rPr>
          <w:rFonts w:ascii="Times New Roman" w:hAnsi="Times New Roman" w:hint="default"/>
          <w:rtl w:val="0"/>
          <w:lang w:val="fr-FR"/>
        </w:rPr>
        <w:t>É</w:t>
      </w:r>
      <w:r>
        <w:rPr>
          <w:rFonts w:ascii="Times New Roman" w:hAnsi="Times New Roman"/>
          <w:rtl w:val="0"/>
          <w:lang w:val="es-ES_tradnl"/>
        </w:rPr>
        <w:t>tudes isiaques</w:t>
      </w:r>
      <w:r>
        <w:rPr>
          <w:rFonts w:ascii="Times New Roman" w:hAnsi="Times New Roman"/>
          <w:rtl w:val="0"/>
          <w:lang w:val="en-US"/>
        </w:rPr>
        <w:t>.</w:t>
      </w:r>
      <w:r>
        <w:rPr>
          <w:rFonts w:ascii="Times New Roman" w:hAnsi="Times New Roman"/>
          <w:rtl w:val="0"/>
          <w:lang w:val="fr-FR"/>
        </w:rPr>
        <w:t xml:space="preserve"> Le Caire</w:t>
      </w:r>
      <w:r>
        <w:rPr>
          <w:rFonts w:ascii="Times New Roman" w:hAnsi="Times New Roman"/>
          <w:rtl w:val="0"/>
          <w:lang w:val="en-US"/>
        </w:rPr>
        <w:t>.</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"https://papyri.info/biblio/19038"</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Bricault, L. (2006)</w:t>
      </w:r>
      <w:r>
        <w:rPr>
          <w:rFonts w:ascii="Times New Roman" w:cs="Times New Roman" w:hAnsi="Times New Roman" w:eastAsia="Times New Roman"/>
        </w:rPr>
        <w:fldChar w:fldCharType="end" w:fldLock="0"/>
      </w:r>
      <w:r>
        <w:rPr>
          <w:rFonts w:ascii="Times New Roman" w:hAnsi="Times New Roman"/>
          <w:rtl w:val="0"/>
          <w:lang w:val="en-US"/>
        </w:rPr>
        <w:t xml:space="preserve"> </w:t>
      </w:r>
      <w:r>
        <w:rPr>
          <w:rFonts w:ascii="Times New Roman" w:hAnsi="Times New Roman"/>
          <w:rtl w:val="0"/>
          <w:lang w:val="de-DE"/>
        </w:rPr>
        <w:t>Isis, Dame des flots</w:t>
      </w:r>
      <w:r>
        <w:rPr>
          <w:rFonts w:ascii="Times New Roman" w:hAnsi="Times New Roman"/>
          <w:rtl w:val="0"/>
          <w:lang w:val="en-US"/>
        </w:rPr>
        <w:t>. Li</w:t>
      </w:r>
      <w:r>
        <w:rPr>
          <w:rFonts w:ascii="Times New Roman" w:hAnsi="Times New Roman" w:hint="default"/>
          <w:rtl w:val="0"/>
          <w:lang w:val="en-US"/>
        </w:rPr>
        <w:t>è</w:t>
      </w:r>
      <w:r>
        <w:rPr>
          <w:rFonts w:ascii="Times New Roman" w:hAnsi="Times New Roman"/>
          <w:rtl w:val="0"/>
          <w:lang w:val="en-US"/>
        </w:rPr>
        <w:t>ge.</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"https://papyri.info/biblio/97026"</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Bricault, L. (2019)</w:t>
      </w:r>
      <w:r>
        <w:rPr>
          <w:rFonts w:ascii="Times New Roman" w:cs="Times New Roman" w:hAnsi="Times New Roman" w:eastAsia="Times New Roman"/>
        </w:rPr>
        <w:fldChar w:fldCharType="end" w:fldLock="0"/>
      </w:r>
      <w:r>
        <w:rPr>
          <w:rFonts w:ascii="Times New Roman" w:hAnsi="Times New Roman"/>
          <w:rtl w:val="0"/>
          <w:lang w:val="en-US"/>
        </w:rPr>
        <w:t xml:space="preserve"> Isis Pelagia: Images, names and cults of a goddess of the seas. Brill.</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"https://papyri.info/biblio/97024"</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Broshi, M. (1977)</w:t>
      </w:r>
      <w:r>
        <w:rPr>
          <w:rFonts w:ascii="Times New Roman" w:cs="Times New Roman" w:hAnsi="Times New Roman" w:eastAsia="Times New Roman"/>
        </w:rPr>
        <w:fldChar w:fldCharType="end" w:fldLock="0"/>
      </w:r>
      <w:r>
        <w:rPr>
          <w:rFonts w:ascii="Times New Roman" w:hAnsi="Times New Roman" w:hint="default"/>
          <w:rtl w:val="0"/>
          <w:lang w:val="en-US"/>
        </w:rPr>
        <w:t xml:space="preserve"> “</w:t>
      </w:r>
      <w:r>
        <w:rPr>
          <w:rFonts w:ascii="Times New Roman" w:hAnsi="Times New Roman"/>
          <w:rtl w:val="0"/>
          <w:lang w:val="en-US"/>
        </w:rPr>
        <w:t>The Jerusalem Ship Reconsidered,</w:t>
      </w:r>
      <w:r>
        <w:rPr>
          <w:rFonts w:ascii="Times New Roman" w:hAnsi="Times New Roman" w:hint="default"/>
          <w:rtl w:val="0"/>
          <w:lang w:val="en-US"/>
        </w:rPr>
        <w:t xml:space="preserve">” </w:t>
      </w:r>
      <w:r>
        <w:rPr>
          <w:rFonts w:ascii="Times New Roman" w:hAnsi="Times New Roman"/>
          <w:rtl w:val="0"/>
          <w:lang w:val="en-US"/>
        </w:rPr>
        <w:t>IJNAUE 6 (4) (1977), 349</w:t>
      </w:r>
      <w:r>
        <w:rPr>
          <w:rFonts w:ascii="Times New Roman" w:hAnsi="Times New Roman" w:hint="default"/>
          <w:rtl w:val="0"/>
          <w:lang w:val="en-US"/>
        </w:rPr>
        <w:t>–</w:t>
      </w:r>
      <w:r>
        <w:rPr>
          <w:rFonts w:ascii="Times New Roman" w:hAnsi="Times New Roman"/>
          <w:rtl w:val="0"/>
          <w:lang w:val="en-US"/>
        </w:rPr>
        <w:t>356.</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"https://papyri.info/biblio/97027"</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Broshi, M. and Barkay, G. (1985)</w:t>
      </w:r>
      <w:r>
        <w:rPr>
          <w:rFonts w:ascii="Times New Roman" w:cs="Times New Roman" w:hAnsi="Times New Roman" w:eastAsia="Times New Roman"/>
        </w:rPr>
        <w:fldChar w:fldCharType="end" w:fldLock="0"/>
      </w:r>
      <w:r>
        <w:rPr>
          <w:rFonts w:ascii="Times New Roman" w:hAnsi="Times New Roman" w:hint="default"/>
          <w:rtl w:val="0"/>
          <w:lang w:val="en-US"/>
        </w:rPr>
        <w:t xml:space="preserve"> “</w:t>
      </w:r>
      <w:r>
        <w:rPr>
          <w:rFonts w:ascii="Times New Roman" w:hAnsi="Times New Roman"/>
          <w:rtl w:val="0"/>
          <w:lang w:val="en-US"/>
        </w:rPr>
        <w:t>Excavations in the Chapel of St. Vartan in the Holy Sepulchre," Israel Exploration Journal 35 (2/3): 108</w:t>
      </w:r>
      <w:r>
        <w:rPr>
          <w:rFonts w:ascii="Times New Roman" w:hAnsi="Times New Roman" w:hint="default"/>
          <w:rtl w:val="0"/>
          <w:lang w:val="en-US"/>
        </w:rPr>
        <w:t>–</w:t>
      </w:r>
      <w:r>
        <w:rPr>
          <w:rFonts w:ascii="Times New Roman" w:hAnsi="Times New Roman"/>
          <w:rtl w:val="0"/>
          <w:lang w:val="en-US"/>
        </w:rPr>
        <w:t>128.</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"https://papyri.info/biblio/7614"</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Casson, L. (1971)</w:t>
      </w:r>
      <w:r>
        <w:rPr>
          <w:rFonts w:ascii="Times New Roman" w:cs="Times New Roman" w:hAnsi="Times New Roman" w:eastAsia="Times New Roman"/>
        </w:rPr>
        <w:fldChar w:fldCharType="end" w:fldLock="0"/>
      </w:r>
      <w:r>
        <w:rPr>
          <w:rFonts w:ascii="Times New Roman" w:hAnsi="Times New Roman"/>
          <w:rtl w:val="0"/>
          <w:lang w:val="en-US"/>
        </w:rPr>
        <w:t xml:space="preserve"> Ships and Seamanship in the Ancient World. New Jersey.</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"https://papyri.info/biblio/97029"</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Gibson, S. and Taylor, J. E. (1994)</w:t>
      </w:r>
      <w:r>
        <w:rPr>
          <w:rFonts w:ascii="Times New Roman" w:cs="Times New Roman" w:hAnsi="Times New Roman" w:eastAsia="Times New Roman"/>
        </w:rPr>
        <w:fldChar w:fldCharType="end" w:fldLock="0"/>
      </w:r>
      <w:r>
        <w:rPr>
          <w:rFonts w:ascii="Times New Roman" w:hAnsi="Times New Roman"/>
          <w:rtl w:val="0"/>
          <w:lang w:val="en-US"/>
        </w:rPr>
        <w:t xml:space="preserve"> Beneath the Church of the Holy Sepulchre, Jerusalem. The Archaeology and Early History of Traditional Golgotha. London.</w:t>
      </w:r>
    </w:p>
    <w:p>
      <w:pPr>
        <w:pStyle w:val="Oletus"/>
        <w:spacing w:before="0" w:after="120"/>
        <w:jc w:val="both"/>
        <w:rPr>
          <w:rFonts w:ascii="Times New Roman" w:cs="Times New Roman" w:hAnsi="Times New Roman" w:eastAsia="Times New Roman"/>
          <w:shd w:val="clear" w:color="auto" w:fill="ffffff"/>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"https://papyri.info/biblio/97030"</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Grisonic, M., Cesarik, N., Vilogorac Br</w:t>
      </w:r>
      <w:r>
        <w:rPr>
          <w:rStyle w:val="Hyperlink.0"/>
          <w:rFonts w:ascii="Times New Roman" w:hAnsi="Times New Roman" w:hint="default"/>
          <w:rtl w:val="0"/>
        </w:rPr>
        <w:t>č</w:t>
      </w:r>
      <w:r>
        <w:rPr>
          <w:rStyle w:val="Hyperlink.0"/>
          <w:rFonts w:ascii="Times New Roman" w:hAnsi="Times New Roman"/>
          <w:rtl w:val="0"/>
        </w:rPr>
        <w:t>i</w:t>
      </w:r>
      <w:r>
        <w:rPr>
          <w:rStyle w:val="Hyperlink.0"/>
          <w:rFonts w:ascii="Times New Roman" w:hAnsi="Times New Roman" w:hint="default"/>
          <w:rtl w:val="0"/>
        </w:rPr>
        <w:t>ć</w:t>
      </w:r>
      <w:r>
        <w:rPr>
          <w:rStyle w:val="Hyperlink.0"/>
          <w:rFonts w:ascii="Times New Roman" w:hAnsi="Times New Roman"/>
          <w:rtl w:val="0"/>
          <w:lang w:val="en-US"/>
        </w:rPr>
        <w:t xml:space="preserve">, I. and </w:t>
      </w:r>
      <w:r>
        <w:rPr>
          <w:rStyle w:val="Hyperlink.0"/>
          <w:rFonts w:ascii="Times New Roman" w:hAnsi="Times New Roman" w:hint="default"/>
          <w:rtl w:val="0"/>
        </w:rPr>
        <w:t>Š</w:t>
      </w:r>
      <w:r>
        <w:rPr>
          <w:rStyle w:val="Hyperlink.0"/>
          <w:rFonts w:ascii="Times New Roman" w:hAnsi="Times New Roman"/>
          <w:rtl w:val="0"/>
        </w:rPr>
        <w:t>trmelj, D. (2022)</w:t>
      </w:r>
      <w:r>
        <w:rPr>
          <w:rFonts w:ascii="Times New Roman" w:cs="Times New Roman" w:hAnsi="Times New Roman" w:eastAsia="Times New Roman"/>
        </w:rPr>
        <w:fldChar w:fldCharType="end" w:fldLock="0"/>
      </w:r>
      <w:r>
        <w:rPr>
          <w:rFonts w:ascii="Times New Roman" w:hAnsi="Times New Roman"/>
          <w:shd w:val="clear" w:color="auto" w:fill="ffffff"/>
          <w:rtl w:val="0"/>
          <w:lang w:val="en-US"/>
        </w:rPr>
        <w:t xml:space="preserve"> </w:t>
      </w:r>
      <w:r>
        <w:rPr>
          <w:rFonts w:ascii="Times New Roman" w:hAnsi="Times New Roman" w:hint="default"/>
          <w:rtl w:val="0"/>
          <w:lang w:val="en-US"/>
        </w:rPr>
        <w:t>“</w:t>
      </w:r>
      <w:r>
        <w:rPr>
          <w:rFonts w:ascii="Times New Roman" w:hAnsi="Times New Roman"/>
          <w:shd w:val="clear" w:color="auto" w:fill="ffffff"/>
          <w:rtl w:val="0"/>
          <w:lang w:val="en-US"/>
        </w:rPr>
        <w:t>Calpurnia L. Pisonis filia, Cn. Pisonis neptis and the votive altar dedicated to Isis, Serapis, Osiris and Anubis in Caska Cove, on the island of Pag,</w:t>
      </w:r>
      <w:r>
        <w:rPr>
          <w:rFonts w:ascii="Times New Roman" w:hAnsi="Times New Roman" w:hint="default"/>
          <w:shd w:val="clear" w:color="auto" w:fill="ffffff"/>
          <w:rtl w:val="0"/>
          <w:lang w:val="en-US"/>
        </w:rPr>
        <w:t xml:space="preserve">” </w:t>
      </w:r>
      <w:r>
        <w:rPr>
          <w:rFonts w:ascii="Times New Roman" w:hAnsi="Times New Roman"/>
          <w:shd w:val="clear" w:color="auto" w:fill="ffffff"/>
          <w:rtl w:val="0"/>
          <w:lang w:val="en-US"/>
        </w:rPr>
        <w:t>Vjesnik Arheolo</w:t>
      </w:r>
      <w:r>
        <w:rPr>
          <w:rFonts w:ascii="Times New Roman" w:hAnsi="Times New Roman" w:hint="default"/>
          <w:shd w:val="clear" w:color="auto" w:fill="ffffff"/>
          <w:rtl w:val="0"/>
          <w:lang w:val="en-US"/>
        </w:rPr>
        <w:t>š</w:t>
      </w:r>
      <w:r>
        <w:rPr>
          <w:rFonts w:ascii="Times New Roman" w:hAnsi="Times New Roman"/>
          <w:shd w:val="clear" w:color="auto" w:fill="ffffff"/>
          <w:rtl w:val="0"/>
          <w:lang w:val="en-US"/>
        </w:rPr>
        <w:t>kog muzeja u Zagrebu 55 (2): 231</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255.</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"https://papyri.info/biblio/97025"</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Helms, S. (1980)</w:t>
      </w:r>
      <w:r>
        <w:rPr>
          <w:rFonts w:ascii="Times New Roman" w:cs="Times New Roman" w:hAnsi="Times New Roman" w:eastAsia="Times New Roman"/>
        </w:rPr>
        <w:fldChar w:fldCharType="end" w:fldLock="0"/>
      </w:r>
      <w:r>
        <w:rPr>
          <w:rFonts w:ascii="Times New Roman" w:hAnsi="Times New Roman" w:hint="default"/>
          <w:rtl w:val="0"/>
          <w:lang w:val="en-US"/>
        </w:rPr>
        <w:t xml:space="preserve"> “</w:t>
      </w:r>
      <w:r>
        <w:rPr>
          <w:rFonts w:ascii="Times New Roman" w:hAnsi="Times New Roman"/>
          <w:rtl w:val="0"/>
          <w:lang w:val="en-US"/>
        </w:rPr>
        <w:t>The Jerusalem Ship, ISIS MYRIONYMOS, and the True Cross,</w:t>
      </w:r>
      <w:r>
        <w:rPr>
          <w:rFonts w:ascii="Times New Roman" w:hAnsi="Times New Roman" w:hint="default"/>
          <w:rtl w:val="0"/>
          <w:lang w:val="en-US"/>
        </w:rPr>
        <w:t xml:space="preserve">” </w:t>
      </w:r>
      <w:r>
        <w:rPr>
          <w:rFonts w:ascii="Times New Roman" w:hAnsi="Times New Roman"/>
          <w:rtl w:val="0"/>
          <w:lang w:val="en-US"/>
        </w:rPr>
        <w:t>IJNAUE 9 (2): 105</w:t>
      </w:r>
      <w:r>
        <w:rPr>
          <w:rFonts w:ascii="Times New Roman" w:hAnsi="Times New Roman" w:hint="default"/>
          <w:rtl w:val="0"/>
          <w:lang w:val="en-US"/>
        </w:rPr>
        <w:t>–</w:t>
      </w:r>
      <w:r>
        <w:rPr>
          <w:rFonts w:ascii="Times New Roman" w:hAnsi="Times New Roman"/>
          <w:rtl w:val="0"/>
          <w:lang w:val="en-US"/>
        </w:rPr>
        <w:t>120.</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"https://papyri.info/biblio/97023"</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Humphreys, S.C. (1974)</w:t>
      </w:r>
      <w:r>
        <w:rPr>
          <w:rFonts w:ascii="Times New Roman" w:cs="Times New Roman" w:hAnsi="Times New Roman" w:eastAsia="Times New Roman"/>
        </w:rPr>
        <w:fldChar w:fldCharType="end" w:fldLock="0"/>
      </w:r>
      <w:r>
        <w:rPr>
          <w:rFonts w:ascii="Times New Roman" w:hAnsi="Times New Roman" w:hint="default"/>
          <w:rtl w:val="0"/>
          <w:lang w:val="en-US"/>
        </w:rPr>
        <w:t xml:space="preserve"> “</w:t>
      </w:r>
      <w:r>
        <w:rPr>
          <w:rFonts w:ascii="Times New Roman" w:hAnsi="Times New Roman"/>
          <w:rtl w:val="0"/>
          <w:lang w:val="en-US"/>
        </w:rPr>
        <w:t xml:space="preserve">The Jerusalem Ship </w:t>
      </w:r>
      <w:r>
        <w:rPr>
          <w:rFonts w:ascii="Times New Roman" w:hAnsi="Times New Roman" w:hint="default"/>
          <w:rtl w:val="0"/>
          <w:lang w:val="en-US"/>
        </w:rPr>
        <w:t xml:space="preserve">– </w:t>
      </w:r>
      <w:r>
        <w:rPr>
          <w:rFonts w:ascii="Times New Roman" w:hAnsi="Times New Roman"/>
          <w:rtl w:val="0"/>
          <w:lang w:val="en-US"/>
        </w:rPr>
        <w:t>Analysis and Dating,</w:t>
      </w:r>
      <w:r>
        <w:rPr>
          <w:rFonts w:ascii="Times New Roman" w:hAnsi="Times New Roman" w:hint="default"/>
          <w:rtl w:val="0"/>
          <w:lang w:val="en-US"/>
        </w:rPr>
        <w:t xml:space="preserve">” </w:t>
      </w:r>
      <w:r>
        <w:rPr>
          <w:rFonts w:ascii="Times New Roman" w:hAnsi="Times New Roman"/>
          <w:rtl w:val="0"/>
          <w:lang w:val="en-US"/>
        </w:rPr>
        <w:t xml:space="preserve">IJNAUE 3 (2): 309-310. </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"https://papyri.info/biblio/97028"</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Kelley, J. L. (2019)</w:t>
      </w:r>
      <w:r>
        <w:rPr>
          <w:rFonts w:ascii="Times New Roman" w:cs="Times New Roman" w:hAnsi="Times New Roman" w:eastAsia="Times New Roman"/>
        </w:rPr>
        <w:fldChar w:fldCharType="end" w:fldLock="0"/>
      </w:r>
      <w:r>
        <w:rPr>
          <w:rFonts w:ascii="Times New Roman" w:hAnsi="Times New Roman"/>
          <w:rtl w:val="0"/>
          <w:lang w:val="en-US"/>
        </w:rPr>
        <w:t xml:space="preserve"> The Church of the Holy Sepulchre in Text and Archaeology. Oxford.</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"https://papyri.info/biblio/97034"</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Nagel, S. (2019)</w:t>
      </w:r>
      <w:r>
        <w:rPr>
          <w:rFonts w:ascii="Times New Roman" w:cs="Times New Roman" w:hAnsi="Times New Roman" w:eastAsia="Times New Roman"/>
        </w:rPr>
        <w:fldChar w:fldCharType="end" w:fldLock="0"/>
      </w:r>
      <w:r>
        <w:rPr>
          <w:rFonts w:ascii="Times New Roman" w:hAnsi="Times New Roman"/>
          <w:rtl w:val="0"/>
          <w:lang w:val="en-US"/>
        </w:rPr>
        <w:t xml:space="preserve"> Isis im R</w:t>
      </w:r>
      <w:r>
        <w:rPr>
          <w:rFonts w:ascii="Times New Roman" w:hAnsi="Times New Roman" w:hint="default"/>
          <w:rtl w:val="0"/>
          <w:lang w:val="en-US"/>
        </w:rPr>
        <w:t>ö</w:t>
      </w:r>
      <w:r>
        <w:rPr>
          <w:rFonts w:ascii="Times New Roman" w:hAnsi="Times New Roman"/>
          <w:rtl w:val="0"/>
          <w:lang w:val="en-US"/>
        </w:rPr>
        <w:t>mischen Reich. Teil 1: Die G</w:t>
      </w:r>
      <w:r>
        <w:rPr>
          <w:rFonts w:ascii="Times New Roman" w:hAnsi="Times New Roman" w:hint="default"/>
          <w:rtl w:val="0"/>
          <w:lang w:val="en-US"/>
        </w:rPr>
        <w:t>ö</w:t>
      </w:r>
      <w:r>
        <w:rPr>
          <w:rFonts w:ascii="Times New Roman" w:hAnsi="Times New Roman"/>
          <w:rtl w:val="0"/>
          <w:lang w:val="en-US"/>
        </w:rPr>
        <w:t>ttin im griechisch-r</w:t>
      </w:r>
      <w:r>
        <w:rPr>
          <w:rFonts w:ascii="Times New Roman" w:hAnsi="Times New Roman" w:hint="default"/>
          <w:rtl w:val="0"/>
          <w:lang w:val="en-US"/>
        </w:rPr>
        <w:t>ö</w:t>
      </w:r>
      <w:r>
        <w:rPr>
          <w:rFonts w:ascii="Times New Roman" w:hAnsi="Times New Roman"/>
          <w:rtl w:val="0"/>
          <w:lang w:val="en-US"/>
        </w:rPr>
        <w:t xml:space="preserve">mischen </w:t>
      </w:r>
      <w:r>
        <w:rPr>
          <w:rFonts w:ascii="Times New Roman" w:hAnsi="Times New Roman" w:hint="default"/>
          <w:rtl w:val="0"/>
          <w:lang w:val="en-US"/>
        </w:rPr>
        <w:t>Ä</w:t>
      </w:r>
      <w:r>
        <w:rPr>
          <w:rFonts w:ascii="Times New Roman" w:hAnsi="Times New Roman"/>
          <w:rtl w:val="0"/>
          <w:lang w:val="en-US"/>
        </w:rPr>
        <w:t>gypten, Teil 2: Adaption(en) des Kultes im Westen, Philippika, Altertumswissenschaftliche Abhandlungen (Contributions to the Study of Ancient World Cultures 109). Harrassowitz.</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"https://papyri.info/biblio/97031"</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it-IT"/>
        </w:rPr>
        <w:t>Ricca, D. (1991)</w:t>
      </w:r>
      <w:r>
        <w:rPr>
          <w:rFonts w:ascii="Times New Roman" w:cs="Times New Roman" w:hAnsi="Times New Roman" w:eastAsia="Times New Roman"/>
        </w:rPr>
        <w:fldChar w:fldCharType="end" w:fldLock="0"/>
      </w:r>
      <w:r>
        <w:rPr>
          <w:rFonts w:ascii="Times New Roman" w:hAnsi="Times New Roman"/>
          <w:rtl w:val="0"/>
          <w:lang w:val="it-IT"/>
        </w:rPr>
        <w:t xml:space="preserve"> </w:t>
      </w:r>
      <w:r>
        <w:rPr>
          <w:rFonts w:ascii="Times New Roman" w:hAnsi="Times New Roman" w:hint="default"/>
          <w:rtl w:val="0"/>
          <w:lang w:val="en-US"/>
        </w:rPr>
        <w:t>“</w:t>
      </w:r>
      <w:r>
        <w:rPr>
          <w:rFonts w:ascii="Times New Roman" w:hAnsi="Times New Roman"/>
          <w:rtl w:val="0"/>
          <w:lang w:val="it-IT"/>
        </w:rPr>
        <w:t>Andare e venire nelle lingue romanze e germaniche: dall</w:t>
      </w:r>
      <w:r>
        <w:rPr>
          <w:rFonts w:ascii="Times New Roman" w:hAnsi="Times New Roman" w:hint="default"/>
          <w:rtl w:val="1"/>
          <w:lang w:val="ar-SA" w:bidi="ar-SA"/>
        </w:rPr>
        <w:t>’</w:t>
      </w:r>
      <w:r>
        <w:rPr>
          <w:rFonts w:ascii="Times New Roman" w:hAnsi="Times New Roman"/>
          <w:rtl w:val="0"/>
          <w:lang w:val="de-DE"/>
        </w:rPr>
        <w:t>Aktionsart alla deissi,</w:t>
      </w:r>
      <w:r>
        <w:rPr>
          <w:rFonts w:ascii="Times New Roman" w:hAnsi="Times New Roman" w:hint="default"/>
          <w:rtl w:val="0"/>
          <w:lang w:val="it-IT"/>
        </w:rPr>
        <w:t xml:space="preserve">” </w:t>
      </w:r>
      <w:r>
        <w:rPr>
          <w:rFonts w:ascii="Times New Roman" w:hAnsi="Times New Roman"/>
          <w:rtl w:val="0"/>
          <w:lang w:val="it-IT"/>
        </w:rPr>
        <w:t>Archivio Glottologico Italiano 76: 159</w:t>
      </w:r>
      <w:r>
        <w:rPr>
          <w:rFonts w:ascii="Times New Roman" w:hAnsi="Times New Roman" w:hint="default"/>
          <w:rtl w:val="0"/>
          <w:lang w:val="it-IT"/>
        </w:rPr>
        <w:t>–</w:t>
      </w:r>
      <w:r>
        <w:rPr>
          <w:rFonts w:ascii="Times New Roman" w:hAnsi="Times New Roman"/>
          <w:rtl w:val="0"/>
          <w:lang w:val="it-IT"/>
        </w:rPr>
        <w:t>192</w:t>
      </w:r>
      <w:r>
        <w:rPr>
          <w:rFonts w:ascii="Times New Roman" w:hAnsi="Times New Roman"/>
          <w:i w:val="1"/>
          <w:iCs w:val="1"/>
          <w:rtl w:val="0"/>
          <w:lang w:val="it-IT"/>
        </w:rPr>
        <w:t>.</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"https://papyri.info/biblio/97033"</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it-IT"/>
        </w:rPr>
        <w:t>Suadoni, A. (2016)</w:t>
      </w:r>
      <w:r>
        <w:rPr>
          <w:rFonts w:ascii="Times New Roman" w:cs="Times New Roman" w:hAnsi="Times New Roman" w:eastAsia="Times New Roman"/>
        </w:rPr>
        <w:fldChar w:fldCharType="end" w:fldLock="0"/>
      </w:r>
      <w:r>
        <w:rPr>
          <w:rFonts w:ascii="Times New Roman" w:hAnsi="Times New Roman"/>
          <w:rtl w:val="0"/>
          <w:lang w:val="it-IT"/>
        </w:rPr>
        <w:t xml:space="preserve"> </w:t>
      </w:r>
      <w:r>
        <w:rPr>
          <w:rFonts w:ascii="Times New Roman" w:hAnsi="Times New Roman"/>
          <w:rtl w:val="0"/>
          <w:lang w:val="es-ES_tradnl"/>
        </w:rPr>
        <w:t>Verbos de movimiento, deixis y proyecci</w:t>
      </w:r>
      <w:r>
        <w:rPr>
          <w:rFonts w:ascii="Times New Roman" w:hAnsi="Times New Roman" w:hint="default"/>
          <w:rtl w:val="0"/>
          <w:lang w:val="es-ES_tradnl"/>
        </w:rPr>
        <w:t>ó</w:t>
      </w:r>
      <w:r>
        <w:rPr>
          <w:rFonts w:ascii="Times New Roman" w:hAnsi="Times New Roman"/>
          <w:rtl w:val="0"/>
          <w:lang w:val="nl-NL"/>
        </w:rPr>
        <w:t>n metaf</w:t>
      </w:r>
      <w:r>
        <w:rPr>
          <w:rFonts w:ascii="Times New Roman" w:hAnsi="Times New Roman" w:hint="default"/>
          <w:rtl w:val="0"/>
          <w:lang w:val="es-ES_tradnl"/>
        </w:rPr>
        <w:t>ó</w:t>
      </w:r>
      <w:r>
        <w:rPr>
          <w:rFonts w:ascii="Times New Roman" w:hAnsi="Times New Roman"/>
          <w:rtl w:val="0"/>
          <w:lang w:val="es-ES_tradnl"/>
        </w:rPr>
        <w:t>rica: el caso de andare y venire en contraste con ir y venir (Tesis doctoral, Universidad de Granada</w:t>
      </w:r>
      <w:r>
        <w:rPr>
          <w:rFonts w:ascii="Times New Roman" w:hAnsi="Times New Roman"/>
          <w:rtl w:val="0"/>
          <w:lang w:val="it-IT"/>
        </w:rPr>
        <w:t>).</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"https://papyri.info/biblio/97036"</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Testa, E. (1976)</w:t>
      </w:r>
      <w:r>
        <w:rPr>
          <w:rFonts w:ascii="Times New Roman" w:cs="Times New Roman" w:hAnsi="Times New Roman" w:eastAsia="Times New Roman"/>
        </w:rPr>
        <w:fldChar w:fldCharType="end" w:fldLock="0"/>
      </w:r>
      <w:r>
        <w:rPr>
          <w:rFonts w:ascii="Times New Roman" w:hAnsi="Times New Roman"/>
          <w:rtl w:val="0"/>
          <w:lang w:val="it-IT"/>
        </w:rPr>
        <w:t xml:space="preserve"> </w:t>
      </w:r>
      <w:r>
        <w:rPr>
          <w:rFonts w:ascii="Times New Roman" w:hAnsi="Times New Roman" w:hint="default"/>
          <w:rtl w:val="0"/>
          <w:lang w:val="en-US"/>
        </w:rPr>
        <w:t>“</w:t>
      </w:r>
      <w:r>
        <w:rPr>
          <w:rFonts w:ascii="Times New Roman" w:hAnsi="Times New Roman"/>
          <w:rtl w:val="0"/>
          <w:lang w:val="it-IT"/>
        </w:rPr>
        <w:t>Il Golgota, Porta delle Quiete,</w:t>
      </w:r>
      <w:r>
        <w:rPr>
          <w:rFonts w:ascii="Times New Roman" w:hAnsi="Times New Roman" w:hint="default"/>
          <w:rtl w:val="0"/>
          <w:lang w:val="it-IT"/>
        </w:rPr>
        <w:t xml:space="preserve">” </w:t>
      </w:r>
      <w:r>
        <w:rPr>
          <w:rFonts w:ascii="Times New Roman" w:hAnsi="Times New Roman"/>
          <w:rtl w:val="0"/>
          <w:lang w:val="it-IT"/>
        </w:rPr>
        <w:t xml:space="preserve">Studia Hierosolymitana in honore di P. B. Bagatti. </w:t>
      </w:r>
      <w:r>
        <w:rPr>
          <w:rFonts w:ascii="Times New Roman" w:hAnsi="Times New Roman"/>
          <w:rtl w:val="0"/>
          <w:lang w:val="en-US"/>
        </w:rPr>
        <w:t xml:space="preserve">Jerusalem. </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Fonts w:ascii="Times New Roman" w:hAnsi="Times New Roman"/>
          <w:i w:val="1"/>
          <w:iCs w:val="1"/>
          <w:rtl w:val="0"/>
          <w:lang w:val="en-US"/>
        </w:rPr>
        <w:t>Thesaurus Linguae Latinae.</w:t>
      </w:r>
      <w:r>
        <w:rPr>
          <w:rFonts w:ascii="Times New Roman" w:hAnsi="Times New Roman"/>
          <w:rtl w:val="0"/>
          <w:lang w:val="en-US"/>
        </w:rPr>
        <w:t xml:space="preserve"> Leipzig/Berlin, 1900</w:t>
      </w:r>
      <w:r>
        <w:rPr>
          <w:rFonts w:ascii="Times New Roman" w:hAnsi="Times New Roman" w:hint="default"/>
          <w:rtl w:val="0"/>
          <w:lang w:val="en-US"/>
        </w:rPr>
        <w:t>–</w:t>
      </w:r>
      <w:r>
        <w:rPr>
          <w:rFonts w:ascii="Times New Roman" w:hAnsi="Times New Roman"/>
          <w:rtl w:val="0"/>
          <w:lang w:val="en-US"/>
        </w:rPr>
        <w:t>.</w:t>
      </w:r>
    </w:p>
    <w:p>
      <w:pPr>
        <w:pStyle w:val="Oletus"/>
        <w:tabs>
          <w:tab w:val="left" w:pos="1304"/>
          <w:tab w:val="left" w:pos="2608"/>
          <w:tab w:val="left" w:pos="3912"/>
          <w:tab w:val="left" w:pos="5216"/>
          <w:tab w:val="left" w:pos="6520"/>
          <w:tab w:val="left" w:pos="7824"/>
          <w:tab w:val="left" w:pos="9128"/>
        </w:tabs>
        <w:spacing w:before="0" w:after="120"/>
        <w:jc w:val="both"/>
        <w:rPr>
          <w:rFonts w:ascii="Times New Roman" w:cs="Times New Roman" w:hAnsi="Times New Roman" w:eastAsia="Times New Roman"/>
        </w:rPr>
      </w:pPr>
      <w:r>
        <w:rPr>
          <w:rFonts w:ascii="Times New Roman" w:hAnsi="Times New Roman"/>
          <w:rtl w:val="0"/>
          <w:lang w:val="en-US"/>
        </w:rPr>
        <w:t xml:space="preserve">Walls, A. (n.d.) Church of the Holy Sepulchre 1971 Excavations Clarified: </w:t>
      </w:r>
      <w:r>
        <w:rPr>
          <w:rFonts w:ascii="Times New Roman" w:hAnsi="Times New Roman" w:hint="default"/>
          <w:rtl w:val="0"/>
          <w:lang w:val="en-US"/>
        </w:rPr>
        <w:t>“</w:t>
      </w:r>
      <w:r>
        <w:rPr>
          <w:rFonts w:ascii="Times New Roman" w:hAnsi="Times New Roman"/>
          <w:rtl w:val="0"/>
          <w:lang w:val="en-US"/>
        </w:rPr>
        <w:t>The Jerusalem Ship</w:t>
      </w:r>
      <w:r>
        <w:rPr>
          <w:rFonts w:ascii="Times New Roman" w:hAnsi="Times New Roman" w:hint="default"/>
          <w:rtl w:val="0"/>
          <w:lang w:val="en-US"/>
        </w:rPr>
        <w:t xml:space="preserve">” — </w:t>
      </w:r>
      <w:r>
        <w:rPr>
          <w:rFonts w:ascii="Times New Roman" w:hAnsi="Times New Roman"/>
          <w:rtl w:val="0"/>
          <w:lang w:val="en-US"/>
        </w:rPr>
        <w:t>Interpretation and Lies (</w:t>
      </w:r>
      <w:r>
        <w:rPr>
          <w:rStyle w:val="Hyperlink.2"/>
          <w:rFonts w:ascii="Times New Roman" w:cs="Times New Roman" w:hAnsi="Times New Roman" w:eastAsia="Times New Roman"/>
        </w:rPr>
        <w:fldChar w:fldCharType="begin" w:fldLock="0"/>
      </w:r>
      <w:r>
        <w:rPr>
          <w:rStyle w:val="Hyperlink.2"/>
          <w:rFonts w:ascii="Times New Roman" w:cs="Times New Roman" w:hAnsi="Times New Roman" w:eastAsia="Times New Roman"/>
        </w:rPr>
        <w:instrText xml:space="preserve"> HYPERLINK "https://www.academia.edu/44876770"</w:instrText>
      </w:r>
      <w:r>
        <w:rPr>
          <w:rStyle w:val="Hyperlink.2"/>
          <w:rFonts w:ascii="Times New Roman" w:cs="Times New Roman" w:hAnsi="Times New Roman" w:eastAsia="Times New Roman"/>
        </w:rPr>
        <w:fldChar w:fldCharType="separate" w:fldLock="0"/>
      </w:r>
      <w:r>
        <w:rPr>
          <w:rStyle w:val="Hyperlink.2"/>
          <w:rFonts w:ascii="Times New Roman" w:hAnsi="Times New Roman"/>
          <w:rtl w:val="0"/>
          <w:lang w:val="en-US"/>
        </w:rPr>
        <w:t>https://www.academia.edu/44876770</w:t>
      </w:r>
      <w:r>
        <w:rPr>
          <w:rFonts w:ascii="Times New Roman" w:cs="Times New Roman" w:hAnsi="Times New Roman" w:eastAsia="Times New Roman"/>
        </w:rPr>
        <w:fldChar w:fldCharType="end" w:fldLock="0"/>
      </w:r>
      <w:r>
        <w:rPr>
          <w:rStyle w:val="None"/>
          <w:rFonts w:ascii="Times New Roman" w:hAnsi="Times New Roman"/>
          <w:rtl w:val="0"/>
          <w:lang w:val="en-US"/>
        </w:rPr>
        <w:t>)</w:t>
      </w:r>
    </w:p>
    <w:p>
      <w:pPr>
        <w:pStyle w:val="Oletus"/>
        <w:tabs>
          <w:tab w:val="left" w:pos="1304"/>
          <w:tab w:val="left" w:pos="2608"/>
          <w:tab w:val="left" w:pos="3912"/>
          <w:tab w:val="left" w:pos="5216"/>
          <w:tab w:val="left" w:pos="6520"/>
          <w:tab w:val="left" w:pos="7824"/>
          <w:tab w:val="left" w:pos="9128"/>
        </w:tabs>
        <w:spacing w:before="0" w:after="120"/>
        <w:jc w:val="both"/>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"https://papyri.info/biblio/97032"</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V</w:t>
      </w:r>
      <w:r>
        <w:rPr>
          <w:rStyle w:val="Hyperlink.0"/>
          <w:rFonts w:ascii="Times New Roman" w:hAnsi="Times New Roman" w:hint="default"/>
          <w:rtl w:val="0"/>
        </w:rPr>
        <w:t>ää</w:t>
      </w:r>
      <w:r>
        <w:rPr>
          <w:rStyle w:val="Hyperlink.0"/>
          <w:rFonts w:ascii="Times New Roman" w:hAnsi="Times New Roman"/>
          <w:rtl w:val="0"/>
        </w:rPr>
        <w:t>n</w:t>
      </w:r>
      <w:r>
        <w:rPr>
          <w:rStyle w:val="Hyperlink.0"/>
          <w:rFonts w:ascii="Times New Roman" w:hAnsi="Times New Roman" w:hint="default"/>
          <w:rtl w:val="0"/>
        </w:rPr>
        <w:t>ä</w:t>
      </w:r>
      <w:r>
        <w:rPr>
          <w:rStyle w:val="Hyperlink.0"/>
          <w:rFonts w:ascii="Times New Roman" w:hAnsi="Times New Roman"/>
          <w:rtl w:val="0"/>
        </w:rPr>
        <w:t>nen, V. (1981)</w:t>
      </w:r>
      <w:r>
        <w:rPr>
          <w:rFonts w:ascii="Times New Roman" w:cs="Times New Roman" w:hAnsi="Times New Roman" w:eastAsia="Times New Roman"/>
        </w:rPr>
        <w:fldChar w:fldCharType="end" w:fldLock="0"/>
      </w:r>
      <w:r>
        <w:rPr>
          <w:rStyle w:val="None"/>
          <w:rFonts w:ascii="Times New Roman" w:hAnsi="Times New Roman"/>
          <w:rtl w:val="0"/>
          <w:lang w:val="en-US"/>
        </w:rPr>
        <w:t xml:space="preserve"> </w:t>
      </w:r>
      <w:r>
        <w:rPr>
          <w:rStyle w:val="None"/>
          <w:rFonts w:ascii="Times New Roman" w:hAnsi="Times New Roman"/>
          <w:rtl w:val="0"/>
          <w:lang w:val="fr-FR"/>
        </w:rPr>
        <w:t>Introduction au latin vulgaire</w:t>
      </w:r>
      <w:r>
        <w:rPr>
          <w:rStyle w:val="None"/>
          <w:rFonts w:ascii="Times New Roman" w:hAnsi="Times New Roman"/>
          <w:rtl w:val="0"/>
          <w:lang w:val="en-US"/>
        </w:rPr>
        <w:t xml:space="preserve">. </w:t>
      </w:r>
      <w:r>
        <w:rPr>
          <w:rStyle w:val="None"/>
          <w:rFonts w:ascii="Times New Roman" w:hAnsi="Times New Roman"/>
          <w:rtl w:val="0"/>
          <w:lang w:val="fr-FR"/>
        </w:rPr>
        <w:t>Paris</w:t>
      </w:r>
      <w:r>
        <w:rPr>
          <w:rStyle w:val="None"/>
          <w:rFonts w:ascii="Times New Roman" w:hAnsi="Times New Roman"/>
          <w:rtl w:val="0"/>
          <w:lang w:val="en-US"/>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Ylä- ja alaotsake"/>
      <w:tabs>
        <w:tab w:val="center" w:pos="4819"/>
        <w:tab w:val="right" w:pos="9612"/>
        <w:tab w:val="clear" w:pos="9020"/>
      </w:tabs>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Alaviite"/>
      </w:pPr>
      <w:r>
        <w:rPr>
          <w:sz w:val="20"/>
          <w:szCs w:val="20"/>
          <w:vertAlign w:val="superscript"/>
        </w:rPr>
        <w:footnoteRef/>
      </w:r>
      <w:r>
        <w:rPr>
          <w:rFonts w:ascii="Times New Roman" w:hAnsi="Times New Roman"/>
          <w:sz w:val="20"/>
          <w:szCs w:val="20"/>
          <w:rtl w:val="0"/>
          <w:lang w:val="en-US"/>
        </w:rPr>
        <w:t xml:space="preserve"> See </w:t>
      </w:r>
      <w:r>
        <w:rPr>
          <w:rStyle w:val="Hyperlink.0"/>
          <w:sz w:val="20"/>
          <w:szCs w:val="20"/>
        </w:rPr>
        <w:fldChar w:fldCharType="begin" w:fldLock="0"/>
      </w:r>
      <w:r>
        <w:rPr>
          <w:rStyle w:val="Hyperlink.0"/>
          <w:sz w:val="20"/>
          <w:szCs w:val="20"/>
        </w:rPr>
        <w:instrText xml:space="preserve"> HYPERLINK "https://papyri.info/biblio/97029"</w:instrText>
      </w:r>
      <w:r>
        <w:rPr>
          <w:rStyle w:val="Hyperlink.0"/>
          <w:sz w:val="20"/>
          <w:szCs w:val="20"/>
        </w:rPr>
        <w:fldChar w:fldCharType="separate" w:fldLock="0"/>
      </w:r>
      <w:r>
        <w:rPr>
          <w:rStyle w:val="Hyperlink.0"/>
          <w:sz w:val="20"/>
          <w:szCs w:val="20"/>
          <w:rtl w:val="0"/>
          <w:lang w:val="en-US"/>
        </w:rPr>
        <w:t>Gibson and Taylor 1994</w:t>
      </w:r>
      <w:r>
        <w:rPr>
          <w:sz w:val="20"/>
          <w:szCs w:val="20"/>
        </w:rPr>
        <w:fldChar w:fldCharType="end" w:fldLock="0"/>
      </w:r>
      <w:r>
        <w:rPr>
          <w:rFonts w:ascii="Times New Roman" w:hAnsi="Times New Roman"/>
          <w:sz w:val="20"/>
          <w:szCs w:val="20"/>
          <w:rtl w:val="0"/>
          <w:lang w:val="en-US"/>
        </w:rPr>
        <w:t>: 25</w:t>
      </w:r>
      <w:r>
        <w:rPr>
          <w:rFonts w:ascii="Times New Roman" w:hAnsi="Times New Roman" w:hint="default"/>
          <w:sz w:val="20"/>
          <w:szCs w:val="20"/>
          <w:rtl w:val="0"/>
          <w:lang w:val="en-US"/>
        </w:rPr>
        <w:t>–</w:t>
      </w:r>
      <w:r>
        <w:rPr>
          <w:rFonts w:ascii="Times New Roman" w:hAnsi="Times New Roman"/>
          <w:sz w:val="20"/>
          <w:szCs w:val="20"/>
          <w:rtl w:val="0"/>
          <w:lang w:val="en-US"/>
        </w:rPr>
        <w:t xml:space="preserve">48; A. Walls n.d. </w:t>
      </w:r>
    </w:p>
  </w:footnote>
  <w:footnote w:id="2">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"https://papyri.info/biblio/97023"</w:instrText>
      </w:r>
      <w:r>
        <w:rPr>
          <w:rStyle w:val="Hyperlink.0"/>
        </w:rPr>
        <w:fldChar w:fldCharType="separate" w:fldLock="0"/>
      </w:r>
      <w:r>
        <w:rPr>
          <w:rStyle w:val="Hyperlink.0"/>
          <w:rFonts w:cs="Arial Unicode MS" w:eastAsia="Arial Unicode MS"/>
          <w:rtl w:val="0"/>
        </w:rPr>
        <w:t>Humphreys 1974</w:t>
      </w:r>
      <w:r>
        <w:rPr/>
        <w:fldChar w:fldCharType="end" w:fldLock="0"/>
      </w:r>
      <w:r>
        <w:rPr>
          <w:rFonts w:cs="Arial Unicode MS" w:eastAsia="Arial Unicode MS"/>
          <w:rtl w:val="0"/>
          <w:lang w:val="en-US"/>
        </w:rPr>
        <w:t>.</w:t>
      </w:r>
    </w:p>
  </w:footnote>
  <w:footnote w:id="3">
    <w:p>
      <w:pPr>
        <w:pStyle w:val="footnote text"/>
      </w:pPr>
      <w:r>
        <w:rPr>
          <w:outline w:val="0"/>
          <w:color w:val="000000"/>
          <w:u w:color="000000"/>
          <w:vertAlign w:val="superscript"/>
          <w14:textOutline w14:w="12700" w14:cap="flat">
            <w14:noFill/>
            <w14:miter w14:lim="400000"/>
          </w14:textOutline>
          <w14:textFill>
            <w14:solidFill>
              <w14:srgbClr w14:val="000000"/>
            </w14:solidFill>
          </w14:textFill>
        </w:rPr>
        <w:footnoteRef/>
      </w:r>
      <w:r>
        <w:rPr>
          <w:rFonts w:cs="Arial Unicode MS" w:eastAsia="Arial Unicode MS"/>
          <w:rtl w:val="0"/>
          <w:lang w:val="en-US"/>
        </w:rPr>
        <w:t xml:space="preserve"> For the inscription in its archaeological context, see </w:t>
      </w:r>
      <w:r>
        <w:rPr>
          <w:rStyle w:val="Hyperlink.0"/>
        </w:rPr>
        <w:fldChar w:fldCharType="begin" w:fldLock="0"/>
      </w:r>
      <w:r>
        <w:rPr>
          <w:rStyle w:val="Hyperlink.0"/>
        </w:rPr>
        <w:instrText xml:space="preserve"> HYPERLINK "https://papyri.info/biblio/97027"</w:instrText>
      </w:r>
      <w:r>
        <w:rPr>
          <w:rStyle w:val="Hyperlink.0"/>
        </w:rPr>
        <w:fldChar w:fldCharType="separate" w:fldLock="0"/>
      </w:r>
      <w:r>
        <w:rPr>
          <w:rStyle w:val="Hyperlink.0"/>
          <w:rFonts w:cs="Arial Unicode MS" w:eastAsia="Arial Unicode MS"/>
          <w:rtl w:val="0"/>
        </w:rPr>
        <w:t>Broshi and Barkay 1985</w:t>
      </w:r>
      <w:r>
        <w:rPr/>
        <w:fldChar w:fldCharType="end" w:fldLock="0"/>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"https://papyri.info/biblio/97029"</w:instrText>
      </w:r>
      <w:r>
        <w:rPr>
          <w:rStyle w:val="Hyperlink.0"/>
        </w:rPr>
        <w:fldChar w:fldCharType="separate" w:fldLock="0"/>
      </w:r>
      <w:r>
        <w:rPr>
          <w:rStyle w:val="Hyperlink.0"/>
          <w:rFonts w:cs="Arial Unicode MS" w:eastAsia="Arial Unicode MS"/>
          <w:rtl w:val="0"/>
        </w:rPr>
        <w:t>Gibson and Taylor 1994</w:t>
      </w:r>
      <w:r>
        <w:rPr/>
        <w:fldChar w:fldCharType="end" w:fldLock="0"/>
      </w:r>
      <w:r>
        <w:rPr>
          <w:rFonts w:cs="Arial Unicode MS" w:eastAsia="Arial Unicode MS"/>
          <w:rtl w:val="0"/>
          <w:lang w:val="en-US"/>
        </w:rPr>
        <w:t>: 25</w:t>
      </w:r>
      <w:r>
        <w:rPr>
          <w:rFonts w:cs="Arial Unicode MS" w:eastAsia="Arial Unicode MS" w:hint="default"/>
          <w:rtl w:val="0"/>
          <w:lang w:val="en-US"/>
        </w:rPr>
        <w:t>–</w:t>
      </w:r>
      <w:r>
        <w:rPr>
          <w:rFonts w:cs="Arial Unicode MS" w:eastAsia="Arial Unicode MS"/>
          <w:rtl w:val="0"/>
          <w:lang w:val="en-US"/>
        </w:rPr>
        <w:t xml:space="preserve">48; </w:t>
      </w:r>
      <w:r>
        <w:rPr>
          <w:rStyle w:val="Hyperlink.0"/>
        </w:rPr>
        <w:fldChar w:fldCharType="begin" w:fldLock="0"/>
      </w:r>
      <w:r>
        <w:rPr>
          <w:rStyle w:val="Hyperlink.0"/>
        </w:rPr>
        <w:instrText xml:space="preserve"> HYPERLINK "https://papyri.info/biblio/97028"</w:instrText>
      </w:r>
      <w:r>
        <w:rPr>
          <w:rStyle w:val="Hyperlink.0"/>
        </w:rPr>
        <w:fldChar w:fldCharType="separate" w:fldLock="0"/>
      </w:r>
      <w:r>
        <w:rPr>
          <w:rStyle w:val="Hyperlink.0"/>
          <w:rFonts w:cs="Arial Unicode MS" w:eastAsia="Arial Unicode MS"/>
          <w:rtl w:val="0"/>
        </w:rPr>
        <w:t>Kelley 2019</w:t>
      </w:r>
      <w:r>
        <w:rPr/>
        <w:fldChar w:fldCharType="end" w:fldLock="0"/>
      </w:r>
      <w:r>
        <w:rPr>
          <w:rFonts w:cs="Arial Unicode MS" w:eastAsia="Arial Unicode MS"/>
          <w:rtl w:val="0"/>
          <w:lang w:val="en-US"/>
        </w:rPr>
        <w:t>: 44</w:t>
      </w:r>
      <w:r>
        <w:rPr>
          <w:rFonts w:cs="Arial Unicode MS" w:eastAsia="Arial Unicode MS" w:hint="default"/>
          <w:rtl w:val="0"/>
          <w:lang w:val="en-US"/>
        </w:rPr>
        <w:t>–</w:t>
      </w:r>
      <w:r>
        <w:rPr>
          <w:rFonts w:cs="Arial Unicode MS" w:eastAsia="Arial Unicode MS"/>
          <w:rtl w:val="0"/>
          <w:lang w:val="en-US"/>
        </w:rPr>
        <w:t>60.</w:t>
      </w:r>
    </w:p>
  </w:footnote>
  <w:footnote w:id="4">
    <w:p>
      <w:pPr>
        <w:pStyle w:val="Alaviite"/>
      </w:pPr>
      <w:r>
        <w:rPr>
          <w:rFonts w:ascii="Times New Roman" w:cs="Times New Roman" w:hAnsi="Times New Roman" w:eastAsia="Times New Roman"/>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"https://papyri.info/biblio/97022"</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Bennett 1974</w:t>
      </w:r>
      <w:r>
        <w:rPr>
          <w:rFonts w:ascii="Times New Roman" w:cs="Times New Roman" w:hAnsi="Times New Roman" w:eastAsia="Times New Roman"/>
        </w:rPr>
        <w:fldChar w:fldCharType="end" w:fldLock="0"/>
      </w:r>
      <w:r>
        <w:rPr>
          <w:rFonts w:ascii="Times New Roman" w:hAnsi="Times New Roman"/>
          <w:sz w:val="20"/>
          <w:szCs w:val="20"/>
          <w:rtl w:val="0"/>
          <w:lang w:val="en-US"/>
        </w:rPr>
        <w:t xml:space="preserv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"https://papyri.info/biblio/97023"</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Humphreys 1974</w:t>
      </w:r>
      <w:r>
        <w:rPr>
          <w:rFonts w:ascii="Times New Roman" w:cs="Times New Roman" w:hAnsi="Times New Roman" w:eastAsia="Times New Roman"/>
        </w:rPr>
        <w:fldChar w:fldCharType="end" w:fldLock="0"/>
      </w:r>
      <w:r>
        <w:rPr>
          <w:rFonts w:ascii="Times New Roman" w:hAnsi="Times New Roman"/>
          <w:sz w:val="20"/>
          <w:szCs w:val="20"/>
          <w:rtl w:val="0"/>
          <w:lang w:val="en-US"/>
        </w:rPr>
        <w:t>.</w:t>
      </w:r>
    </w:p>
  </w:footnote>
  <w:footnote w:id="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"https://papyri.info/biblio/97028"</w:instrText>
      </w:r>
      <w:r>
        <w:rPr>
          <w:rStyle w:val="Hyperlink.0"/>
        </w:rPr>
        <w:fldChar w:fldCharType="separate" w:fldLock="0"/>
      </w:r>
      <w:r>
        <w:rPr>
          <w:rStyle w:val="Hyperlink.0"/>
          <w:rFonts w:cs="Arial Unicode MS" w:eastAsia="Arial Unicode MS"/>
          <w:rtl w:val="0"/>
        </w:rPr>
        <w:t>Kelley 2019</w:t>
      </w:r>
      <w:r>
        <w:rPr/>
        <w:fldChar w:fldCharType="end" w:fldLock="0"/>
      </w:r>
      <w:r>
        <w:rPr>
          <w:rFonts w:cs="Arial Unicode MS" w:eastAsia="Arial Unicode MS"/>
          <w:rtl w:val="0"/>
          <w:lang w:val="en-US"/>
        </w:rPr>
        <w:t>: 60.</w:t>
      </w:r>
    </w:p>
  </w:footnote>
  <w:footnote w:id="6">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"https://papyri.info/biblio/97027"</w:instrText>
      </w:r>
      <w:r>
        <w:rPr>
          <w:rStyle w:val="Hyperlink.0"/>
        </w:rPr>
        <w:fldChar w:fldCharType="separate" w:fldLock="0"/>
      </w:r>
      <w:r>
        <w:rPr>
          <w:rStyle w:val="Hyperlink.0"/>
          <w:rFonts w:cs="Arial Unicode MS" w:eastAsia="Arial Unicode MS"/>
          <w:rtl w:val="0"/>
        </w:rPr>
        <w:t>Broshi and Barkay 1985</w:t>
      </w:r>
      <w:r>
        <w:rPr/>
        <w:fldChar w:fldCharType="end" w:fldLock="0"/>
      </w:r>
      <w:r>
        <w:rPr>
          <w:rFonts w:cs="Arial Unicode MS" w:eastAsia="Arial Unicode MS"/>
          <w:rtl w:val="0"/>
          <w:lang w:val="en-US"/>
        </w:rPr>
        <w:t xml:space="preserve">: 124; see also </w:t>
      </w:r>
      <w:r>
        <w:rPr>
          <w:rStyle w:val="Hyperlink.0"/>
        </w:rPr>
        <w:fldChar w:fldCharType="begin" w:fldLock="0"/>
      </w:r>
      <w:r>
        <w:rPr>
          <w:rStyle w:val="Hyperlink.0"/>
        </w:rPr>
        <w:instrText xml:space="preserve"> HYPERLINK "https://papyri.info/biblio/97028"</w:instrText>
      </w:r>
      <w:r>
        <w:rPr>
          <w:rStyle w:val="Hyperlink.0"/>
        </w:rPr>
        <w:fldChar w:fldCharType="separate" w:fldLock="0"/>
      </w:r>
      <w:r>
        <w:rPr>
          <w:rStyle w:val="Hyperlink.0"/>
          <w:rFonts w:cs="Arial Unicode MS" w:eastAsia="Arial Unicode MS"/>
          <w:rtl w:val="0"/>
        </w:rPr>
        <w:t>Kelley 2019</w:t>
      </w:r>
      <w:r>
        <w:rPr/>
        <w:fldChar w:fldCharType="end" w:fldLock="0"/>
      </w:r>
      <w:r>
        <w:rPr>
          <w:rFonts w:cs="Arial Unicode MS" w:eastAsia="Arial Unicode MS"/>
          <w:rtl w:val="0"/>
          <w:lang w:val="en-US"/>
        </w:rPr>
        <w:t>: 55.</w:t>
      </w:r>
    </w:p>
  </w:footnote>
  <w:footnote w:id="7">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"https://papyri.info/biblio/97029"</w:instrText>
      </w:r>
      <w:r>
        <w:rPr>
          <w:rStyle w:val="Hyperlink.0"/>
        </w:rPr>
        <w:fldChar w:fldCharType="separate" w:fldLock="0"/>
      </w:r>
      <w:r>
        <w:rPr>
          <w:rStyle w:val="Hyperlink.0"/>
          <w:rFonts w:cs="Arial Unicode MS" w:eastAsia="Arial Unicode MS"/>
          <w:rtl w:val="0"/>
        </w:rPr>
        <w:t>Gibson and Taylor 1994</w:t>
      </w:r>
      <w:r>
        <w:rPr/>
        <w:fldChar w:fldCharType="end" w:fldLock="0"/>
      </w:r>
      <w:r>
        <w:rPr>
          <w:rFonts w:cs="Arial Unicode MS" w:eastAsia="Arial Unicode MS"/>
          <w:rtl w:val="0"/>
          <w:lang w:val="en-US"/>
        </w:rPr>
        <w:t>: 42, 47</w:t>
      </w:r>
      <w:r>
        <w:rPr>
          <w:rFonts w:cs="Arial Unicode MS" w:eastAsia="Arial Unicode MS" w:hint="default"/>
          <w:rtl w:val="0"/>
          <w:lang w:val="en-US"/>
        </w:rPr>
        <w:t>–</w:t>
      </w:r>
      <w:r>
        <w:rPr>
          <w:rFonts w:cs="Arial Unicode MS" w:eastAsia="Arial Unicode MS"/>
          <w:rtl w:val="0"/>
          <w:lang w:val="en-US"/>
        </w:rPr>
        <w:t>48.</w:t>
      </w:r>
    </w:p>
  </w:footnote>
  <w:footnote w:id="8">
    <w:p>
      <w:pPr>
        <w:pStyle w:val="Alaviite"/>
      </w:pPr>
      <w:r>
        <w:rPr>
          <w:rFonts w:ascii="Times New Roman" w:cs="Times New Roman" w:hAnsi="Times New Roman" w:eastAsia="Times New Roman"/>
          <w:vertAlign w:val="superscript"/>
        </w:rPr>
        <w:footnoteRef/>
      </w:r>
      <w:r>
        <w:rPr>
          <w:rFonts w:ascii="Times New Roman" w:hAnsi="Times New Roman"/>
          <w:sz w:val="20"/>
          <w:szCs w:val="20"/>
          <w:rtl w:val="0"/>
          <w:lang w:val="en-US"/>
        </w:rPr>
        <w:t xml:space="preserve"> </w:t>
      </w:r>
      <w:r>
        <w:rPr>
          <w:rFonts w:ascii="Times New Roman" w:hAnsi="Times New Roman"/>
          <w:i w:val="1"/>
          <w:iCs w:val="1"/>
          <w:outline w:val="0"/>
          <w:color w:val="ff2600"/>
          <w:sz w:val="20"/>
          <w:szCs w:val="20"/>
          <w:rtl w:val="0"/>
          <w:lang w:val="en-US"/>
          <w14:textFill>
            <w14:solidFill>
              <w14:srgbClr w14:val="FF2600"/>
            </w14:solidFill>
          </w14:textFill>
        </w:rPr>
        <w:t>CIIP</w:t>
      </w:r>
      <w:r>
        <w:rPr>
          <w:rFonts w:ascii="Times New Roman" w:hAnsi="Times New Roman"/>
          <w:outline w:val="0"/>
          <w:color w:val="ff2600"/>
          <w:sz w:val="20"/>
          <w:szCs w:val="20"/>
          <w:rtl w:val="0"/>
          <w:lang w:val="en-US"/>
          <w14:textFill>
            <w14:solidFill>
              <w14:srgbClr w14:val="FF2600"/>
            </w14:solidFill>
          </w14:textFill>
        </w:rPr>
        <w:t xml:space="preserve"> 787</w:t>
      </w:r>
      <w:r>
        <w:rPr>
          <w:rFonts w:ascii="Times New Roman" w:hAnsi="Times New Roman"/>
          <w:sz w:val="20"/>
          <w:szCs w:val="20"/>
          <w:rtl w:val="0"/>
          <w:lang w:val="en-US"/>
        </w:rPr>
        <w:t>: 92.</w:t>
      </w:r>
    </w:p>
  </w:footnote>
  <w:footnote w:id="9">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Outlined in </w:t>
      </w:r>
      <w:r>
        <w:rPr>
          <w:rStyle w:val="Hyperlink.0"/>
          <w:sz w:val="20"/>
          <w:szCs w:val="20"/>
        </w:rPr>
        <w:fldChar w:fldCharType="begin" w:fldLock="0"/>
      </w:r>
      <w:r>
        <w:rPr>
          <w:rStyle w:val="Hyperlink.0"/>
          <w:sz w:val="20"/>
          <w:szCs w:val="20"/>
        </w:rPr>
        <w:instrText xml:space="preserve"> HYPERLINK "https://papyri.info/biblio/97025"</w:instrText>
      </w:r>
      <w:r>
        <w:rPr>
          <w:rStyle w:val="Hyperlink.0"/>
          <w:sz w:val="20"/>
          <w:szCs w:val="20"/>
        </w:rPr>
        <w:fldChar w:fldCharType="separate" w:fldLock="0"/>
      </w:r>
      <w:r>
        <w:rPr>
          <w:rStyle w:val="Hyperlink.0"/>
          <w:sz w:val="20"/>
          <w:szCs w:val="20"/>
          <w:rtl w:val="0"/>
          <w:lang w:val="de-DE"/>
        </w:rPr>
        <w:t>Helms 1980</w:t>
      </w:r>
      <w:r>
        <w:rPr>
          <w:sz w:val="20"/>
          <w:szCs w:val="20"/>
        </w:rPr>
        <w:fldChar w:fldCharType="end" w:fldLock="0"/>
      </w:r>
      <w:r>
        <w:rPr>
          <w:rFonts w:ascii="Times New Roman" w:hAnsi="Times New Roman"/>
          <w:sz w:val="20"/>
          <w:szCs w:val="20"/>
          <w:rtl w:val="0"/>
          <w:lang w:val="en-US"/>
        </w:rPr>
        <w:t xml:space="preserve">; see also Walls n.d.; </w:t>
      </w:r>
      <w:r>
        <w:rPr>
          <w:rStyle w:val="Hyperlink.0"/>
          <w:sz w:val="20"/>
          <w:szCs w:val="20"/>
        </w:rPr>
        <w:fldChar w:fldCharType="begin" w:fldLock="0"/>
      </w:r>
      <w:r>
        <w:rPr>
          <w:rStyle w:val="Hyperlink.0"/>
          <w:sz w:val="20"/>
          <w:szCs w:val="20"/>
        </w:rPr>
        <w:instrText xml:space="preserve"> HYPERLINK "https://papyri.info/biblio/97029"</w:instrText>
      </w:r>
      <w:r>
        <w:rPr>
          <w:rStyle w:val="Hyperlink.0"/>
          <w:sz w:val="20"/>
          <w:szCs w:val="20"/>
        </w:rPr>
        <w:fldChar w:fldCharType="separate" w:fldLock="0"/>
      </w:r>
      <w:r>
        <w:rPr>
          <w:rStyle w:val="Hyperlink.0"/>
          <w:sz w:val="20"/>
          <w:szCs w:val="20"/>
          <w:rtl w:val="0"/>
          <w:lang w:val="en-US"/>
        </w:rPr>
        <w:t>Gibson and Taylor 1994</w:t>
      </w:r>
      <w:r>
        <w:rPr>
          <w:sz w:val="20"/>
          <w:szCs w:val="20"/>
        </w:rPr>
        <w:fldChar w:fldCharType="end" w:fldLock="0"/>
      </w:r>
      <w:r>
        <w:rPr>
          <w:rFonts w:ascii="Times New Roman" w:hAnsi="Times New Roman"/>
          <w:sz w:val="20"/>
          <w:szCs w:val="20"/>
          <w:rtl w:val="0"/>
          <w:lang w:val="en-US"/>
        </w:rPr>
        <w:t>: 31</w:t>
      </w:r>
      <w:r>
        <w:rPr>
          <w:rFonts w:ascii="Times New Roman" w:hAnsi="Times New Roman" w:hint="default"/>
          <w:sz w:val="20"/>
          <w:szCs w:val="20"/>
          <w:rtl w:val="0"/>
          <w:lang w:val="en-US"/>
        </w:rPr>
        <w:t>–</w:t>
      </w:r>
      <w:r>
        <w:rPr>
          <w:rFonts w:ascii="Times New Roman" w:hAnsi="Times New Roman"/>
          <w:sz w:val="20"/>
          <w:szCs w:val="20"/>
          <w:rtl w:val="0"/>
          <w:lang w:val="en-US"/>
        </w:rPr>
        <w:t>34.</w:t>
      </w:r>
    </w:p>
  </w:footnote>
  <w:footnote w:id="10">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"https://papyri.info/biblio/97025"</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de-DE"/>
        </w:rPr>
        <w:t>Helms 1980</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109</w:t>
      </w:r>
      <w:r>
        <w:rPr>
          <w:rFonts w:ascii="Times New Roman" w:hAnsi="Times New Roman" w:hint="default"/>
          <w:sz w:val="20"/>
          <w:szCs w:val="20"/>
          <w:rtl w:val="0"/>
          <w:lang w:val="en-US"/>
        </w:rPr>
        <w:t>–</w:t>
      </w:r>
      <w:r>
        <w:rPr>
          <w:rFonts w:ascii="Times New Roman" w:hAnsi="Times New Roman"/>
          <w:sz w:val="20"/>
          <w:szCs w:val="20"/>
          <w:rtl w:val="0"/>
          <w:lang w:val="en-US"/>
        </w:rPr>
        <w:t>110.</w:t>
      </w:r>
    </w:p>
  </w:footnote>
  <w:footnote w:id="11">
    <w:p>
      <w:pPr>
        <w:pStyle w:val="footnote text"/>
      </w:pPr>
      <w:r>
        <w:rPr>
          <w:vertAlign w:val="superscript"/>
          <w:lang w:val="en-US"/>
        </w:rPr>
        <w:footnoteRef/>
      </w:r>
      <w:r>
        <w:rPr>
          <w:rFonts w:cs="Arial Unicode MS" w:eastAsia="Arial Unicode MS"/>
          <w:rtl w:val="0"/>
          <w:lang w:val="en-US"/>
        </w:rPr>
        <w:t xml:space="preserve"> Walls n.d.: 4; </w:t>
      </w:r>
      <w:r>
        <w:rPr>
          <w:rStyle w:val="Hyperlink.0"/>
        </w:rPr>
        <w:fldChar w:fldCharType="begin" w:fldLock="0"/>
      </w:r>
      <w:r>
        <w:rPr>
          <w:rStyle w:val="Hyperlink.0"/>
        </w:rPr>
        <w:instrText xml:space="preserve"> HYPERLINK "https://papyri.info/biblio/97025"</w:instrText>
      </w:r>
      <w:r>
        <w:rPr>
          <w:rStyle w:val="Hyperlink.0"/>
        </w:rPr>
        <w:fldChar w:fldCharType="separate" w:fldLock="0"/>
      </w:r>
      <w:r>
        <w:rPr>
          <w:rStyle w:val="Hyperlink.0"/>
          <w:rFonts w:cs="Arial Unicode MS" w:eastAsia="Arial Unicode MS"/>
          <w:rtl w:val="0"/>
        </w:rPr>
        <w:t>Helms 1980</w:t>
      </w:r>
      <w:r>
        <w:rPr/>
        <w:fldChar w:fldCharType="end" w:fldLock="0"/>
      </w:r>
      <w:r>
        <w:rPr>
          <w:rFonts w:cs="Arial Unicode MS" w:eastAsia="Arial Unicode MS"/>
          <w:rtl w:val="0"/>
          <w:lang w:val="en-US"/>
        </w:rPr>
        <w:t>: 109.</w:t>
      </w:r>
    </w:p>
  </w:footnote>
  <w:footnote w:id="12">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"https://papyri.info/biblio/97036"</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rPr>
        <w:t>Testa 1976</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219;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"https://papyri.info/biblio/97029"</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Gibson and Taylor 1994</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32.</w:t>
      </w:r>
    </w:p>
  </w:footnote>
  <w:footnote w:id="13">
    <w:p>
      <w:pPr>
        <w:pStyle w:val="footnote text"/>
      </w:pPr>
      <w:r>
        <w:rPr>
          <w:vertAlign w:val="superscript"/>
          <w:lang w:val="en-US"/>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"https://papyri.info/biblio/97027"</w:instrText>
      </w:r>
      <w:r>
        <w:rPr>
          <w:rStyle w:val="Hyperlink.0"/>
        </w:rPr>
        <w:fldChar w:fldCharType="separate" w:fldLock="0"/>
      </w:r>
      <w:r>
        <w:rPr>
          <w:rStyle w:val="Hyperlink.0"/>
          <w:rFonts w:cs="Arial Unicode MS" w:eastAsia="Arial Unicode MS"/>
          <w:rtl w:val="0"/>
        </w:rPr>
        <w:t>Broshi and Barkay 1985</w:t>
      </w:r>
      <w:r>
        <w:rPr/>
        <w:fldChar w:fldCharType="end" w:fldLock="0"/>
      </w:r>
      <w:r>
        <w:rPr>
          <w:rFonts w:cs="Arial Unicode MS" w:eastAsia="Arial Unicode MS"/>
          <w:rtl w:val="0"/>
          <w:lang w:val="en-US"/>
        </w:rPr>
        <w:t>: 128.</w:t>
      </w:r>
    </w:p>
  </w:footnote>
  <w:footnote w:id="14">
    <w:p>
      <w:pPr>
        <w:pStyle w:val="footnote text"/>
      </w:pPr>
      <w:r>
        <w:rPr>
          <w:vertAlign w:val="superscript"/>
          <w:lang w:val="en-US"/>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"https://papyri.info/biblio/97029"</w:instrText>
      </w:r>
      <w:r>
        <w:rPr>
          <w:rStyle w:val="Hyperlink.0"/>
        </w:rPr>
        <w:fldChar w:fldCharType="separate" w:fldLock="0"/>
      </w:r>
      <w:r>
        <w:rPr>
          <w:rStyle w:val="Hyperlink.0"/>
          <w:rFonts w:cs="Arial Unicode MS" w:eastAsia="Arial Unicode MS"/>
          <w:rtl w:val="0"/>
        </w:rPr>
        <w:t>Gibson and Taylor 1994</w:t>
      </w:r>
      <w:r>
        <w:rPr/>
        <w:fldChar w:fldCharType="end" w:fldLock="0"/>
      </w:r>
      <w:r>
        <w:rPr>
          <w:rFonts w:cs="Arial Unicode MS" w:eastAsia="Arial Unicode MS"/>
          <w:rtl w:val="0"/>
          <w:lang w:val="en-US"/>
        </w:rPr>
        <w:t>: 33</w:t>
      </w:r>
      <w:r>
        <w:rPr>
          <w:rFonts w:cs="Arial Unicode MS" w:eastAsia="Arial Unicode MS" w:hint="default"/>
          <w:rtl w:val="0"/>
          <w:lang w:val="en-US"/>
        </w:rPr>
        <w:t>–</w:t>
      </w:r>
      <w:r>
        <w:rPr>
          <w:rFonts w:cs="Arial Unicode MS" w:eastAsia="Arial Unicode MS"/>
          <w:rtl w:val="0"/>
          <w:lang w:val="en-US"/>
        </w:rPr>
        <w:t>34</w:t>
      </w:r>
    </w:p>
  </w:footnote>
  <w:footnote w:id="15">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See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"https://papyri.info/biblio/97025"</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de-DE"/>
        </w:rPr>
        <w:t>Helms 1980</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106 (fig. 1) and the discussion therein;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"https://papyri.info/biblio/97029"</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Gibson and Taylor 1994</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34.</w:t>
      </w:r>
    </w:p>
  </w:footnote>
  <w:footnote w:id="16">
    <w:p>
      <w:pPr>
        <w:pStyle w:val="Alaviite"/>
      </w:pPr>
      <w:r>
        <w:rPr>
          <w:rFonts w:ascii="Times New Roman" w:cs="Times New Roman" w:hAnsi="Times New Roman" w:eastAsia="Times New Roman"/>
          <w:outline w:val="0"/>
          <w:color w:val="ff2600"/>
          <w:vertAlign w:val="superscript"/>
          <w14:textFill>
            <w14:solidFill>
              <w14:srgbClr w14:val="FF2600"/>
            </w14:solidFill>
          </w14:textFill>
        </w:rPr>
        <w:footnoteRef/>
      </w:r>
      <w:r>
        <w:rPr>
          <w:outline w:val="0"/>
          <w:color w:val="ff2600"/>
          <w:rtl w:val="0"/>
          <w:lang w:val="en-US"/>
          <w14:textFill>
            <w14:solidFill>
              <w14:srgbClr w14:val="FF2600"/>
            </w14:solidFill>
          </w14:textFill>
        </w:rPr>
        <w:t xml:space="preserve"> </w:t>
      </w:r>
      <w:r>
        <w:rPr>
          <w:rFonts w:ascii="Times New Roman" w:hAnsi="Times New Roman"/>
          <w:i w:val="1"/>
          <w:iCs w:val="1"/>
          <w:outline w:val="0"/>
          <w:color w:val="ff2600"/>
          <w:rtl w:val="0"/>
          <w:lang w:val="en-US"/>
          <w14:textFill>
            <w14:solidFill>
              <w14:srgbClr w14:val="FF2600"/>
            </w14:solidFill>
          </w14:textFill>
        </w:rPr>
        <w:t>Thesaurus Linguae Latinae</w:t>
      </w:r>
      <w:r>
        <w:rPr>
          <w:rFonts w:ascii="Times New Roman" w:hAnsi="Times New Roman"/>
          <w:outline w:val="0"/>
          <w:color w:val="ff2600"/>
          <w:rtl w:val="0"/>
          <w:lang w:val="en-US"/>
          <w14:textFill>
            <w14:solidFill>
              <w14:srgbClr w14:val="FF2600"/>
            </w14:solidFill>
          </w14:textFill>
        </w:rPr>
        <w:t xml:space="preserve">, </w:t>
      </w:r>
      <w:r>
        <w:rPr>
          <w:rStyle w:val="Hyperlink.0"/>
          <w:outline w:val="0"/>
          <w:color w:val="0000ff"/>
          <w:u w:val="single" w:color="0000ff"/>
          <w14:textFill>
            <w14:solidFill>
              <w14:srgbClr w14:val="0000FF"/>
            </w14:solidFill>
          </w14:textFill>
        </w:rPr>
        <w:fldChar w:fldCharType="begin" w:fldLock="0"/>
      </w:r>
      <w:r>
        <w:rPr>
          <w:rStyle w:val="Hyperlink.0"/>
          <w:outline w:val="0"/>
          <w:color w:val="0000ff"/>
          <w:u w:val="single" w:color="0000ff"/>
          <w14:textFill>
            <w14:solidFill>
              <w14:srgbClr w14:val="0000FF"/>
            </w14:solidFill>
          </w14:textFill>
        </w:rPr>
        <w:instrText xml:space="preserve"> HYPERLINK "https://publikationen.badw.de/de/000924309/pdf/CC%20BY-NC-ND/ThLL%20vol.%2005,2%20col.%200001%E2%80%930758%20(e%E2%80%93ergenna)"</w:instrText>
      </w:r>
      <w:r>
        <w:rPr>
          <w:rStyle w:val="Hyperlink.0"/>
          <w:outline w:val="0"/>
          <w:color w:val="0000ff"/>
          <w:u w:val="single" w:color="0000ff"/>
          <w14:textFill>
            <w14:solidFill>
              <w14:srgbClr w14:val="0000FF"/>
            </w14:solidFill>
          </w14:textFill>
        </w:rPr>
        <w:fldChar w:fldCharType="separate" w:fldLock="0"/>
      </w:r>
      <w:r>
        <w:rPr>
          <w:rStyle w:val="Hyperlink.0"/>
          <w:outline w:val="0"/>
          <w:color w:val="0000ff"/>
          <w:u w:val="single" w:color="0000ff"/>
          <w:rtl w:val="0"/>
          <w14:textFill>
            <w14:solidFill>
              <w14:srgbClr w14:val="0000FF"/>
            </w14:solidFill>
          </w14:textFill>
        </w:rPr>
        <w:t>s.v. eo</w:t>
      </w:r>
      <w:r>
        <w:rPr>
          <w:outline w:val="0"/>
          <w:color w:val="ff2600"/>
          <w14:textFill>
            <w14:solidFill>
              <w14:srgbClr w14:val="FF2600"/>
            </w14:solidFill>
          </w14:textFill>
        </w:rPr>
        <w:fldChar w:fldCharType="end" w:fldLock="0"/>
      </w:r>
      <w:r>
        <w:rPr>
          <w:rFonts w:ascii="Times New Roman" w:hAnsi="Times New Roman"/>
          <w:outline w:val="0"/>
          <w:color w:val="ff2600"/>
          <w:rtl w:val="0"/>
          <w:lang w:val="en-US"/>
          <w14:textFill>
            <w14:solidFill>
              <w14:srgbClr w14:val="FF2600"/>
            </w14:solidFill>
          </w14:textFill>
        </w:rPr>
        <w:t>.</w:t>
      </w:r>
    </w:p>
  </w:footnote>
  <w:footnote w:id="17">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"https://papyri.info/biblio/97033"</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it-IT"/>
        </w:rPr>
        <w:t>Suadoni 2016</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82.</w:t>
      </w:r>
    </w:p>
  </w:footnote>
  <w:footnote w:id="18">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"https://papyri.info/biblio/97031"</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de-DE"/>
        </w:rPr>
        <w:t>Ricca 1991</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166</w:t>
      </w:r>
      <w:r>
        <w:rPr>
          <w:rFonts w:ascii="Times New Roman" w:hAnsi="Times New Roman" w:hint="default"/>
          <w:sz w:val="20"/>
          <w:szCs w:val="20"/>
          <w:rtl w:val="0"/>
          <w:lang w:val="en-US"/>
        </w:rPr>
        <w:t>–</w:t>
      </w:r>
      <w:r>
        <w:rPr>
          <w:rFonts w:ascii="Times New Roman" w:hAnsi="Times New Roman"/>
          <w:sz w:val="20"/>
          <w:szCs w:val="20"/>
          <w:rtl w:val="0"/>
          <w:lang w:val="en-US"/>
        </w:rPr>
        <w:t>175.</w:t>
      </w:r>
    </w:p>
  </w:footnote>
  <w:footnote w:id="19">
    <w:p>
      <w:pPr>
        <w:pStyle w:val="Alaviite"/>
      </w:pPr>
      <w:r>
        <w:rPr>
          <w:rFonts w:ascii="Times New Roman" w:cs="Times New Roman" w:hAnsi="Times New Roman" w:eastAsia="Times New Roman"/>
          <w:u w:color="000000"/>
          <w:vertAlign w:val="superscript"/>
        </w:rPr>
        <w:footnoteRef/>
      </w:r>
      <w:r>
        <w:rPr>
          <w:rFonts w:ascii="Times New Roman" w:hAnsi="Times New Roman"/>
          <w:sz w:val="20"/>
          <w:szCs w:val="20"/>
          <w:rtl w:val="0"/>
          <w:lang w:val="en-US"/>
        </w:rPr>
        <w:t xml:space="preserve">  </w:t>
      </w:r>
      <w:r>
        <w:rPr>
          <w:rFonts w:ascii="Times New Roman" w:hAnsi="Times New Roman"/>
          <w:i w:val="1"/>
          <w:iCs w:val="1"/>
          <w:sz w:val="20"/>
          <w:szCs w:val="20"/>
          <w:rtl w:val="0"/>
          <w:lang w:val="en-US"/>
        </w:rPr>
        <w:t xml:space="preserve">Ivimus </w:t>
      </w:r>
      <w:r>
        <w:rPr>
          <w:rFonts w:ascii="Times New Roman" w:hAnsi="Times New Roman"/>
          <w:sz w:val="20"/>
          <w:szCs w:val="20"/>
          <w:rtl w:val="0"/>
          <w:lang w:val="en-US"/>
        </w:rPr>
        <w:t xml:space="preserve">is attested a few times in Late Latin literature, including one instance in the Vulgate 2 Kings 7,10: </w:t>
      </w:r>
      <w:r>
        <w:rPr>
          <w:rFonts w:ascii="Times New Roman" w:hAnsi="Times New Roman"/>
          <w:i w:val="1"/>
          <w:iCs w:val="1"/>
          <w:sz w:val="20"/>
          <w:szCs w:val="20"/>
          <w:rtl w:val="0"/>
          <w:lang w:val="en-US"/>
        </w:rPr>
        <w:t xml:space="preserve">ad castra Syriae ivimus </w:t>
      </w:r>
      <w:r>
        <w:rPr>
          <w:rFonts w:ascii="Times New Roman" w:hAnsi="Times New Roman"/>
          <w:sz w:val="20"/>
          <w:szCs w:val="20"/>
          <w:rtl w:val="0"/>
          <w:lang w:val="en-US"/>
        </w:rPr>
        <w:t>(</w:t>
      </w:r>
      <w:r>
        <w:rPr>
          <w:rFonts w:ascii="Times New Roman" w:hAnsi="Times New Roman" w:hint="default"/>
          <w:sz w:val="20"/>
          <w:szCs w:val="20"/>
          <w:rtl w:val="1"/>
          <w:lang w:val="ar-SA" w:bidi="ar-SA"/>
        </w:rPr>
        <w:t>‘</w:t>
      </w:r>
      <w:r>
        <w:rPr>
          <w:rFonts w:ascii="Times New Roman" w:hAnsi="Times New Roman"/>
          <w:sz w:val="20"/>
          <w:szCs w:val="20"/>
          <w:rtl w:val="0"/>
          <w:lang w:val="en-US"/>
        </w:rPr>
        <w:t>We went to the camp of the Syrians</w:t>
      </w:r>
      <w:r>
        <w:rPr>
          <w:rFonts w:ascii="Times New Roman" w:hAnsi="Times New Roman" w:hint="default"/>
          <w:sz w:val="20"/>
          <w:szCs w:val="20"/>
          <w:rtl w:val="1"/>
          <w:lang w:val="ar-SA" w:bidi="ar-SA"/>
        </w:rPr>
        <w:t>’</w:t>
      </w:r>
      <w:r>
        <w:rPr>
          <w:rFonts w:ascii="Times New Roman" w:hAnsi="Times New Roman"/>
          <w:sz w:val="20"/>
          <w:szCs w:val="20"/>
          <w:rtl w:val="0"/>
          <w:lang w:val="en-US"/>
        </w:rPr>
        <w:t>). It is worth noting that the Vulgate emerged almost a century after the latest production estimate for the inscription. Curiously, this detail seems to have eluded scholars who seek parallels between the Vulgate and the inscription in question. In any case, the uncontracted form is characteristic of the Christian writers of Late Antiquity, reflecting their inclination toward morphological explicitness, and certainly was not part of everyday spoken Latin in the Imperial period.</w:t>
      </w:r>
    </w:p>
  </w:footnote>
  <w:footnote w:id="20">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sz w:val="20"/>
          <w:szCs w:val="20"/>
        </w:rPr>
        <w:fldChar w:fldCharType="begin" w:fldLock="0"/>
      </w:r>
      <w:r>
        <w:rPr>
          <w:rStyle w:val="Hyperlink.0"/>
          <w:sz w:val="20"/>
          <w:szCs w:val="20"/>
        </w:rPr>
        <w:instrText xml:space="preserve"> HYPERLINK "https://papyri.info/biblio/97029"</w:instrText>
      </w:r>
      <w:r>
        <w:rPr>
          <w:rStyle w:val="Hyperlink.0"/>
          <w:sz w:val="20"/>
          <w:szCs w:val="20"/>
        </w:rPr>
        <w:fldChar w:fldCharType="separate" w:fldLock="0"/>
      </w:r>
      <w:r>
        <w:rPr>
          <w:rStyle w:val="Hyperlink.0"/>
          <w:sz w:val="20"/>
          <w:szCs w:val="20"/>
          <w:rtl w:val="0"/>
          <w:lang w:val="en-US"/>
        </w:rPr>
        <w:t>Gibson and Taylor 1994</w:t>
      </w:r>
      <w:r>
        <w:rPr>
          <w:sz w:val="20"/>
          <w:szCs w:val="20"/>
        </w:rPr>
        <w:fldChar w:fldCharType="end" w:fldLock="0"/>
      </w:r>
      <w:r>
        <w:rPr>
          <w:rFonts w:ascii="Times New Roman" w:hAnsi="Times New Roman"/>
          <w:sz w:val="20"/>
          <w:szCs w:val="20"/>
          <w:rtl w:val="0"/>
          <w:lang w:val="en-US"/>
        </w:rPr>
        <w:t>: 46.</w:t>
      </w:r>
    </w:p>
  </w:footnote>
  <w:footnote w:id="21">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"https://papyri.info/biblio/97032"</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rPr>
        <w:t>V</w:t>
      </w:r>
      <w:r>
        <w:rPr>
          <w:rStyle w:val="Hyperlink.0"/>
          <w:rFonts w:ascii="Times New Roman" w:hAnsi="Times New Roman" w:hint="default"/>
          <w:sz w:val="20"/>
          <w:szCs w:val="20"/>
          <w:rtl w:val="0"/>
        </w:rPr>
        <w:t>ää</w:t>
      </w:r>
      <w:r>
        <w:rPr>
          <w:rStyle w:val="Hyperlink.0"/>
          <w:rFonts w:ascii="Times New Roman" w:hAnsi="Times New Roman"/>
          <w:sz w:val="20"/>
          <w:szCs w:val="20"/>
          <w:rtl w:val="0"/>
        </w:rPr>
        <w:t>n</w:t>
      </w:r>
      <w:r>
        <w:rPr>
          <w:rStyle w:val="Hyperlink.0"/>
          <w:rFonts w:ascii="Times New Roman" w:hAnsi="Times New Roman" w:hint="default"/>
          <w:sz w:val="20"/>
          <w:szCs w:val="20"/>
          <w:rtl w:val="0"/>
        </w:rPr>
        <w:t>ä</w:t>
      </w:r>
      <w:r>
        <w:rPr>
          <w:rStyle w:val="Hyperlink.0"/>
          <w:rFonts w:ascii="Times New Roman" w:hAnsi="Times New Roman"/>
          <w:sz w:val="20"/>
          <w:szCs w:val="20"/>
          <w:rtl w:val="0"/>
          <w:lang w:val="de-DE"/>
        </w:rPr>
        <w:t>nen 1981</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21.</w:t>
      </w:r>
    </w:p>
  </w:footnote>
  <w:footnote w:id="22">
    <w:p>
      <w:pPr>
        <w:pStyle w:val="Alaviite"/>
      </w:pPr>
      <w:r>
        <w:rPr>
          <w:rFonts w:ascii="Times New Roman" w:cs="Times New Roman" w:hAnsi="Times New Roman" w:eastAsia="Times New Roman"/>
          <w:outline w:val="0"/>
          <w:color w:val="ff2600"/>
          <w:vertAlign w:val="superscript"/>
          <w14:textFill>
            <w14:solidFill>
              <w14:srgbClr w14:val="FF2600"/>
            </w14:solidFill>
          </w14:textFill>
        </w:rPr>
        <w:footnoteRef/>
      </w:r>
      <w:r>
        <w:rPr>
          <w:rFonts w:ascii="Times New Roman" w:hAnsi="Times New Roman"/>
          <w:outline w:val="0"/>
          <w:color w:val="ff2600"/>
          <w:sz w:val="20"/>
          <w:szCs w:val="20"/>
          <w:rtl w:val="0"/>
          <w:lang w:val="en-US"/>
          <w14:textFill>
            <w14:solidFill>
              <w14:srgbClr w14:val="FF2600"/>
            </w14:solidFill>
          </w14:textFill>
        </w:rPr>
        <w:t xml:space="preserve"> </w:t>
      </w:r>
      <w:r>
        <w:rPr>
          <w:rFonts w:ascii="Times New Roman" w:hAnsi="Times New Roman"/>
          <w:i w:val="1"/>
          <w:iCs w:val="1"/>
          <w:outline w:val="0"/>
          <w:color w:val="ff2600"/>
          <w:sz w:val="20"/>
          <w:szCs w:val="20"/>
          <w:rtl w:val="0"/>
          <w:lang w:val="en-US"/>
          <w14:textFill>
            <w14:solidFill>
              <w14:srgbClr w14:val="FF2600"/>
            </w14:solidFill>
          </w14:textFill>
        </w:rPr>
        <w:t>CIIP</w:t>
      </w:r>
      <w:r>
        <w:rPr>
          <w:rFonts w:ascii="Times New Roman" w:hAnsi="Times New Roman"/>
          <w:outline w:val="0"/>
          <w:color w:val="ff2600"/>
          <w:sz w:val="20"/>
          <w:szCs w:val="20"/>
          <w:rtl w:val="0"/>
          <w:lang w:val="en-US"/>
          <w14:textFill>
            <w14:solidFill>
              <w14:srgbClr w14:val="FF2600"/>
            </w14:solidFill>
          </w14:textFill>
        </w:rPr>
        <w:t xml:space="preserve"> 787: 93.</w:t>
      </w:r>
    </w:p>
  </w:footnote>
  <w:footnote w:id="23">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sz w:val="20"/>
          <w:szCs w:val="20"/>
        </w:rPr>
        <w:fldChar w:fldCharType="begin" w:fldLock="0"/>
      </w:r>
      <w:r>
        <w:rPr>
          <w:rStyle w:val="Hyperlink.0"/>
          <w:sz w:val="20"/>
          <w:szCs w:val="20"/>
        </w:rPr>
        <w:instrText xml:space="preserve"> HYPERLINK "https://papyri.info/biblio/97029"</w:instrText>
      </w:r>
      <w:r>
        <w:rPr>
          <w:rStyle w:val="Hyperlink.0"/>
          <w:sz w:val="20"/>
          <w:szCs w:val="20"/>
        </w:rPr>
        <w:fldChar w:fldCharType="separate" w:fldLock="0"/>
      </w:r>
      <w:r>
        <w:rPr>
          <w:rStyle w:val="Hyperlink.0"/>
          <w:sz w:val="20"/>
          <w:szCs w:val="20"/>
          <w:rtl w:val="0"/>
          <w:lang w:val="en-US"/>
        </w:rPr>
        <w:t>Gibson and Taylor 1994</w:t>
      </w:r>
      <w:r>
        <w:rPr>
          <w:sz w:val="20"/>
          <w:szCs w:val="20"/>
        </w:rPr>
        <w:fldChar w:fldCharType="end" w:fldLock="0"/>
      </w:r>
      <w:r>
        <w:rPr>
          <w:rFonts w:ascii="Times New Roman" w:hAnsi="Times New Roman"/>
          <w:sz w:val="20"/>
          <w:szCs w:val="20"/>
          <w:rtl w:val="0"/>
          <w:lang w:val="en-US"/>
        </w:rPr>
        <w:t>: 46.</w:t>
      </w:r>
    </w:p>
  </w:footnote>
  <w:footnote w:id="24">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sz w:val="20"/>
          <w:szCs w:val="20"/>
        </w:rPr>
        <w:fldChar w:fldCharType="begin" w:fldLock="0"/>
      </w:r>
      <w:r>
        <w:rPr>
          <w:rStyle w:val="Hyperlink.0"/>
          <w:sz w:val="20"/>
          <w:szCs w:val="20"/>
        </w:rPr>
        <w:instrText xml:space="preserve"> HYPERLINK "https://papyri.info/biblio/97029"</w:instrText>
      </w:r>
      <w:r>
        <w:rPr>
          <w:rStyle w:val="Hyperlink.0"/>
          <w:sz w:val="20"/>
          <w:szCs w:val="20"/>
        </w:rPr>
        <w:fldChar w:fldCharType="separate" w:fldLock="0"/>
      </w:r>
      <w:r>
        <w:rPr>
          <w:rStyle w:val="Hyperlink.0"/>
          <w:sz w:val="20"/>
          <w:szCs w:val="20"/>
          <w:rtl w:val="0"/>
          <w:lang w:val="en-US"/>
        </w:rPr>
        <w:t>Gibson and Taylor 1994</w:t>
      </w:r>
      <w:r>
        <w:rPr>
          <w:sz w:val="20"/>
          <w:szCs w:val="20"/>
        </w:rPr>
        <w:fldChar w:fldCharType="end" w:fldLock="0"/>
      </w:r>
      <w:r>
        <w:rPr>
          <w:rFonts w:ascii="Times New Roman" w:hAnsi="Times New Roman"/>
          <w:sz w:val="20"/>
          <w:szCs w:val="20"/>
          <w:rtl w:val="0"/>
          <w:lang w:val="en-US"/>
        </w:rPr>
        <w:t>: 47.</w:t>
      </w:r>
    </w:p>
  </w:footnote>
  <w:footnote w:id="25">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sv-SE"/>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"https://papyri.info/biblio/97032"</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rPr>
        <w:t>V</w:t>
      </w:r>
      <w:r>
        <w:rPr>
          <w:rStyle w:val="Hyperlink.0"/>
          <w:rFonts w:ascii="Times New Roman" w:hAnsi="Times New Roman" w:hint="default"/>
          <w:sz w:val="20"/>
          <w:szCs w:val="20"/>
          <w:rtl w:val="0"/>
        </w:rPr>
        <w:t>ää</w:t>
      </w:r>
      <w:r>
        <w:rPr>
          <w:rStyle w:val="Hyperlink.0"/>
          <w:rFonts w:ascii="Times New Roman" w:hAnsi="Times New Roman"/>
          <w:sz w:val="20"/>
          <w:szCs w:val="20"/>
          <w:rtl w:val="0"/>
        </w:rPr>
        <w:t>n</w:t>
      </w:r>
      <w:r>
        <w:rPr>
          <w:rStyle w:val="Hyperlink.0"/>
          <w:rFonts w:ascii="Times New Roman" w:hAnsi="Times New Roman" w:hint="default"/>
          <w:sz w:val="20"/>
          <w:szCs w:val="20"/>
          <w:rtl w:val="0"/>
        </w:rPr>
        <w:t>ä</w:t>
      </w:r>
      <w:r>
        <w:rPr>
          <w:rStyle w:val="Hyperlink.0"/>
          <w:rFonts w:ascii="Times New Roman" w:hAnsi="Times New Roman"/>
          <w:sz w:val="20"/>
          <w:szCs w:val="20"/>
          <w:rtl w:val="0"/>
          <w:lang w:val="de-DE"/>
        </w:rPr>
        <w:t>nen 1981</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sv-SE"/>
        </w:rPr>
        <w:t>: 21.</w:t>
      </w:r>
    </w:p>
  </w:footnote>
  <w:footnote w:id="26">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sv-SE"/>
        </w:rPr>
        <w:t xml:space="preserve"> </w:t>
      </w:r>
      <w:r>
        <w:rPr>
          <w:rStyle w:val="Hyperlink.0"/>
          <w:sz w:val="20"/>
          <w:szCs w:val="20"/>
        </w:rPr>
        <w:fldChar w:fldCharType="begin" w:fldLock="0"/>
      </w:r>
      <w:r>
        <w:rPr>
          <w:rStyle w:val="Hyperlink.0"/>
          <w:sz w:val="20"/>
          <w:szCs w:val="20"/>
        </w:rPr>
        <w:instrText xml:space="preserve"> HYPERLINK "https://papyri.info/biblio/97024"</w:instrText>
      </w:r>
      <w:r>
        <w:rPr>
          <w:rStyle w:val="Hyperlink.0"/>
          <w:sz w:val="20"/>
          <w:szCs w:val="20"/>
        </w:rPr>
        <w:fldChar w:fldCharType="separate" w:fldLock="0"/>
      </w:r>
      <w:r>
        <w:rPr>
          <w:rStyle w:val="Hyperlink.0"/>
          <w:sz w:val="20"/>
          <w:szCs w:val="20"/>
          <w:rtl w:val="0"/>
          <w:lang w:val="it-IT"/>
        </w:rPr>
        <w:t>Broshi 1977</w:t>
      </w:r>
      <w:r>
        <w:rPr>
          <w:sz w:val="20"/>
          <w:szCs w:val="20"/>
        </w:rPr>
        <w:fldChar w:fldCharType="end" w:fldLock="0"/>
      </w:r>
      <w:r>
        <w:rPr>
          <w:rFonts w:ascii="Times New Roman" w:hAnsi="Times New Roman"/>
          <w:sz w:val="20"/>
          <w:szCs w:val="20"/>
          <w:rtl w:val="0"/>
          <w:lang w:val="sv-SE"/>
        </w:rPr>
        <w:t>: 349.</w:t>
      </w:r>
    </w:p>
  </w:footnote>
  <w:footnote w:id="27">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sv-SE"/>
        </w:rPr>
        <w:t xml:space="preserve"> </w:t>
      </w:r>
      <w:r>
        <w:rPr>
          <w:rStyle w:val="Hyperlink.0"/>
          <w:sz w:val="20"/>
          <w:szCs w:val="20"/>
        </w:rPr>
        <w:fldChar w:fldCharType="begin" w:fldLock="0"/>
      </w:r>
      <w:r>
        <w:rPr>
          <w:rStyle w:val="Hyperlink.0"/>
          <w:sz w:val="20"/>
          <w:szCs w:val="20"/>
        </w:rPr>
        <w:instrText xml:space="preserve"> HYPERLINK "https://papyri.info/biblio/97027"</w:instrText>
      </w:r>
      <w:r>
        <w:rPr>
          <w:rStyle w:val="Hyperlink.0"/>
          <w:sz w:val="20"/>
          <w:szCs w:val="20"/>
        </w:rPr>
        <w:fldChar w:fldCharType="separate" w:fldLock="0"/>
      </w:r>
      <w:r>
        <w:rPr>
          <w:rStyle w:val="Hyperlink.0"/>
          <w:sz w:val="20"/>
          <w:szCs w:val="20"/>
          <w:rtl w:val="0"/>
          <w:lang w:val="en-US"/>
        </w:rPr>
        <w:t>Broshi and Barkay 1985</w:t>
      </w:r>
      <w:r>
        <w:rPr>
          <w:sz w:val="20"/>
          <w:szCs w:val="20"/>
        </w:rPr>
        <w:fldChar w:fldCharType="end" w:fldLock="0"/>
      </w:r>
      <w:r>
        <w:rPr>
          <w:rFonts w:ascii="Times New Roman" w:hAnsi="Times New Roman"/>
          <w:sz w:val="20"/>
          <w:szCs w:val="20"/>
          <w:rtl w:val="0"/>
          <w:lang w:val="sv-SE"/>
        </w:rPr>
        <w:t>: 125.</w:t>
      </w:r>
    </w:p>
  </w:footnote>
  <w:footnote w:id="28">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"https://papyri.info/biblio/97029"</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Gibson and Taylor 1994</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33</w:t>
      </w:r>
      <w:r>
        <w:rPr>
          <w:rFonts w:ascii="Times New Roman" w:hAnsi="Times New Roman" w:hint="default"/>
          <w:sz w:val="20"/>
          <w:szCs w:val="20"/>
          <w:rtl w:val="0"/>
          <w:lang w:val="en-US"/>
        </w:rPr>
        <w:t>–</w:t>
      </w:r>
      <w:r>
        <w:rPr>
          <w:rFonts w:ascii="Times New Roman" w:hAnsi="Times New Roman"/>
          <w:sz w:val="20"/>
          <w:szCs w:val="20"/>
          <w:rtl w:val="0"/>
          <w:lang w:val="en-US"/>
        </w:rPr>
        <w:t>34.</w:t>
      </w:r>
    </w:p>
  </w:footnote>
  <w:footnote w:id="29">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"https://papyri.info/biblio/97029"</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Gibson and Taylor 1994</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42</w:t>
      </w:r>
      <w:r>
        <w:rPr>
          <w:rFonts w:ascii="Times New Roman" w:hAnsi="Times New Roman" w:hint="default"/>
          <w:sz w:val="20"/>
          <w:szCs w:val="20"/>
          <w:rtl w:val="0"/>
          <w:lang w:val="en-US"/>
        </w:rPr>
        <w:t>–</w:t>
      </w:r>
      <w:r>
        <w:rPr>
          <w:rFonts w:ascii="Times New Roman" w:hAnsi="Times New Roman"/>
          <w:sz w:val="20"/>
          <w:szCs w:val="20"/>
          <w:rtl w:val="0"/>
          <w:lang w:val="en-US"/>
        </w:rPr>
        <w:t>45.</w:t>
      </w:r>
    </w:p>
  </w:footnote>
  <w:footnote w:id="30">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"https://papyri.info/biblio/97029"</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Gibson and Taylor 1994</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44.</w:t>
      </w:r>
    </w:p>
  </w:footnote>
  <w:footnote w:id="31">
    <w:p>
      <w:pPr>
        <w:pStyle w:val="footnote text"/>
      </w:pPr>
      <w:r>
        <w:rPr>
          <w:vertAlign w:val="superscript"/>
          <w:lang w:val="en-US"/>
        </w:rPr>
        <w:footnoteRef/>
      </w:r>
      <w:r>
        <w:rPr>
          <w:rFonts w:cs="Arial Unicode MS" w:eastAsia="Arial Unicode MS"/>
          <w:rtl w:val="0"/>
          <w:lang w:val="en-US"/>
        </w:rPr>
        <w:t xml:space="preserve"> sc. </w:t>
      </w:r>
      <w:r>
        <w:rPr>
          <w:rFonts w:cs="Arial Unicode MS" w:eastAsia="Arial Unicode MS" w:hint="default"/>
          <w:rtl w:val="0"/>
          <w:lang w:val="en-US"/>
        </w:rPr>
        <w:t>ΜΥΡΙΩΝΥΜΟΣ</w:t>
      </w:r>
      <w:r>
        <w:rPr>
          <w:rFonts w:cs="Arial Unicode MS" w:eastAsia="Arial Unicode MS"/>
          <w:rtl w:val="0"/>
          <w:lang w:val="en-US"/>
        </w:rPr>
        <w:t>.</w:t>
      </w:r>
    </w:p>
  </w:footnote>
  <w:footnote w:id="32">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For a general discussion of the epithet, see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"https://papyri.info/biblio/63762"</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fr-FR"/>
        </w:rPr>
        <w:t>Bricault 1994</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67</w:t>
      </w:r>
      <w:r>
        <w:rPr>
          <w:rFonts w:ascii="Times New Roman" w:hAnsi="Times New Roman" w:hint="default"/>
          <w:sz w:val="20"/>
          <w:szCs w:val="20"/>
          <w:rtl w:val="0"/>
          <w:lang w:val="en-US"/>
        </w:rPr>
        <w:t>–</w:t>
      </w:r>
      <w:r>
        <w:rPr>
          <w:rFonts w:ascii="Times New Roman" w:hAnsi="Times New Roman"/>
          <w:sz w:val="20"/>
          <w:szCs w:val="20"/>
          <w:rtl w:val="0"/>
          <w:lang w:val="en-US"/>
        </w:rPr>
        <w:t>86.</w:t>
      </w:r>
    </w:p>
  </w:footnote>
  <w:footnote w:id="33">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Also attested as </w:t>
      </w:r>
      <w:r>
        <w:rPr>
          <w:rFonts w:ascii="Times New Roman" w:hAnsi="Times New Roman"/>
          <w:i w:val="1"/>
          <w:iCs w:val="1"/>
          <w:sz w:val="20"/>
          <w:szCs w:val="20"/>
          <w:rtl w:val="0"/>
          <w:lang w:val="en-US"/>
        </w:rPr>
        <w:t>Isidi M</w:t>
      </w:r>
      <w:r>
        <w:rPr>
          <w:rFonts w:ascii="Times New Roman" w:hAnsi="Times New Roman"/>
          <w:b w:val="1"/>
          <w:bCs w:val="1"/>
          <w:i w:val="1"/>
          <w:iCs w:val="1"/>
          <w:sz w:val="20"/>
          <w:szCs w:val="20"/>
          <w:rtl w:val="0"/>
          <w:lang w:val="en-US"/>
        </w:rPr>
        <w:t>i</w:t>
      </w:r>
      <w:r>
        <w:rPr>
          <w:rFonts w:ascii="Times New Roman" w:hAnsi="Times New Roman"/>
          <w:i w:val="1"/>
          <w:iCs w:val="1"/>
          <w:sz w:val="20"/>
          <w:szCs w:val="20"/>
          <w:rtl w:val="0"/>
          <w:lang w:val="en-US"/>
        </w:rPr>
        <w:t>rionymo</w:t>
      </w:r>
      <w:r>
        <w:rPr>
          <w:rFonts w:ascii="Times New Roman" w:hAnsi="Times New Roman"/>
          <w:sz w:val="20"/>
          <w:szCs w:val="20"/>
          <w:rtl w:val="0"/>
          <w:lang w:val="en-US"/>
        </w:rPr>
        <w:t xml:space="preserve"> (</w:t>
      </w:r>
      <w:r>
        <w:rPr>
          <w:rStyle w:val="Hyperlink.0"/>
          <w:sz w:val="20"/>
          <w:szCs w:val="20"/>
        </w:rPr>
        <w:fldChar w:fldCharType="begin" w:fldLock="0"/>
      </w:r>
      <w:r>
        <w:rPr>
          <w:rStyle w:val="Hyperlink.0"/>
          <w:sz w:val="20"/>
          <w:szCs w:val="20"/>
        </w:rPr>
        <w:instrText xml:space="preserve"> HYPERLINK "https://edh.ub.uni-heidelberg.de/edh/inschrift/HD014111"</w:instrText>
      </w:r>
      <w:r>
        <w:rPr>
          <w:rStyle w:val="Hyperlink.0"/>
          <w:sz w:val="20"/>
          <w:szCs w:val="20"/>
        </w:rPr>
        <w:fldChar w:fldCharType="separate" w:fldLock="0"/>
      </w:r>
      <w:r>
        <w:rPr>
          <w:rStyle w:val="Hyperlink.0"/>
          <w:sz w:val="20"/>
          <w:szCs w:val="20"/>
          <w:rtl w:val="0"/>
        </w:rPr>
        <w:t>AE 1968, 230</w:t>
      </w:r>
      <w:r>
        <w:rPr>
          <w:sz w:val="20"/>
          <w:szCs w:val="20"/>
        </w:rPr>
        <w:fldChar w:fldCharType="end" w:fldLock="0"/>
      </w:r>
      <w:r>
        <w:rPr>
          <w:rFonts w:ascii="Times New Roman" w:hAnsi="Times New Roman"/>
          <w:sz w:val="20"/>
          <w:szCs w:val="20"/>
          <w:rtl w:val="0"/>
          <w:lang w:val="en-US"/>
        </w:rPr>
        <w:t xml:space="preserve">) and </w:t>
      </w:r>
      <w:r>
        <w:rPr>
          <w:rFonts w:ascii="Times New Roman" w:hAnsi="Times New Roman"/>
          <w:i w:val="1"/>
          <w:iCs w:val="1"/>
          <w:sz w:val="20"/>
          <w:szCs w:val="20"/>
          <w:rtl w:val="0"/>
          <w:lang w:val="en-US"/>
        </w:rPr>
        <w:t>Isidi Myrion</w:t>
      </w:r>
      <w:r>
        <w:rPr>
          <w:rFonts w:ascii="Times New Roman" w:hAnsi="Times New Roman"/>
          <w:b w:val="1"/>
          <w:bCs w:val="1"/>
          <w:i w:val="1"/>
          <w:iCs w:val="1"/>
          <w:sz w:val="20"/>
          <w:szCs w:val="20"/>
          <w:rtl w:val="0"/>
          <w:lang w:val="en-US"/>
        </w:rPr>
        <w:t>i</w:t>
      </w:r>
      <w:r>
        <w:rPr>
          <w:rFonts w:ascii="Times New Roman" w:hAnsi="Times New Roman"/>
          <w:i w:val="1"/>
          <w:iCs w:val="1"/>
          <w:sz w:val="20"/>
          <w:szCs w:val="20"/>
          <w:rtl w:val="0"/>
          <w:lang w:val="en-US"/>
        </w:rPr>
        <w:t xml:space="preserve">mo </w:t>
      </w:r>
      <w:r>
        <w:rPr>
          <w:rFonts w:ascii="Times New Roman" w:hAnsi="Times New Roman"/>
          <w:sz w:val="20"/>
          <w:szCs w:val="20"/>
          <w:rtl w:val="0"/>
          <w:lang w:val="en-US"/>
        </w:rPr>
        <w:t>(</w:t>
      </w:r>
      <w:r>
        <w:rPr>
          <w:rStyle w:val="Hyperlink.0"/>
          <w:sz w:val="20"/>
          <w:szCs w:val="20"/>
        </w:rPr>
        <w:fldChar w:fldCharType="begin" w:fldLock="0"/>
      </w:r>
      <w:r>
        <w:rPr>
          <w:rStyle w:val="Hyperlink.0"/>
          <w:sz w:val="20"/>
          <w:szCs w:val="20"/>
        </w:rPr>
        <w:instrText xml:space="preserve"> HYPERLINK "https://papyri.info/biblio/97030"</w:instrText>
      </w:r>
      <w:r>
        <w:rPr>
          <w:rStyle w:val="Hyperlink.0"/>
          <w:sz w:val="20"/>
          <w:szCs w:val="20"/>
        </w:rPr>
        <w:fldChar w:fldCharType="separate" w:fldLock="0"/>
      </w:r>
      <w:r>
        <w:rPr>
          <w:rStyle w:val="Hyperlink.0"/>
          <w:sz w:val="20"/>
          <w:szCs w:val="20"/>
          <w:rtl w:val="0"/>
          <w:lang w:val="fr-FR"/>
        </w:rPr>
        <w:t>Grisonic et al. 2022</w:t>
      </w:r>
      <w:r>
        <w:rPr>
          <w:sz w:val="20"/>
          <w:szCs w:val="20"/>
        </w:rPr>
        <w:fldChar w:fldCharType="end" w:fldLock="0"/>
      </w:r>
      <w:r>
        <w:rPr>
          <w:rFonts w:ascii="Times New Roman" w:hAnsi="Times New Roman"/>
          <w:sz w:val="20"/>
          <w:szCs w:val="20"/>
          <w:rtl w:val="0"/>
          <w:lang w:val="en-US"/>
        </w:rPr>
        <w:t xml:space="preserve">: 234) with </w:t>
      </w:r>
      <w:r>
        <w:rPr>
          <w:rFonts w:ascii="Times New Roman" w:hAnsi="Times New Roman" w:hint="default"/>
          <w:sz w:val="20"/>
          <w:szCs w:val="20"/>
          <w:rtl w:val="0"/>
          <w:lang w:val="en-US"/>
        </w:rPr>
        <w:t>‘</w:t>
      </w:r>
      <w:r>
        <w:rPr>
          <w:rFonts w:ascii="Times New Roman" w:hAnsi="Times New Roman"/>
          <w:sz w:val="20"/>
          <w:szCs w:val="20"/>
          <w:rtl w:val="0"/>
          <w:lang w:val="en-US"/>
        </w:rPr>
        <w:t>i</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instead of </w:t>
      </w:r>
      <w:r>
        <w:rPr>
          <w:rFonts w:ascii="Times New Roman" w:hAnsi="Times New Roman" w:hint="default"/>
          <w:sz w:val="20"/>
          <w:szCs w:val="20"/>
          <w:rtl w:val="0"/>
          <w:lang w:val="en-US"/>
        </w:rPr>
        <w:t>‘</w:t>
      </w:r>
      <w:r>
        <w:rPr>
          <w:rFonts w:ascii="Times New Roman" w:hAnsi="Times New Roman"/>
          <w:sz w:val="20"/>
          <w:szCs w:val="20"/>
          <w:rtl w:val="0"/>
          <w:lang w:val="en-US"/>
        </w:rPr>
        <w:t>y</w:t>
      </w:r>
      <w:r>
        <w:rPr>
          <w:rFonts w:ascii="Times New Roman" w:hAnsi="Times New Roman" w:hint="default"/>
          <w:sz w:val="20"/>
          <w:szCs w:val="20"/>
          <w:rtl w:val="0"/>
          <w:lang w:val="en-US"/>
        </w:rPr>
        <w:t>’</w:t>
      </w:r>
      <w:r>
        <w:rPr>
          <w:rFonts w:ascii="Times New Roman" w:hAnsi="Times New Roman"/>
          <w:sz w:val="20"/>
          <w:szCs w:val="20"/>
          <w:rtl w:val="0"/>
          <w:lang w:val="en-US"/>
        </w:rPr>
        <w:t>.</w:t>
      </w:r>
    </w:p>
  </w:footnote>
  <w:footnote w:id="34">
    <w:p>
      <w:pPr>
        <w:pStyle w:val="footnote text"/>
      </w:pPr>
      <w:r>
        <w:rPr>
          <w:vertAlign w:val="superscript"/>
          <w:lang w:val="en-US"/>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"https://papyri.info/biblio/7614"</w:instrText>
      </w:r>
      <w:r>
        <w:rPr>
          <w:rStyle w:val="Hyperlink.0"/>
        </w:rPr>
        <w:fldChar w:fldCharType="separate" w:fldLock="0"/>
      </w:r>
      <w:r>
        <w:rPr>
          <w:rStyle w:val="Hyperlink.0"/>
          <w:rFonts w:cs="Arial Unicode MS" w:eastAsia="Arial Unicode MS"/>
          <w:rtl w:val="0"/>
        </w:rPr>
        <w:t>Casson 1971</w:t>
      </w:r>
      <w:r>
        <w:rPr/>
        <w:fldChar w:fldCharType="end" w:fldLock="0"/>
      </w:r>
      <w:r>
        <w:rPr>
          <w:rFonts w:cs="Arial Unicode MS" w:eastAsia="Arial Unicode MS"/>
          <w:rtl w:val="0"/>
          <w:lang w:val="en-US"/>
        </w:rPr>
        <w:t xml:space="preserve">: 169, 175 (third type); </w:t>
      </w:r>
      <w:r>
        <w:rPr>
          <w:rStyle w:val="Hyperlink.0"/>
        </w:rPr>
        <w:fldChar w:fldCharType="begin" w:fldLock="0"/>
      </w:r>
      <w:r>
        <w:rPr>
          <w:rStyle w:val="Hyperlink.0"/>
        </w:rPr>
        <w:instrText xml:space="preserve"> HYPERLINK "https://papyri.info/biblio/97029"</w:instrText>
      </w:r>
      <w:r>
        <w:rPr>
          <w:rStyle w:val="Hyperlink.0"/>
        </w:rPr>
        <w:fldChar w:fldCharType="separate" w:fldLock="0"/>
      </w:r>
      <w:r>
        <w:rPr>
          <w:rStyle w:val="Hyperlink.0"/>
          <w:rFonts w:cs="Arial Unicode MS" w:eastAsia="Arial Unicode MS"/>
          <w:rtl w:val="0"/>
        </w:rPr>
        <w:t>Gibson and Taylor 1994</w:t>
      </w:r>
      <w:r>
        <w:rPr/>
        <w:fldChar w:fldCharType="end" w:fldLock="0"/>
      </w:r>
      <w:r>
        <w:rPr>
          <w:rFonts w:cs="Arial Unicode MS" w:eastAsia="Arial Unicode MS"/>
          <w:rtl w:val="0"/>
          <w:lang w:val="en-US"/>
        </w:rPr>
        <w:t>: 35.</w:t>
      </w:r>
    </w:p>
  </w:footnote>
  <w:footnote w:id="35">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See </w:t>
      </w:r>
      <w:r>
        <w:rPr>
          <w:rStyle w:val="Hyperlink.0"/>
          <w:sz w:val="20"/>
          <w:szCs w:val="20"/>
        </w:rPr>
        <w:fldChar w:fldCharType="begin" w:fldLock="0"/>
      </w:r>
      <w:r>
        <w:rPr>
          <w:rStyle w:val="Hyperlink.0"/>
          <w:sz w:val="20"/>
          <w:szCs w:val="20"/>
        </w:rPr>
        <w:instrText xml:space="preserve"> HYPERLINK "https://papyri.info/biblio/97026"</w:instrText>
      </w:r>
      <w:r>
        <w:rPr>
          <w:rStyle w:val="Hyperlink.0"/>
          <w:sz w:val="20"/>
          <w:szCs w:val="20"/>
        </w:rPr>
        <w:fldChar w:fldCharType="separate" w:fldLock="0"/>
      </w:r>
      <w:r>
        <w:rPr>
          <w:rStyle w:val="Hyperlink.0"/>
          <w:sz w:val="20"/>
          <w:szCs w:val="20"/>
          <w:rtl w:val="0"/>
          <w:lang w:val="fr-FR"/>
        </w:rPr>
        <w:t>Bricault 2019</w:t>
      </w:r>
      <w:r>
        <w:rPr>
          <w:sz w:val="20"/>
          <w:szCs w:val="20"/>
        </w:rPr>
        <w:fldChar w:fldCharType="end" w:fldLock="0"/>
      </w:r>
      <w:r>
        <w:rPr>
          <w:rFonts w:ascii="Times New Roman" w:hAnsi="Times New Roman"/>
          <w:sz w:val="20"/>
          <w:szCs w:val="20"/>
          <w:rtl w:val="0"/>
          <w:lang w:val="en-US"/>
        </w:rPr>
        <w:t>.</w:t>
      </w:r>
    </w:p>
  </w:footnote>
  <w:footnote w:id="36">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See </w:t>
      </w:r>
      <w:r>
        <w:rPr>
          <w:rStyle w:val="Hyperlink.0"/>
          <w:sz w:val="20"/>
          <w:szCs w:val="20"/>
        </w:rPr>
        <w:fldChar w:fldCharType="begin" w:fldLock="0"/>
      </w:r>
      <w:r>
        <w:rPr>
          <w:rStyle w:val="Hyperlink.0"/>
          <w:sz w:val="20"/>
          <w:szCs w:val="20"/>
        </w:rPr>
        <w:instrText xml:space="preserve"> HYPERLINK "https://papyri.info/biblio/19038"</w:instrText>
      </w:r>
      <w:r>
        <w:rPr>
          <w:rStyle w:val="Hyperlink.0"/>
          <w:sz w:val="20"/>
          <w:szCs w:val="20"/>
        </w:rPr>
        <w:fldChar w:fldCharType="separate" w:fldLock="0"/>
      </w:r>
      <w:r>
        <w:rPr>
          <w:rStyle w:val="Hyperlink.0"/>
          <w:sz w:val="20"/>
          <w:szCs w:val="20"/>
          <w:rtl w:val="0"/>
        </w:rPr>
        <w:t>Bricault 2006</w:t>
      </w:r>
      <w:r>
        <w:rPr>
          <w:sz w:val="20"/>
          <w:szCs w:val="20"/>
        </w:rPr>
        <w:fldChar w:fldCharType="end" w:fldLock="0"/>
      </w:r>
      <w:r>
        <w:rPr>
          <w:rFonts w:ascii="Times New Roman" w:hAnsi="Times New Roman"/>
          <w:sz w:val="20"/>
          <w:szCs w:val="20"/>
          <w:rtl w:val="0"/>
          <w:lang w:val="en-US"/>
        </w:rPr>
        <w:t>: 168</w:t>
      </w:r>
      <w:r>
        <w:rPr>
          <w:rFonts w:ascii="Times New Roman" w:hAnsi="Times New Roman" w:hint="default"/>
          <w:sz w:val="20"/>
          <w:szCs w:val="20"/>
          <w:rtl w:val="0"/>
          <w:lang w:val="en-US"/>
        </w:rPr>
        <w:t>–</w:t>
      </w:r>
      <w:r>
        <w:rPr>
          <w:rFonts w:ascii="Times New Roman" w:hAnsi="Times New Roman"/>
          <w:sz w:val="20"/>
          <w:szCs w:val="20"/>
          <w:rtl w:val="0"/>
          <w:lang w:val="en-US"/>
        </w:rPr>
        <w:t xml:space="preserve">170 and the commentary on </w:t>
      </w:r>
      <w:r>
        <w:rPr>
          <w:rFonts w:ascii="Times New Roman" w:hAnsi="Times New Roman"/>
          <w:i w:val="1"/>
          <w:iCs w:val="1"/>
          <w:sz w:val="20"/>
          <w:szCs w:val="20"/>
          <w:rtl w:val="0"/>
          <w:lang w:val="en-US"/>
        </w:rPr>
        <w:t>RICIS</w:t>
      </w:r>
      <w:r>
        <w:rPr>
          <w:rFonts w:ascii="Times New Roman" w:hAnsi="Times New Roman"/>
          <w:sz w:val="20"/>
          <w:szCs w:val="20"/>
          <w:rtl w:val="0"/>
          <w:lang w:val="en-US"/>
        </w:rPr>
        <w:t xml:space="preserve"> 115/0401.</w:t>
      </w:r>
    </w:p>
  </w:footnote>
  <w:footnote w:id="37">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sz w:val="20"/>
          <w:szCs w:val="20"/>
        </w:rPr>
        <w:fldChar w:fldCharType="begin" w:fldLock="0"/>
      </w:r>
      <w:r>
        <w:rPr>
          <w:rStyle w:val="Hyperlink.0"/>
          <w:sz w:val="20"/>
          <w:szCs w:val="20"/>
        </w:rPr>
        <w:instrText xml:space="preserve"> HYPERLINK "http://www.edr-edr.it/edr_programmi/res_complex_comune.php?visua=si&amp;id_nr=EDR146779"</w:instrText>
      </w:r>
      <w:r>
        <w:rPr>
          <w:rStyle w:val="Hyperlink.0"/>
          <w:sz w:val="20"/>
          <w:szCs w:val="20"/>
        </w:rPr>
        <w:fldChar w:fldCharType="separate" w:fldLock="0"/>
      </w:r>
      <w:r>
        <w:rPr>
          <w:rStyle w:val="Hyperlink.0"/>
          <w:sz w:val="20"/>
          <w:szCs w:val="20"/>
          <w:rtl w:val="0"/>
        </w:rPr>
        <w:t>CIL XIV 2028 = RICIS 503/1132</w:t>
      </w:r>
      <w:r>
        <w:rPr>
          <w:sz w:val="20"/>
          <w:szCs w:val="20"/>
        </w:rPr>
        <w:fldChar w:fldCharType="end" w:fldLock="0"/>
      </w:r>
      <w:r>
        <w:rPr>
          <w:rFonts w:ascii="Times New Roman" w:hAnsi="Times New Roman"/>
          <w:sz w:val="20"/>
          <w:szCs w:val="20"/>
          <w:rtl w:val="0"/>
          <w:lang w:val="en-US"/>
        </w:rPr>
        <w:t xml:space="preserve">; see also </w:t>
      </w:r>
      <w:r>
        <w:rPr>
          <w:rStyle w:val="Hyperlink.0"/>
          <w:sz w:val="20"/>
          <w:szCs w:val="20"/>
        </w:rPr>
        <w:fldChar w:fldCharType="begin" w:fldLock="0"/>
      </w:r>
      <w:r>
        <w:rPr>
          <w:rStyle w:val="Hyperlink.0"/>
          <w:sz w:val="20"/>
          <w:szCs w:val="20"/>
        </w:rPr>
        <w:instrText xml:space="preserve"> HYPERLINK "https://papyri.info/biblio/97025"</w:instrText>
      </w:r>
      <w:r>
        <w:rPr>
          <w:rStyle w:val="Hyperlink.0"/>
          <w:sz w:val="20"/>
          <w:szCs w:val="20"/>
        </w:rPr>
        <w:fldChar w:fldCharType="separate" w:fldLock="0"/>
      </w:r>
      <w:r>
        <w:rPr>
          <w:rStyle w:val="Hyperlink.0"/>
          <w:sz w:val="20"/>
          <w:szCs w:val="20"/>
          <w:rtl w:val="0"/>
          <w:lang w:val="de-DE"/>
        </w:rPr>
        <w:t>Helms 1980</w:t>
      </w:r>
      <w:r>
        <w:rPr>
          <w:sz w:val="20"/>
          <w:szCs w:val="20"/>
        </w:rPr>
        <w:fldChar w:fldCharType="end" w:fldLock="0"/>
      </w:r>
      <w:r>
        <w:rPr>
          <w:rFonts w:ascii="Times New Roman" w:hAnsi="Times New Roman"/>
          <w:sz w:val="20"/>
          <w:szCs w:val="20"/>
          <w:rtl w:val="0"/>
          <w:lang w:val="en-US"/>
        </w:rPr>
        <w:t xml:space="preserve">: 105; </w:t>
      </w:r>
      <w:r>
        <w:rPr>
          <w:rStyle w:val="Hyperlink.0"/>
          <w:sz w:val="20"/>
          <w:szCs w:val="20"/>
        </w:rPr>
        <w:fldChar w:fldCharType="begin" w:fldLock="0"/>
      </w:r>
      <w:r>
        <w:rPr>
          <w:rStyle w:val="Hyperlink.0"/>
          <w:sz w:val="20"/>
          <w:szCs w:val="20"/>
        </w:rPr>
        <w:instrText xml:space="preserve"> HYPERLINK "https://papyri.info/biblio/97034"</w:instrText>
      </w:r>
      <w:r>
        <w:rPr>
          <w:rStyle w:val="Hyperlink.0"/>
          <w:sz w:val="20"/>
          <w:szCs w:val="20"/>
        </w:rPr>
        <w:fldChar w:fldCharType="separate" w:fldLock="0"/>
      </w:r>
      <w:r>
        <w:rPr>
          <w:rStyle w:val="Hyperlink.0"/>
          <w:sz w:val="20"/>
          <w:szCs w:val="20"/>
          <w:rtl w:val="0"/>
          <w:lang w:val="it-IT"/>
        </w:rPr>
        <w:t>Nagel 2019</w:t>
      </w:r>
      <w:r>
        <w:rPr>
          <w:sz w:val="20"/>
          <w:szCs w:val="20"/>
        </w:rPr>
        <w:fldChar w:fldCharType="end" w:fldLock="0"/>
      </w:r>
      <w:r>
        <w:rPr>
          <w:rFonts w:ascii="Times New Roman" w:hAnsi="Times New Roman"/>
          <w:sz w:val="20"/>
          <w:szCs w:val="20"/>
          <w:rtl w:val="0"/>
          <w:lang w:val="en-US"/>
        </w:rPr>
        <w:t>: 1110.</w:t>
      </w:r>
    </w:p>
  </w:footnote>
  <w:footnote w:id="38">
    <w:p>
      <w:pPr>
        <w:pStyle w:val="Alavii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"http://www.edr-edr.it/edr_programmi/res_complex_comune.php?visua=si&amp;id_nr=EDR169680"</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RICIS 501/0218 = CIL VI 3123</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"http://www.edr-edr.it/edr_programmi/res_complex_comune.php?visua=si&amp;id_nr=EDR162514"</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rPr>
        <w:t>RICIS 504/0501 = CIL X 3615</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"http://www.edr-edr.it/edr_programmi/res_complex_comune.php?visua=si&amp;id_nr=EDR157574"</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504/0502 = CIL X 3618</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"http://www.edr-edr.it/edr_programmi/res_complex_comune.php?do=book&amp;id_nr=EDR130737"</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rPr>
        <w:t>RICIS 504/0503 = CIL X 3640</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For more examples, see the commentary on </w:t>
      </w:r>
      <w:r>
        <w:rPr>
          <w:rFonts w:ascii="Times New Roman" w:hAnsi="Times New Roman"/>
          <w:i w:val="1"/>
          <w:iCs w:val="1"/>
          <w:sz w:val="20"/>
          <w:szCs w:val="20"/>
          <w:rtl w:val="0"/>
          <w:lang w:val="en-US"/>
        </w:rPr>
        <w:t>RICIS</w:t>
      </w:r>
      <w:r>
        <w:rPr>
          <w:rFonts w:ascii="Times New Roman" w:hAnsi="Times New Roman"/>
          <w:sz w:val="20"/>
          <w:szCs w:val="20"/>
          <w:rtl w:val="0"/>
          <w:lang w:val="en-US"/>
        </w:rPr>
        <w:t xml:space="preserve"> 115/0401 and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"https://papyri.info/biblio/97034"</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it-IT"/>
        </w:rPr>
        <w:t>Nagel 2019</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703 f.</w:t>
      </w:r>
    </w:p>
  </w:footnote>
  <w:footnote w:id="39">
    <w:p>
      <w:pPr>
        <w:pStyle w:val="footnote text"/>
      </w:pPr>
      <w:r>
        <w:rPr>
          <w:vertAlign w:val="superscript"/>
          <w:lang w:val="en-US"/>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"https://papyri.info/biblio/97029"</w:instrText>
      </w:r>
      <w:r>
        <w:rPr>
          <w:rStyle w:val="Hyperlink.0"/>
        </w:rPr>
        <w:fldChar w:fldCharType="separate" w:fldLock="0"/>
      </w:r>
      <w:r>
        <w:rPr>
          <w:rStyle w:val="Hyperlink.0"/>
          <w:rFonts w:cs="Arial Unicode MS" w:eastAsia="Arial Unicode MS"/>
          <w:rtl w:val="0"/>
        </w:rPr>
        <w:t>Gibson and Taylor 1994</w:t>
      </w:r>
      <w:r>
        <w:rPr/>
        <w:fldChar w:fldCharType="end" w:fldLock="0"/>
      </w:r>
      <w:r>
        <w:rPr>
          <w:rFonts w:cs="Arial Unicode MS" w:eastAsia="Arial Unicode MS"/>
          <w:rtl w:val="0"/>
          <w:lang w:val="en-US"/>
        </w:rPr>
        <w:t>: 34.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Ylä- ja alaotsake">
    <w:name w:val="Ylä- ja alaotsake"/>
    <w:next w:val="Ylä- ja alaotsak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Oletus">
    <w:name w:val="Oletus"/>
    <w:next w:val="Oletus"/>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Alaviite">
    <w:name w:val="Alaviite"/>
    <w:next w:val="Alavii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Hyperlink.0"/>
    <w:next w:val="Hyperlink.1"/>
    <w:rPr>
      <w:rFonts w:ascii="Times New Roman" w:cs="Times New Roman" w:hAnsi="Times New Roman" w:eastAsia="Times New Roman"/>
    </w:rPr>
  </w:style>
  <w:style w:type="character" w:styleId="None">
    <w:name w:val="None"/>
  </w:style>
  <w:style w:type="character" w:styleId="Hyperlink.2">
    <w:name w:val="Hyperlink.2"/>
    <w:basedOn w:val="None"/>
    <w:next w:val="Hyperlink.2"/>
    <w:rPr>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